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AD450" w14:textId="77777777" w:rsidR="00D8676F" w:rsidRDefault="00A945C2" w:rsidP="00EE2C30">
      <w:pPr>
        <w:pStyle w:val="APARTADOPRINCIPAL"/>
      </w:pPr>
      <w:r>
        <w:rPr>
          <w:noProof/>
          <w:lang w:val="ca-ES" w:eastAsia="ca-ES"/>
        </w:rPr>
        <w:drawing>
          <wp:inline distT="0" distB="0" distL="0" distR="0" wp14:anchorId="68431A33" wp14:editId="7151129B">
            <wp:extent cx="5400040" cy="7886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788639"/>
                    </a:xfrm>
                    <a:prstGeom prst="rect">
                      <a:avLst/>
                    </a:prstGeom>
                    <a:noFill/>
                    <a:ln>
                      <a:noFill/>
                    </a:ln>
                  </pic:spPr>
                </pic:pic>
              </a:graphicData>
            </a:graphic>
          </wp:inline>
        </w:drawing>
      </w:r>
    </w:p>
    <w:p w14:paraId="1A2FC660" w14:textId="318F1932" w:rsidR="00A945C2" w:rsidRPr="00A945C2" w:rsidRDefault="00AB49BE" w:rsidP="00A945C2">
      <w:pPr>
        <w:pStyle w:val="TTULODELARTCULO"/>
      </w:pPr>
      <w:r>
        <w:t>Idoneidad didáctica en educación infantil: matemáticas con robots Blue-</w:t>
      </w:r>
      <w:proofErr w:type="spellStart"/>
      <w:r>
        <w:t>Bot</w:t>
      </w:r>
      <w:proofErr w:type="spellEnd"/>
    </w:p>
    <w:p w14:paraId="35DA0507" w14:textId="755FCD4C" w:rsidR="00A945C2" w:rsidRPr="00B415BF" w:rsidRDefault="00AB49BE" w:rsidP="0027749E">
      <w:pPr>
        <w:pStyle w:val="TTULODELARTCULO"/>
        <w:rPr>
          <w:lang w:val="en-GB"/>
        </w:rPr>
      </w:pPr>
      <w:r w:rsidRPr="00B415BF">
        <w:rPr>
          <w:lang w:val="en-GB"/>
        </w:rPr>
        <w:t>Didactical suitability in early childhood education: mathematics with Blue-Bot robots</w:t>
      </w:r>
    </w:p>
    <w:p w14:paraId="07FFA135" w14:textId="0F07B15F" w:rsidR="00A945C2" w:rsidRDefault="004443DF" w:rsidP="00A945C2">
      <w:pPr>
        <w:pStyle w:val="Sinespaciado"/>
        <w:spacing w:line="360" w:lineRule="auto"/>
        <w:jc w:val="center"/>
        <w:rPr>
          <w:sz w:val="24"/>
          <w:szCs w:val="24"/>
        </w:rPr>
      </w:pPr>
      <w:proofErr w:type="spellStart"/>
      <w:r>
        <w:rPr>
          <w:sz w:val="24"/>
          <w:szCs w:val="24"/>
        </w:rPr>
        <w:t>Maria</w:t>
      </w:r>
      <w:proofErr w:type="spellEnd"/>
      <w:r>
        <w:rPr>
          <w:sz w:val="24"/>
          <w:szCs w:val="24"/>
        </w:rPr>
        <w:t xml:space="preserve"> </w:t>
      </w:r>
      <w:proofErr w:type="spellStart"/>
      <w:r>
        <w:rPr>
          <w:sz w:val="24"/>
          <w:szCs w:val="24"/>
        </w:rPr>
        <w:t>Ricart</w:t>
      </w:r>
      <w:proofErr w:type="spellEnd"/>
      <w:r>
        <w:rPr>
          <w:sz w:val="24"/>
          <w:szCs w:val="24"/>
        </w:rPr>
        <w:t xml:space="preserve"> Aranda</w:t>
      </w:r>
      <w:r w:rsidR="00A945C2" w:rsidRPr="00A945C2">
        <w:rPr>
          <w:rStyle w:val="Refdenotaalpie"/>
          <w:sz w:val="24"/>
          <w:szCs w:val="24"/>
        </w:rPr>
        <w:footnoteReference w:id="1"/>
      </w:r>
      <w:r w:rsidR="00A945C2">
        <w:rPr>
          <w:sz w:val="24"/>
          <w:szCs w:val="24"/>
        </w:rPr>
        <w:t xml:space="preserve">, </w:t>
      </w:r>
      <w:proofErr w:type="spellStart"/>
      <w:r>
        <w:rPr>
          <w:sz w:val="24"/>
          <w:szCs w:val="24"/>
        </w:rPr>
        <w:t>Assumpta</w:t>
      </w:r>
      <w:proofErr w:type="spellEnd"/>
      <w:r>
        <w:rPr>
          <w:sz w:val="24"/>
          <w:szCs w:val="24"/>
        </w:rPr>
        <w:t xml:space="preserve"> Estrada Roca</w:t>
      </w:r>
      <w:r w:rsidR="00A945C2" w:rsidRPr="00A945C2">
        <w:rPr>
          <w:rStyle w:val="Refdenotaalpie"/>
          <w:sz w:val="24"/>
          <w:szCs w:val="24"/>
        </w:rPr>
        <w:footnoteReference w:id="2"/>
      </w:r>
      <w:r w:rsidR="00A945C2" w:rsidRPr="00A945C2">
        <w:rPr>
          <w:sz w:val="24"/>
          <w:szCs w:val="24"/>
        </w:rPr>
        <w:t xml:space="preserve"> y </w:t>
      </w:r>
      <w:proofErr w:type="spellStart"/>
      <w:r>
        <w:rPr>
          <w:sz w:val="24"/>
          <w:szCs w:val="24"/>
        </w:rPr>
        <w:t>Maria</w:t>
      </w:r>
      <w:proofErr w:type="spellEnd"/>
      <w:r>
        <w:rPr>
          <w:sz w:val="24"/>
          <w:szCs w:val="24"/>
        </w:rPr>
        <w:t xml:space="preserve"> </w:t>
      </w:r>
      <w:proofErr w:type="spellStart"/>
      <w:r>
        <w:rPr>
          <w:sz w:val="24"/>
          <w:szCs w:val="24"/>
        </w:rPr>
        <w:t>Margalef</w:t>
      </w:r>
      <w:proofErr w:type="spellEnd"/>
      <w:r>
        <w:rPr>
          <w:sz w:val="24"/>
          <w:szCs w:val="24"/>
        </w:rPr>
        <w:t xml:space="preserve"> Martí</w:t>
      </w:r>
      <w:r w:rsidR="00A945C2" w:rsidRPr="00A945C2">
        <w:rPr>
          <w:rStyle w:val="Refdenotaalpie"/>
          <w:sz w:val="24"/>
          <w:szCs w:val="24"/>
        </w:rPr>
        <w:footnoteReference w:id="3"/>
      </w:r>
    </w:p>
    <w:p w14:paraId="74D8228D" w14:textId="77777777" w:rsidR="00A945C2" w:rsidRDefault="00A945C2" w:rsidP="00A945C2">
      <w:pPr>
        <w:pStyle w:val="Sinespaciado"/>
        <w:spacing w:line="360" w:lineRule="auto"/>
        <w:jc w:val="center"/>
        <w:rPr>
          <w:sz w:val="24"/>
          <w:szCs w:val="24"/>
        </w:rPr>
      </w:pPr>
    </w:p>
    <w:p w14:paraId="22B2732F" w14:textId="77777777" w:rsidR="00A945C2" w:rsidRDefault="00A945C2" w:rsidP="00A945C2">
      <w:pPr>
        <w:pBdr>
          <w:top w:val="single" w:sz="4" w:space="1" w:color="auto"/>
          <w:bottom w:val="single" w:sz="4" w:space="1" w:color="auto"/>
        </w:pBdr>
        <w:spacing w:after="0" w:line="240" w:lineRule="auto"/>
        <w:jc w:val="both"/>
      </w:pPr>
      <w:r w:rsidRPr="00466FC1">
        <w:t xml:space="preserve">Fecha de recepción: </w:t>
      </w:r>
      <w:r>
        <w:t>XX</w:t>
      </w:r>
      <w:r w:rsidRPr="00466FC1">
        <w:t>/</w:t>
      </w:r>
      <w:r>
        <w:t>XX</w:t>
      </w:r>
      <w:r w:rsidRPr="00466FC1">
        <w:t>/20</w:t>
      </w:r>
      <w:r>
        <w:t>xx</w:t>
      </w:r>
      <w:r w:rsidRPr="00466FC1">
        <w:t xml:space="preserve">; Fecha de revisión: </w:t>
      </w:r>
      <w:r>
        <w:t>XX</w:t>
      </w:r>
      <w:r w:rsidRPr="00466FC1">
        <w:t>/</w:t>
      </w:r>
      <w:r>
        <w:t>XX</w:t>
      </w:r>
      <w:r w:rsidRPr="00466FC1">
        <w:t>/20</w:t>
      </w:r>
      <w:r>
        <w:t>XX</w:t>
      </w:r>
      <w:r w:rsidRPr="00466FC1">
        <w:t xml:space="preserve">; Fecha de aceptación: </w:t>
      </w:r>
      <w:r>
        <w:t>XX</w:t>
      </w:r>
      <w:r w:rsidRPr="00466FC1">
        <w:t>/</w:t>
      </w:r>
      <w:r>
        <w:t>XX</w:t>
      </w:r>
      <w:r w:rsidRPr="00466FC1">
        <w:t>/20</w:t>
      </w:r>
      <w:r>
        <w:t>XX</w:t>
      </w:r>
    </w:p>
    <w:p w14:paraId="32F9A492" w14:textId="77777777" w:rsidR="00A945C2" w:rsidRDefault="00A945C2" w:rsidP="00A945C2">
      <w:pPr>
        <w:pBdr>
          <w:top w:val="single" w:sz="4" w:space="1" w:color="auto"/>
          <w:bottom w:val="single" w:sz="4" w:space="1" w:color="auto"/>
        </w:pBdr>
        <w:spacing w:after="0" w:line="240" w:lineRule="auto"/>
        <w:jc w:val="both"/>
      </w:pPr>
    </w:p>
    <w:p w14:paraId="2E2B4E5B" w14:textId="77777777" w:rsidR="00A945C2" w:rsidRPr="00A945C2" w:rsidRDefault="00A945C2" w:rsidP="00A945C2">
      <w:pPr>
        <w:pBdr>
          <w:top w:val="single" w:sz="4" w:space="1" w:color="auto"/>
          <w:bottom w:val="single" w:sz="4" w:space="1" w:color="auto"/>
        </w:pBdr>
        <w:spacing w:after="0" w:line="240" w:lineRule="auto"/>
        <w:jc w:val="both"/>
        <w:rPr>
          <w:b/>
        </w:rPr>
      </w:pPr>
      <w:r w:rsidRPr="00A945C2">
        <w:rPr>
          <w:b/>
        </w:rPr>
        <w:t>Cómo citar este artículo:</w:t>
      </w:r>
    </w:p>
    <w:p w14:paraId="4E69C051" w14:textId="4CEB5EF1" w:rsidR="00A945C2" w:rsidRDefault="004443DF" w:rsidP="00A945C2">
      <w:pPr>
        <w:pBdr>
          <w:top w:val="single" w:sz="4" w:space="1" w:color="auto"/>
          <w:bottom w:val="single" w:sz="4" w:space="1" w:color="auto"/>
        </w:pBdr>
        <w:spacing w:after="0" w:line="240" w:lineRule="auto"/>
        <w:jc w:val="both"/>
        <w:rPr>
          <w:rFonts w:cs="Arial"/>
          <w:szCs w:val="18"/>
        </w:rPr>
      </w:pPr>
      <w:proofErr w:type="spellStart"/>
      <w:r>
        <w:t>Ricart</w:t>
      </w:r>
      <w:proofErr w:type="spellEnd"/>
      <w:r>
        <w:t>, M</w:t>
      </w:r>
      <w:r w:rsidR="00A945C2">
        <w:t xml:space="preserve">., </w:t>
      </w:r>
      <w:r>
        <w:t>Estrada</w:t>
      </w:r>
      <w:r w:rsidR="00A945C2">
        <w:t xml:space="preserve">, </w:t>
      </w:r>
      <w:r>
        <w:t>A.</w:t>
      </w:r>
      <w:r w:rsidR="00A945C2">
        <w:t xml:space="preserve">, &amp; </w:t>
      </w:r>
      <w:proofErr w:type="spellStart"/>
      <w:r>
        <w:t>Margalef</w:t>
      </w:r>
      <w:proofErr w:type="spellEnd"/>
      <w:r>
        <w:t>, M</w:t>
      </w:r>
      <w:r w:rsidR="00A945C2">
        <w:t>. (</w:t>
      </w:r>
      <w:r>
        <w:t>2019</w:t>
      </w:r>
      <w:r w:rsidR="00A945C2">
        <w:t xml:space="preserve">). </w:t>
      </w:r>
      <w:r>
        <w:t>Idoneidad didáctica en educación infantil: matemáticas con robots Blue-</w:t>
      </w:r>
      <w:proofErr w:type="spellStart"/>
      <w:r>
        <w:t>Bot</w:t>
      </w:r>
      <w:proofErr w:type="spellEnd"/>
      <w:r w:rsidR="00A945C2">
        <w:t xml:space="preserve">. </w:t>
      </w:r>
      <w:r w:rsidR="00A945C2" w:rsidRPr="00466FC1">
        <w:rPr>
          <w:rFonts w:cs="Arial"/>
          <w:i/>
          <w:szCs w:val="18"/>
        </w:rPr>
        <w:t xml:space="preserve">EDMETIC, Revista de Educación Mediática y TIC, </w:t>
      </w:r>
      <w:r w:rsidR="00A945C2">
        <w:rPr>
          <w:rFonts w:cs="Arial"/>
          <w:i/>
          <w:szCs w:val="18"/>
        </w:rPr>
        <w:t>X</w:t>
      </w:r>
      <w:r w:rsidR="00A945C2" w:rsidRPr="00466FC1">
        <w:rPr>
          <w:rFonts w:cs="Arial"/>
          <w:szCs w:val="18"/>
        </w:rPr>
        <w:t>(</w:t>
      </w:r>
      <w:r w:rsidR="00A945C2">
        <w:rPr>
          <w:rFonts w:cs="Arial"/>
          <w:szCs w:val="18"/>
        </w:rPr>
        <w:t>X</w:t>
      </w:r>
      <w:r w:rsidR="00A945C2" w:rsidRPr="00466FC1">
        <w:rPr>
          <w:rFonts w:cs="Arial"/>
          <w:szCs w:val="18"/>
        </w:rPr>
        <w:t xml:space="preserve">), </w:t>
      </w:r>
      <w:r w:rsidR="00A945C2">
        <w:rPr>
          <w:rFonts w:cs="Arial"/>
          <w:szCs w:val="18"/>
        </w:rPr>
        <w:t>XX-XX</w:t>
      </w:r>
      <w:r w:rsidR="00A945C2" w:rsidRPr="00466FC1">
        <w:rPr>
          <w:rFonts w:cs="Arial"/>
          <w:szCs w:val="18"/>
        </w:rPr>
        <w:t xml:space="preserve"> </w:t>
      </w:r>
      <w:proofErr w:type="spellStart"/>
      <w:r w:rsidR="00A945C2" w:rsidRPr="00466FC1">
        <w:rPr>
          <w:rFonts w:cs="Arial"/>
          <w:szCs w:val="18"/>
        </w:rPr>
        <w:t>doi</w:t>
      </w:r>
      <w:proofErr w:type="spellEnd"/>
      <w:r w:rsidR="00A945C2" w:rsidRPr="00466FC1">
        <w:rPr>
          <w:rFonts w:cs="Arial"/>
          <w:szCs w:val="18"/>
        </w:rPr>
        <w:t>:</w:t>
      </w:r>
    </w:p>
    <w:p w14:paraId="4A03B34D" w14:textId="77777777" w:rsidR="00EE2C30" w:rsidRDefault="00EE2C30" w:rsidP="00A945C2">
      <w:pPr>
        <w:pBdr>
          <w:top w:val="single" w:sz="4" w:space="1" w:color="auto"/>
          <w:bottom w:val="single" w:sz="4" w:space="1" w:color="auto"/>
        </w:pBdr>
        <w:spacing w:after="0" w:line="240" w:lineRule="auto"/>
        <w:jc w:val="both"/>
        <w:rPr>
          <w:rFonts w:cs="Arial"/>
          <w:szCs w:val="18"/>
        </w:rPr>
      </w:pPr>
    </w:p>
    <w:p w14:paraId="0B025C94" w14:textId="5BD02021" w:rsidR="00EE2C30" w:rsidRPr="00466FC1" w:rsidRDefault="00EE2C30" w:rsidP="00A945C2">
      <w:pPr>
        <w:pBdr>
          <w:top w:val="single" w:sz="4" w:space="1" w:color="auto"/>
          <w:bottom w:val="single" w:sz="4" w:space="1" w:color="auto"/>
        </w:pBdr>
        <w:spacing w:after="0" w:line="240" w:lineRule="auto"/>
        <w:jc w:val="both"/>
      </w:pPr>
      <w:r>
        <w:rPr>
          <w:rFonts w:cs="Arial"/>
          <w:szCs w:val="18"/>
        </w:rPr>
        <w:t xml:space="preserve">Autor de Correspondencia: </w:t>
      </w:r>
      <w:r w:rsidR="004443DF">
        <w:rPr>
          <w:rFonts w:cs="Arial"/>
          <w:szCs w:val="18"/>
        </w:rPr>
        <w:t>maria.ricart@matematica.udl.cat</w:t>
      </w:r>
    </w:p>
    <w:p w14:paraId="74A657CE" w14:textId="77777777" w:rsidR="00A945C2" w:rsidRPr="00A945C2" w:rsidRDefault="00A945C2" w:rsidP="00EE2C30">
      <w:pPr>
        <w:pStyle w:val="Ttulo1"/>
      </w:pPr>
    </w:p>
    <w:p w14:paraId="2C8362F6" w14:textId="77777777" w:rsidR="00A945C2" w:rsidRPr="00EE2C30" w:rsidRDefault="00A945C2" w:rsidP="00EE2C30">
      <w:pPr>
        <w:pStyle w:val="Ttulo1"/>
        <w:rPr>
          <w:b/>
        </w:rPr>
      </w:pPr>
      <w:r w:rsidRPr="00EE2C30">
        <w:rPr>
          <w:b/>
        </w:rPr>
        <w:t>Resumen:</w:t>
      </w:r>
    </w:p>
    <w:p w14:paraId="47784B36" w14:textId="57219995" w:rsidR="00A945C2" w:rsidRPr="00EE2C30" w:rsidRDefault="00C143C3" w:rsidP="00EE2C30">
      <w:pPr>
        <w:pStyle w:val="Ttulo1"/>
      </w:pPr>
      <w:r>
        <w:t xml:space="preserve">El objetivo de </w:t>
      </w:r>
      <w:r w:rsidR="003475F0">
        <w:t>esta investigación</w:t>
      </w:r>
      <w:r w:rsidR="00D1479E">
        <w:t>, que sigue</w:t>
      </w:r>
      <w:r w:rsidR="003475F0">
        <w:t xml:space="preserve"> una metodología </w:t>
      </w:r>
      <w:r w:rsidR="00D1479E">
        <w:t>cualitativa, es</w:t>
      </w:r>
      <w:r>
        <w:t xml:space="preserve"> valorar la idoneidad didáctica de un proceso de enseñanza y aprendizaje de orientación </w:t>
      </w:r>
      <w:r w:rsidR="006C0D76">
        <w:t>espacial con el robot Blue-</w:t>
      </w:r>
      <w:proofErr w:type="spellStart"/>
      <w:r w:rsidR="006C0D76">
        <w:t>Bot</w:t>
      </w:r>
      <w:proofErr w:type="spellEnd"/>
      <w:r w:rsidR="006C0D76">
        <w:t xml:space="preserve">. </w:t>
      </w:r>
      <w:r>
        <w:t xml:space="preserve">Primero, se contextualiza la experiencia innovadora implementada </w:t>
      </w:r>
      <w:r w:rsidR="006C0D76">
        <w:t>con niños de 5 y 6 años de un centro escolar de alta complejidad y tradicional; a continuación, se describen las componentes de las idoneidades parciales y se valoran. Los resultados indican que la Blue-</w:t>
      </w:r>
      <w:proofErr w:type="spellStart"/>
      <w:r w:rsidR="006C0D76">
        <w:t>Bot</w:t>
      </w:r>
      <w:proofErr w:type="spellEnd"/>
      <w:r w:rsidR="006C0D76">
        <w:t xml:space="preserve"> promueve el trabajo de los procesos matemáticos implicados en una situación de resolución de problemas y facilita la adquisición de nociones complejas en educación infantil</w:t>
      </w:r>
      <w:r w:rsidR="00E67DAB">
        <w:t>,</w:t>
      </w:r>
      <w:r w:rsidR="006C0D76">
        <w:t xml:space="preserve"> como son </w:t>
      </w:r>
      <w:r w:rsidR="00E67DAB">
        <w:t>la</w:t>
      </w:r>
      <w:r w:rsidR="006C0D76">
        <w:t xml:space="preserve"> de giro y </w:t>
      </w:r>
      <w:r w:rsidR="00E67DAB">
        <w:t>la</w:t>
      </w:r>
      <w:r w:rsidR="006C0D76">
        <w:t xml:space="preserve"> de tiempo. Finalmente, se concluye que el modelo STEAM se puede implementar con facilidad en una escuela tradicional y que la robótica promueve no solo la competencia matemática y las competencias del siglo XXI, sino también la autorregulación del aprendizaje ya en educación infantil.</w:t>
      </w:r>
    </w:p>
    <w:p w14:paraId="6CEA3A45" w14:textId="1300D4FF" w:rsidR="00A945C2" w:rsidRPr="00EE2C30" w:rsidRDefault="00A945C2" w:rsidP="00EE2C30">
      <w:pPr>
        <w:pStyle w:val="Ttulo1"/>
      </w:pPr>
      <w:r w:rsidRPr="00EE2C30">
        <w:rPr>
          <w:b/>
        </w:rPr>
        <w:t>Palabras clav</w:t>
      </w:r>
      <w:r w:rsidRPr="0073289A">
        <w:rPr>
          <w:b/>
        </w:rPr>
        <w:t>e</w:t>
      </w:r>
      <w:r w:rsidRPr="00EE2C30">
        <w:t xml:space="preserve">: </w:t>
      </w:r>
      <w:r w:rsidR="002C36FC">
        <w:t xml:space="preserve">Educación preescolar, </w:t>
      </w:r>
      <w:r w:rsidR="00221D29">
        <w:t>Robótica, Geometría, Evaluación</w:t>
      </w:r>
    </w:p>
    <w:p w14:paraId="70CA593B" w14:textId="77777777" w:rsidR="00A945C2" w:rsidRPr="00EE2C30" w:rsidRDefault="00A945C2" w:rsidP="00EE2C30">
      <w:pPr>
        <w:pStyle w:val="Ttulo1"/>
      </w:pPr>
    </w:p>
    <w:p w14:paraId="1DCE297E" w14:textId="77777777" w:rsidR="00A945C2" w:rsidRPr="00D3485F" w:rsidRDefault="00A945C2" w:rsidP="00EE2C30">
      <w:pPr>
        <w:pStyle w:val="Ttulo1"/>
        <w:rPr>
          <w:b/>
          <w:lang w:val="en-GB"/>
        </w:rPr>
      </w:pPr>
      <w:r w:rsidRPr="00D3485F">
        <w:rPr>
          <w:b/>
          <w:lang w:val="en-GB"/>
        </w:rPr>
        <w:t>Abstract:</w:t>
      </w:r>
    </w:p>
    <w:p w14:paraId="0F36E687" w14:textId="631D90A0" w:rsidR="00BC3676" w:rsidRPr="00672658" w:rsidRDefault="00BC3676" w:rsidP="00EE2C30">
      <w:pPr>
        <w:pStyle w:val="Ttulo1"/>
        <w:rPr>
          <w:lang w:val="en-GB"/>
        </w:rPr>
      </w:pPr>
      <w:r w:rsidRPr="00672658">
        <w:rPr>
          <w:lang w:val="en-GB"/>
        </w:rPr>
        <w:t xml:space="preserve">The aim of this </w:t>
      </w:r>
      <w:r w:rsidR="00D1479E">
        <w:rPr>
          <w:lang w:val="en-GB"/>
        </w:rPr>
        <w:t xml:space="preserve">research, which follows a qualitative methodology, </w:t>
      </w:r>
      <w:r w:rsidR="00D1479E" w:rsidRPr="00672658">
        <w:rPr>
          <w:lang w:val="en-GB"/>
        </w:rPr>
        <w:t>is</w:t>
      </w:r>
      <w:r w:rsidRPr="00672658">
        <w:rPr>
          <w:lang w:val="en-GB"/>
        </w:rPr>
        <w:t xml:space="preserve"> to assess </w:t>
      </w:r>
      <w:r w:rsidR="002C480D">
        <w:rPr>
          <w:lang w:val="en-GB"/>
        </w:rPr>
        <w:t xml:space="preserve">the </w:t>
      </w:r>
      <w:r w:rsidRPr="00672658">
        <w:rPr>
          <w:lang w:val="en-GB"/>
        </w:rPr>
        <w:t>didactical suitability of a teaching-learning process about spatial orientation carried out with Blue-Bot robots. First</w:t>
      </w:r>
      <w:r w:rsidR="00976E08" w:rsidRPr="00672658">
        <w:rPr>
          <w:lang w:val="en-GB"/>
        </w:rPr>
        <w:t>ly</w:t>
      </w:r>
      <w:r w:rsidRPr="00672658">
        <w:rPr>
          <w:lang w:val="en-GB"/>
        </w:rPr>
        <w:t xml:space="preserve">, the </w:t>
      </w:r>
      <w:r w:rsidR="004B2FA1" w:rsidRPr="00672658">
        <w:rPr>
          <w:lang w:val="en-GB"/>
        </w:rPr>
        <w:t>innovative experience put into practice with children of 5 and 6 years old of high complexity and traditional school is contextualized.</w:t>
      </w:r>
      <w:r w:rsidRPr="00672658">
        <w:rPr>
          <w:lang w:val="en-GB"/>
        </w:rPr>
        <w:t xml:space="preserve"> </w:t>
      </w:r>
      <w:r w:rsidR="003D79A5" w:rsidRPr="00672658">
        <w:rPr>
          <w:lang w:val="en-GB"/>
        </w:rPr>
        <w:t xml:space="preserve">Afterwards, the components and indicators of the partial </w:t>
      </w:r>
      <w:proofErr w:type="spellStart"/>
      <w:r w:rsidR="00976E08" w:rsidRPr="005F2FCA">
        <w:rPr>
          <w:lang w:val="en-GB"/>
        </w:rPr>
        <w:t>suitabilities</w:t>
      </w:r>
      <w:proofErr w:type="spellEnd"/>
      <w:r w:rsidR="003D79A5" w:rsidRPr="00672658">
        <w:rPr>
          <w:lang w:val="en-GB"/>
        </w:rPr>
        <w:t xml:space="preserve"> are described and assessed. The results indicate that the Blue-Bot robot promotes the work of the mathematical processes involved in a situation of </w:t>
      </w:r>
      <w:r w:rsidR="00976E08" w:rsidRPr="005F2FCA">
        <w:rPr>
          <w:lang w:val="en-GB"/>
        </w:rPr>
        <w:t>problem</w:t>
      </w:r>
      <w:r w:rsidR="003D79A5" w:rsidRPr="00672658">
        <w:rPr>
          <w:lang w:val="en-GB"/>
        </w:rPr>
        <w:t xml:space="preserve"> solving and it </w:t>
      </w:r>
      <w:r w:rsidR="00231A69" w:rsidRPr="00672658">
        <w:rPr>
          <w:lang w:val="en-GB"/>
        </w:rPr>
        <w:t xml:space="preserve">also </w:t>
      </w:r>
      <w:r w:rsidR="003D79A5" w:rsidRPr="00672658">
        <w:rPr>
          <w:lang w:val="en-GB"/>
        </w:rPr>
        <w:t xml:space="preserve">facilitates the acquisition of complex </w:t>
      </w:r>
      <w:r w:rsidR="00976E08" w:rsidRPr="005F2FCA">
        <w:rPr>
          <w:lang w:val="en-GB"/>
        </w:rPr>
        <w:t>notions in</w:t>
      </w:r>
      <w:r w:rsidR="003D79A5" w:rsidRPr="00672658">
        <w:rPr>
          <w:lang w:val="en-GB"/>
        </w:rPr>
        <w:t xml:space="preserve"> early childhood education, such as the rotation or the time. </w:t>
      </w:r>
      <w:r w:rsidR="00976E08" w:rsidRPr="005F2FCA">
        <w:rPr>
          <w:lang w:val="en-GB"/>
        </w:rPr>
        <w:t>Finally, it</w:t>
      </w:r>
      <w:r w:rsidR="00976E08" w:rsidRPr="00672658">
        <w:rPr>
          <w:lang w:val="en-GB"/>
        </w:rPr>
        <w:t xml:space="preserve"> is concluded that the STEAM model can be easily implemented in a traditional </w:t>
      </w:r>
      <w:r w:rsidR="00976E08" w:rsidRPr="005F2FCA">
        <w:rPr>
          <w:lang w:val="en-GB"/>
        </w:rPr>
        <w:t>school and</w:t>
      </w:r>
      <w:r w:rsidR="00976E08" w:rsidRPr="00672658">
        <w:rPr>
          <w:lang w:val="en-GB"/>
        </w:rPr>
        <w:t xml:space="preserve"> that robotics promotes not only the mathematical competence and competences of 21st century, but also de self-regulation of learning in early childhood education. </w:t>
      </w:r>
    </w:p>
    <w:p w14:paraId="58BC7051" w14:textId="71EF32C1" w:rsidR="00A945C2" w:rsidRPr="00D3485F" w:rsidRDefault="00A945C2" w:rsidP="00EE2C30">
      <w:pPr>
        <w:pStyle w:val="Ttulo1"/>
        <w:rPr>
          <w:lang w:val="en-GB"/>
        </w:rPr>
      </w:pPr>
      <w:r w:rsidRPr="00D3485F">
        <w:rPr>
          <w:b/>
          <w:lang w:val="en-GB"/>
        </w:rPr>
        <w:t>Key Words</w:t>
      </w:r>
      <w:r w:rsidRPr="00D3485F">
        <w:rPr>
          <w:lang w:val="en-GB"/>
        </w:rPr>
        <w:t xml:space="preserve">: </w:t>
      </w:r>
      <w:r w:rsidR="00221D29" w:rsidRPr="00D3485F">
        <w:rPr>
          <w:lang w:val="en-GB"/>
        </w:rPr>
        <w:t>Pre-school education, Robotics, Geometry, Assessment</w:t>
      </w:r>
    </w:p>
    <w:p w14:paraId="502DB428" w14:textId="77777777" w:rsidR="00AF3498" w:rsidRPr="00D3485F" w:rsidRDefault="00AF3498">
      <w:pPr>
        <w:rPr>
          <w:lang w:val="en-GB"/>
        </w:rPr>
      </w:pPr>
      <w:r w:rsidRPr="00D3485F">
        <w:rPr>
          <w:lang w:val="en-GB"/>
        </w:rPr>
        <w:br w:type="page"/>
      </w:r>
    </w:p>
    <w:p w14:paraId="04654F7B" w14:textId="77777777" w:rsidR="00AF3498" w:rsidRPr="00A5326E" w:rsidRDefault="00AF3498" w:rsidP="00C053D5">
      <w:pPr>
        <w:pStyle w:val="APARTADOPRINCIPAL"/>
        <w:rPr>
          <w:lang w:val="es-ES"/>
        </w:rPr>
      </w:pPr>
      <w:r w:rsidRPr="00D51E44">
        <w:rPr>
          <w:lang w:val="es-ES"/>
        </w:rPr>
        <w:lastRenderedPageBreak/>
        <w:t>1</w:t>
      </w:r>
      <w:r w:rsidRPr="00A5326E">
        <w:rPr>
          <w:lang w:val="es-ES"/>
        </w:rPr>
        <w:t>. INTRODUCCIÓN</w:t>
      </w:r>
    </w:p>
    <w:p w14:paraId="3DA6D935" w14:textId="066F3A1C" w:rsidR="00AF3498" w:rsidRDefault="00A5326E" w:rsidP="00C053D5">
      <w:pPr>
        <w:pStyle w:val="TEXTOSARTICULOS"/>
        <w:jc w:val="both"/>
        <w:rPr>
          <w:lang w:val="es-ES"/>
        </w:rPr>
      </w:pPr>
      <w:r w:rsidRPr="00A5326E">
        <w:rPr>
          <w:lang w:val="es-ES"/>
        </w:rPr>
        <w:t>El Currículum de Educación Infantil de Cataluña (2016) afirma que es imprescindible que los niños se sitúen</w:t>
      </w:r>
      <w:r>
        <w:rPr>
          <w:lang w:val="es-ES"/>
        </w:rPr>
        <w:t xml:space="preserve"> en el espacio y que, por tanto, se</w:t>
      </w:r>
      <w:r w:rsidR="00360B22">
        <w:rPr>
          <w:lang w:val="es-ES"/>
        </w:rPr>
        <w:t xml:space="preserve"> </w:t>
      </w:r>
      <w:r w:rsidR="009406AE">
        <w:rPr>
          <w:lang w:val="es-ES"/>
        </w:rPr>
        <w:t>les debe</w:t>
      </w:r>
      <w:r>
        <w:rPr>
          <w:lang w:val="es-ES"/>
        </w:rPr>
        <w:t xml:space="preserve"> proponer situaciones en las que sitúen objetos, reconociendo la posición que ocupan y la distancia respecto de un punto. Así, se empieza a construir el pensamiento geométrico. También defiende que la escuela debe ser un espacio de comunicación donde la comprensión e interpretación del lenguaje oral sea el centro de las actividades del día a día. Asimismo, el hecho que el aprendizaje deba ser significativo y globalizado, obliga a diseñar situaciones de aula motivadoras para los estudiantes</w:t>
      </w:r>
      <w:r w:rsidR="00672658">
        <w:rPr>
          <w:lang w:val="es-ES"/>
        </w:rPr>
        <w:t>,</w:t>
      </w:r>
      <w:r>
        <w:rPr>
          <w:lang w:val="es-ES"/>
        </w:rPr>
        <w:t xml:space="preserve"> basadas en la manipulación y la experimentación (Antón </w:t>
      </w:r>
      <w:r w:rsidR="00EA2C4C">
        <w:rPr>
          <w:lang w:val="es-ES"/>
        </w:rPr>
        <w:t>&amp;</w:t>
      </w:r>
      <w:r>
        <w:rPr>
          <w:lang w:val="es-ES"/>
        </w:rPr>
        <w:t xml:space="preserve"> Gómez, 2016). En la misma línea, Arnaiz (2005) argumenta que </w:t>
      </w:r>
      <w:r w:rsidR="00360B22">
        <w:rPr>
          <w:lang w:val="es-ES"/>
        </w:rPr>
        <w:t xml:space="preserve">hay </w:t>
      </w:r>
      <w:r w:rsidR="009406AE">
        <w:rPr>
          <w:lang w:val="es-ES"/>
        </w:rPr>
        <w:t>que proporcionar</w:t>
      </w:r>
      <w:r>
        <w:rPr>
          <w:lang w:val="es-ES"/>
        </w:rPr>
        <w:t xml:space="preserve"> a los niños </w:t>
      </w:r>
      <w:r w:rsidR="004536E0">
        <w:rPr>
          <w:lang w:val="es-ES"/>
        </w:rPr>
        <w:t xml:space="preserve">situaciones </w:t>
      </w:r>
      <w:r>
        <w:rPr>
          <w:lang w:val="es-ES"/>
        </w:rPr>
        <w:t xml:space="preserve">donde </w:t>
      </w:r>
      <w:r w:rsidR="00D51E44">
        <w:rPr>
          <w:lang w:val="es-ES"/>
        </w:rPr>
        <w:t xml:space="preserve">tengan que hacer </w:t>
      </w:r>
      <w:r w:rsidR="009406AE">
        <w:rPr>
          <w:lang w:val="es-ES"/>
        </w:rPr>
        <w:t>representaciones ya</w:t>
      </w:r>
      <w:r>
        <w:rPr>
          <w:lang w:val="es-ES"/>
        </w:rPr>
        <w:t xml:space="preserve"> que, así, se les permite</w:t>
      </w:r>
      <w:r w:rsidR="00B61531">
        <w:rPr>
          <w:lang w:val="es-ES"/>
        </w:rPr>
        <w:t xml:space="preserve"> </w:t>
      </w:r>
      <w:r w:rsidR="009406AE">
        <w:rPr>
          <w:lang w:val="es-ES"/>
        </w:rPr>
        <w:t>configurar sus</w:t>
      </w:r>
      <w:r>
        <w:rPr>
          <w:lang w:val="es-ES"/>
        </w:rPr>
        <w:t xml:space="preserve"> propias ideas a través de una forma significativa para ellos.</w:t>
      </w:r>
      <w:r w:rsidRPr="00A5326E">
        <w:rPr>
          <w:lang w:val="es-ES"/>
        </w:rPr>
        <w:t xml:space="preserve"> </w:t>
      </w:r>
    </w:p>
    <w:p w14:paraId="44E79095" w14:textId="7BAB019C" w:rsidR="00A5326E" w:rsidRDefault="00A5326E" w:rsidP="00C053D5">
      <w:pPr>
        <w:pStyle w:val="TEXTOSARTICULOS"/>
        <w:jc w:val="both"/>
        <w:rPr>
          <w:lang w:val="es-ES"/>
        </w:rPr>
      </w:pPr>
      <w:r>
        <w:rPr>
          <w:lang w:val="es-ES"/>
        </w:rPr>
        <w:t xml:space="preserve">En el caso particular de las matemáticas, el </w:t>
      </w:r>
      <w:proofErr w:type="spellStart"/>
      <w:r>
        <w:rPr>
          <w:lang w:val="es-ES"/>
        </w:rPr>
        <w:t>National</w:t>
      </w:r>
      <w:proofErr w:type="spellEnd"/>
      <w:r>
        <w:rPr>
          <w:lang w:val="es-ES"/>
        </w:rPr>
        <w:t xml:space="preserve"> Council of </w:t>
      </w:r>
      <w:proofErr w:type="spellStart"/>
      <w:r>
        <w:rPr>
          <w:lang w:val="es-ES"/>
        </w:rPr>
        <w:t>Teachers</w:t>
      </w:r>
      <w:proofErr w:type="spellEnd"/>
      <w:r>
        <w:rPr>
          <w:lang w:val="es-ES"/>
        </w:rPr>
        <w:t xml:space="preserve"> of </w:t>
      </w:r>
      <w:proofErr w:type="spellStart"/>
      <w:r>
        <w:rPr>
          <w:lang w:val="es-ES"/>
        </w:rPr>
        <w:t>Mathematics</w:t>
      </w:r>
      <w:proofErr w:type="spellEnd"/>
      <w:r w:rsidR="00FD21F8">
        <w:rPr>
          <w:lang w:val="es-ES"/>
        </w:rPr>
        <w:t xml:space="preserve"> </w:t>
      </w:r>
      <w:r>
        <w:rPr>
          <w:lang w:val="es-ES"/>
        </w:rPr>
        <w:t>(NCTM</w:t>
      </w:r>
      <w:r w:rsidR="004536E0">
        <w:rPr>
          <w:lang w:val="es-ES"/>
        </w:rPr>
        <w:t>, de aquí en adelante</w:t>
      </w:r>
      <w:r>
        <w:rPr>
          <w:lang w:val="es-ES"/>
        </w:rPr>
        <w:t>)</w:t>
      </w:r>
      <w:r w:rsidR="004536E0">
        <w:rPr>
          <w:lang w:val="es-ES"/>
        </w:rPr>
        <w:t xml:space="preserve">, </w:t>
      </w:r>
      <w:r>
        <w:rPr>
          <w:lang w:val="es-ES"/>
        </w:rPr>
        <w:t xml:space="preserve">defiende que </w:t>
      </w:r>
      <w:r w:rsidR="004536E0">
        <w:rPr>
          <w:lang w:val="es-ES"/>
        </w:rPr>
        <w:t>a los estudiantes</w:t>
      </w:r>
      <w:r>
        <w:rPr>
          <w:lang w:val="es-ES"/>
        </w:rPr>
        <w:t xml:space="preserve"> </w:t>
      </w:r>
      <w:r w:rsidR="00FD21F8">
        <w:rPr>
          <w:lang w:val="es-ES"/>
        </w:rPr>
        <w:t xml:space="preserve">de </w:t>
      </w:r>
      <w:r>
        <w:rPr>
          <w:lang w:val="es-ES"/>
        </w:rPr>
        <w:t xml:space="preserve">educación infantil </w:t>
      </w:r>
      <w:r w:rsidR="004536E0">
        <w:rPr>
          <w:lang w:val="es-ES"/>
        </w:rPr>
        <w:t>se les debe ofrecer</w:t>
      </w:r>
      <w:r>
        <w:rPr>
          <w:lang w:val="es-ES"/>
        </w:rPr>
        <w:t xml:space="preserve"> oportunidades de exteriorizar lo que comprenden con su propio lenguaje</w:t>
      </w:r>
      <w:r w:rsidR="00F10771">
        <w:rPr>
          <w:lang w:val="es-ES"/>
        </w:rPr>
        <w:t xml:space="preserve"> oral, escrito o gráfico, porque los procesos matemáticos de la comunicación y la representación les permiten aclarar, organizar y consolidar su pensamiento y aprendizaje (NCTM, 2000).</w:t>
      </w:r>
    </w:p>
    <w:p w14:paraId="02A2852A" w14:textId="2AE75ED7" w:rsidR="00704B38" w:rsidRDefault="00704B38" w:rsidP="00C053D5">
      <w:pPr>
        <w:pStyle w:val="TEXTOSARTICULOS"/>
        <w:jc w:val="both"/>
        <w:rPr>
          <w:lang w:val="es-ES"/>
        </w:rPr>
      </w:pPr>
      <w:r>
        <w:rPr>
          <w:lang w:val="es-ES"/>
        </w:rPr>
        <w:t>Una disciplina-recurso que cumple todos los requisitos anteriores es la robótica, ya que desarrolla y fomenta la imaginación, la creatividad, potencia la comunicación y la toma de decisiones colectivas (</w:t>
      </w:r>
      <w:proofErr w:type="gramStart"/>
      <w:r>
        <w:rPr>
          <w:lang w:val="es-ES"/>
        </w:rPr>
        <w:t>Gallego</w:t>
      </w:r>
      <w:proofErr w:type="gramEnd"/>
      <w:r>
        <w:rPr>
          <w:lang w:val="es-ES"/>
        </w:rPr>
        <w:t>, 2010). Además, su carácter motivador y multidis</w:t>
      </w:r>
      <w:r w:rsidR="00883C61">
        <w:rPr>
          <w:lang w:val="es-ES"/>
        </w:rPr>
        <w:t xml:space="preserve">ciplinar, genera </w:t>
      </w:r>
      <w:r>
        <w:rPr>
          <w:lang w:val="es-ES"/>
        </w:rPr>
        <w:t xml:space="preserve">ambientes de aprendizaje significativo que contribuyen </w:t>
      </w:r>
      <w:r w:rsidR="00105B97">
        <w:rPr>
          <w:lang w:val="es-ES"/>
        </w:rPr>
        <w:t>positivamente a</w:t>
      </w:r>
      <w:r>
        <w:rPr>
          <w:lang w:val="es-ES"/>
        </w:rPr>
        <w:t xml:space="preserve"> que el niño construya su propio </w:t>
      </w:r>
      <w:r w:rsidR="00672658">
        <w:rPr>
          <w:lang w:val="es-ES"/>
        </w:rPr>
        <w:t xml:space="preserve">conocimiento </w:t>
      </w:r>
      <w:r>
        <w:rPr>
          <w:lang w:val="es-ES"/>
        </w:rPr>
        <w:t xml:space="preserve">(Del Mar, 2006). Un robot diseñado para </w:t>
      </w:r>
      <w:r w:rsidR="007B4B16">
        <w:rPr>
          <w:lang w:val="es-ES"/>
        </w:rPr>
        <w:t xml:space="preserve">la interiorización de las nociones espaciales y, en consecuencia, para que los niños aprendan a orientarse </w:t>
      </w:r>
      <w:r w:rsidR="008D4EBB">
        <w:rPr>
          <w:lang w:val="es-ES"/>
        </w:rPr>
        <w:t>es</w:t>
      </w:r>
      <w:r w:rsidR="008A5F4F">
        <w:rPr>
          <w:lang w:val="es-ES"/>
        </w:rPr>
        <w:t xml:space="preserve"> la Blue-</w:t>
      </w:r>
      <w:proofErr w:type="spellStart"/>
      <w:r w:rsidR="008A5F4F">
        <w:rPr>
          <w:lang w:val="es-ES"/>
        </w:rPr>
        <w:t>Bot</w:t>
      </w:r>
      <w:proofErr w:type="spellEnd"/>
      <w:r w:rsidR="008A5F4F">
        <w:rPr>
          <w:lang w:val="es-ES"/>
        </w:rPr>
        <w:t xml:space="preserve">. </w:t>
      </w:r>
    </w:p>
    <w:p w14:paraId="4A64F661" w14:textId="4C6FA5F2" w:rsidR="00E06FDC" w:rsidRDefault="00143DCC" w:rsidP="00C053D5">
      <w:pPr>
        <w:pStyle w:val="TEXTOSARTICULOS"/>
        <w:jc w:val="both"/>
        <w:rPr>
          <w:lang w:val="es-ES"/>
        </w:rPr>
      </w:pPr>
      <w:r>
        <w:rPr>
          <w:lang w:val="es-ES"/>
        </w:rPr>
        <w:t>En España, el curr</w:t>
      </w:r>
      <w:r w:rsidR="000013B7">
        <w:rPr>
          <w:lang w:val="es-ES"/>
        </w:rPr>
        <w:t>ículum</w:t>
      </w:r>
      <w:r>
        <w:rPr>
          <w:lang w:val="es-ES"/>
        </w:rPr>
        <w:t xml:space="preserve"> de infantil no incluye contenidos específicos de robótica educativa, por lo que c</w:t>
      </w:r>
      <w:r w:rsidR="00360B22">
        <w:rPr>
          <w:lang w:val="es-ES"/>
        </w:rPr>
        <w:t>ompartimos con Alsina y Acosta (2018) que,</w:t>
      </w:r>
      <w:r w:rsidR="00E06FDC">
        <w:rPr>
          <w:lang w:val="es-ES"/>
        </w:rPr>
        <w:t xml:space="preserve"> en la actualidad, es un </w:t>
      </w:r>
      <w:r>
        <w:rPr>
          <w:lang w:val="es-ES"/>
        </w:rPr>
        <w:t xml:space="preserve">reto para la escuela incorporarla </w:t>
      </w:r>
      <w:r w:rsidR="00E06FDC">
        <w:rPr>
          <w:lang w:val="es-ES"/>
        </w:rPr>
        <w:t>en los procesos de enseñanza y aprendizaje y</w:t>
      </w:r>
      <w:r>
        <w:rPr>
          <w:lang w:val="es-ES"/>
        </w:rPr>
        <w:t>,</w:t>
      </w:r>
      <w:r w:rsidR="00E06FDC">
        <w:rPr>
          <w:lang w:val="es-ES"/>
        </w:rPr>
        <w:t xml:space="preserve"> </w:t>
      </w:r>
      <w:r>
        <w:rPr>
          <w:lang w:val="es-ES"/>
        </w:rPr>
        <w:t xml:space="preserve">así, </w:t>
      </w:r>
      <w:r w:rsidR="00E06FDC">
        <w:rPr>
          <w:lang w:val="es-ES"/>
        </w:rPr>
        <w:t>trabajar a partir del modelo STEAM</w:t>
      </w:r>
      <w:r w:rsidR="00BC6CBD">
        <w:rPr>
          <w:lang w:val="es-ES"/>
        </w:rPr>
        <w:t xml:space="preserve"> de </w:t>
      </w:r>
      <w:proofErr w:type="spellStart"/>
      <w:r w:rsidR="007D775D">
        <w:rPr>
          <w:lang w:val="es-ES"/>
        </w:rPr>
        <w:t>Yakma</w:t>
      </w:r>
      <w:r w:rsidR="00BC6CBD">
        <w:rPr>
          <w:lang w:val="es-ES"/>
        </w:rPr>
        <w:t>n</w:t>
      </w:r>
      <w:proofErr w:type="spellEnd"/>
      <w:r w:rsidR="007D775D">
        <w:rPr>
          <w:lang w:val="es-ES"/>
        </w:rPr>
        <w:t xml:space="preserve"> </w:t>
      </w:r>
      <w:r w:rsidR="00BC6CBD">
        <w:rPr>
          <w:lang w:val="es-ES"/>
        </w:rPr>
        <w:t>(</w:t>
      </w:r>
      <w:r w:rsidR="007D775D">
        <w:rPr>
          <w:lang w:val="es-ES"/>
        </w:rPr>
        <w:t>2008)</w:t>
      </w:r>
      <w:r>
        <w:rPr>
          <w:lang w:val="es-ES"/>
        </w:rPr>
        <w:t>. Por tanto, creemos</w:t>
      </w:r>
      <w:r w:rsidR="00E06FDC">
        <w:rPr>
          <w:lang w:val="es-ES"/>
        </w:rPr>
        <w:t xml:space="preserve"> que dentro de la investigación en educación </w:t>
      </w:r>
      <w:r w:rsidR="00E06FDC">
        <w:rPr>
          <w:lang w:val="es-ES"/>
        </w:rPr>
        <w:lastRenderedPageBreak/>
        <w:t xml:space="preserve">matemática son necesarios trabajos orientados al diseño de modelos instruccionales con </w:t>
      </w:r>
      <w:r w:rsidR="00360B22">
        <w:rPr>
          <w:lang w:val="es-ES"/>
        </w:rPr>
        <w:t xml:space="preserve">dicha </w:t>
      </w:r>
      <w:r w:rsidR="00E06FDC">
        <w:rPr>
          <w:lang w:val="es-ES"/>
        </w:rPr>
        <w:t xml:space="preserve">metodología. </w:t>
      </w:r>
    </w:p>
    <w:p w14:paraId="41D54B1F" w14:textId="03634438" w:rsidR="00E06FDC" w:rsidRDefault="008D4EBB" w:rsidP="00C053D5">
      <w:pPr>
        <w:pStyle w:val="TEXTOSARTICULOS"/>
        <w:jc w:val="both"/>
        <w:rPr>
          <w:lang w:val="es-ES"/>
        </w:rPr>
      </w:pPr>
      <w:r>
        <w:rPr>
          <w:lang w:val="es-ES"/>
        </w:rPr>
        <w:t>Por todo ello, e</w:t>
      </w:r>
      <w:r w:rsidR="00E06FDC">
        <w:rPr>
          <w:lang w:val="es-ES"/>
        </w:rPr>
        <w:t>l objetivo de esta investigación es valorar la idoneidad didáctica de un proceso de enseñanza y aprendizaje diseñado para la adquisición de las nociones de orientación espacial, así como para la integración de la robótica en educación infantil.</w:t>
      </w:r>
      <w:r w:rsidR="005A190F">
        <w:rPr>
          <w:lang w:val="es-ES"/>
        </w:rPr>
        <w:t xml:space="preserve"> </w:t>
      </w:r>
    </w:p>
    <w:p w14:paraId="123CC1EF" w14:textId="1C0CB453" w:rsidR="005A190F" w:rsidRDefault="005A190F" w:rsidP="00C053D5">
      <w:pPr>
        <w:pStyle w:val="TEXTOSARTICULOS"/>
        <w:jc w:val="both"/>
        <w:rPr>
          <w:lang w:val="es-ES"/>
        </w:rPr>
      </w:pPr>
      <w:r>
        <w:rPr>
          <w:lang w:val="es-ES"/>
        </w:rPr>
        <w:t xml:space="preserve">A continuación, se exponen las principales teorías que sustentan esta investigación; seguidamente, se presenta el método de estudio, así como el diseño de la propuesta didáctica. En el apartado 3 se describe y se valora la idoneidad didáctica del proceso implementado y, finalmente, se </w:t>
      </w:r>
      <w:r w:rsidR="00143DCC">
        <w:rPr>
          <w:lang w:val="es-ES"/>
        </w:rPr>
        <w:t>exponen</w:t>
      </w:r>
      <w:r>
        <w:rPr>
          <w:lang w:val="es-ES"/>
        </w:rPr>
        <w:t xml:space="preserve"> las conclusiones. </w:t>
      </w:r>
    </w:p>
    <w:p w14:paraId="0CD9421A" w14:textId="77777777" w:rsidR="00B05195" w:rsidRPr="00B05195" w:rsidRDefault="00522315" w:rsidP="00C053D5">
      <w:pPr>
        <w:pStyle w:val="Ttulo4"/>
        <w:numPr>
          <w:ilvl w:val="1"/>
          <w:numId w:val="1"/>
        </w:numPr>
        <w:ind w:left="0" w:firstLine="0"/>
        <w:jc w:val="both"/>
        <w:rPr>
          <w:b/>
          <w:i w:val="0"/>
          <w:sz w:val="22"/>
        </w:rPr>
      </w:pPr>
      <w:r>
        <w:rPr>
          <w:b/>
          <w:i w:val="0"/>
          <w:sz w:val="22"/>
        </w:rPr>
        <w:t>Robótica educativa</w:t>
      </w:r>
    </w:p>
    <w:p w14:paraId="445DAB81" w14:textId="19EEAA95" w:rsidR="00ED1ADB" w:rsidRDefault="00E72963" w:rsidP="00C053D5">
      <w:pPr>
        <w:spacing w:after="0" w:line="360" w:lineRule="auto"/>
        <w:jc w:val="both"/>
        <w:rPr>
          <w:sz w:val="22"/>
        </w:rPr>
      </w:pPr>
      <w:r>
        <w:rPr>
          <w:sz w:val="22"/>
        </w:rPr>
        <w:t>A través</w:t>
      </w:r>
      <w:r w:rsidR="00DA5F7B">
        <w:rPr>
          <w:sz w:val="22"/>
        </w:rPr>
        <w:t xml:space="preserve"> de la robótica se puede desarrollar el pensamiento computacional de los estudiantes</w:t>
      </w:r>
      <w:r w:rsidR="00301FE5">
        <w:rPr>
          <w:sz w:val="22"/>
        </w:rPr>
        <w:t>. Es</w:t>
      </w:r>
      <w:r w:rsidR="00A2216B">
        <w:rPr>
          <w:sz w:val="22"/>
        </w:rPr>
        <w:t xml:space="preserve"> </w:t>
      </w:r>
      <w:r w:rsidR="00DA5F7B">
        <w:rPr>
          <w:sz w:val="22"/>
        </w:rPr>
        <w:t xml:space="preserve">una forma de resolución de problemas </w:t>
      </w:r>
      <w:r w:rsidR="00301FE5">
        <w:rPr>
          <w:sz w:val="22"/>
        </w:rPr>
        <w:t xml:space="preserve">y de diseño, </w:t>
      </w:r>
      <w:r>
        <w:rPr>
          <w:sz w:val="22"/>
        </w:rPr>
        <w:t xml:space="preserve">que </w:t>
      </w:r>
      <w:r w:rsidR="00301FE5">
        <w:rPr>
          <w:sz w:val="22"/>
        </w:rPr>
        <w:t>usa la abstracción y la descomposición, así como un razonamiento heurístico (</w:t>
      </w:r>
      <w:proofErr w:type="spellStart"/>
      <w:r w:rsidR="00301FE5">
        <w:rPr>
          <w:sz w:val="22"/>
        </w:rPr>
        <w:t>Wing</w:t>
      </w:r>
      <w:proofErr w:type="spellEnd"/>
      <w:r w:rsidR="00301FE5">
        <w:rPr>
          <w:sz w:val="22"/>
        </w:rPr>
        <w:t>, 2006); a</w:t>
      </w:r>
      <w:r w:rsidR="00F91F3F">
        <w:rPr>
          <w:sz w:val="22"/>
        </w:rPr>
        <w:t xml:space="preserve"> su vez, contribuye a la organización y el análisis de datos de forma </w:t>
      </w:r>
      <w:r w:rsidR="009406AE">
        <w:rPr>
          <w:sz w:val="22"/>
        </w:rPr>
        <w:t>lógica (</w:t>
      </w:r>
      <w:r w:rsidR="00F91F3F">
        <w:rPr>
          <w:sz w:val="22"/>
        </w:rPr>
        <w:t xml:space="preserve">Alsina </w:t>
      </w:r>
      <w:r w:rsidR="009406AE">
        <w:rPr>
          <w:sz w:val="22"/>
        </w:rPr>
        <w:t>&amp;</w:t>
      </w:r>
      <w:r w:rsidR="00F91F3F">
        <w:rPr>
          <w:sz w:val="22"/>
        </w:rPr>
        <w:t xml:space="preserve"> Acosta, 2018). </w:t>
      </w:r>
      <w:r w:rsidR="00DA5F7B">
        <w:rPr>
          <w:sz w:val="22"/>
        </w:rPr>
        <w:t xml:space="preserve">En 1985, </w:t>
      </w:r>
      <w:proofErr w:type="spellStart"/>
      <w:r w:rsidR="00DA5F7B">
        <w:rPr>
          <w:sz w:val="22"/>
        </w:rPr>
        <w:t>Papert</w:t>
      </w:r>
      <w:proofErr w:type="spellEnd"/>
      <w:r w:rsidR="00DA5F7B">
        <w:rPr>
          <w:sz w:val="22"/>
        </w:rPr>
        <w:t xml:space="preserve"> ya defendía que el pensamiento computacional es una herramienta eficaz para abordar conocimientos matemáticos. De hecho, el lenguaje LOGO que introdujo se puede considerar plenamente un precursor del robot </w:t>
      </w:r>
      <w:proofErr w:type="spellStart"/>
      <w:r w:rsidR="00DA5F7B">
        <w:rPr>
          <w:sz w:val="22"/>
        </w:rPr>
        <w:t>Bee-Bot</w:t>
      </w:r>
      <w:proofErr w:type="spellEnd"/>
      <w:r w:rsidR="00DA5F7B">
        <w:rPr>
          <w:sz w:val="22"/>
        </w:rPr>
        <w:t>.</w:t>
      </w:r>
      <w:r w:rsidR="00EB1155">
        <w:rPr>
          <w:sz w:val="22"/>
        </w:rPr>
        <w:t xml:space="preserve"> </w:t>
      </w:r>
    </w:p>
    <w:p w14:paraId="1DA6C70D" w14:textId="5D869E58" w:rsidR="00DD0BA1" w:rsidRDefault="00AC6AEF" w:rsidP="00C053D5">
      <w:pPr>
        <w:spacing w:after="0" w:line="360" w:lineRule="auto"/>
        <w:jc w:val="both"/>
        <w:rPr>
          <w:sz w:val="22"/>
        </w:rPr>
      </w:pPr>
      <w:r>
        <w:rPr>
          <w:sz w:val="22"/>
        </w:rPr>
        <w:t>En la educación tecnológica s</w:t>
      </w:r>
      <w:r w:rsidR="00301FE5">
        <w:rPr>
          <w:sz w:val="22"/>
        </w:rPr>
        <w:t>e</w:t>
      </w:r>
      <w:r w:rsidR="00D239F9">
        <w:rPr>
          <w:sz w:val="22"/>
        </w:rPr>
        <w:t xml:space="preserve"> proponen tres vías distintas para integrar la robótica en las aulas: como </w:t>
      </w:r>
      <w:r>
        <w:rPr>
          <w:sz w:val="22"/>
        </w:rPr>
        <w:t xml:space="preserve">un </w:t>
      </w:r>
      <w:r w:rsidR="00D239F9">
        <w:rPr>
          <w:sz w:val="22"/>
        </w:rPr>
        <w:t>objeto de aprendizaje</w:t>
      </w:r>
      <w:r w:rsidR="00301FE5">
        <w:rPr>
          <w:sz w:val="22"/>
        </w:rPr>
        <w:t xml:space="preserve"> de conocimientos propios de ingeniería;</w:t>
      </w:r>
      <w:r w:rsidR="00D239F9">
        <w:rPr>
          <w:sz w:val="22"/>
        </w:rPr>
        <w:t xml:space="preserve"> como </w:t>
      </w:r>
      <w:r>
        <w:rPr>
          <w:sz w:val="22"/>
        </w:rPr>
        <w:t xml:space="preserve">un </w:t>
      </w:r>
      <w:r w:rsidR="00D239F9">
        <w:rPr>
          <w:sz w:val="22"/>
        </w:rPr>
        <w:t>medio de aprendizaje</w:t>
      </w:r>
      <w:r>
        <w:rPr>
          <w:sz w:val="22"/>
        </w:rPr>
        <w:t xml:space="preserve"> en que los robots actúan como humanos y los estudiantes </w:t>
      </w:r>
      <w:proofErr w:type="spellStart"/>
      <w:r>
        <w:rPr>
          <w:sz w:val="22"/>
        </w:rPr>
        <w:t>coaprenden</w:t>
      </w:r>
      <w:proofErr w:type="spellEnd"/>
      <w:r>
        <w:rPr>
          <w:sz w:val="22"/>
        </w:rPr>
        <w:t xml:space="preserve"> con ellos</w:t>
      </w:r>
      <w:r w:rsidR="008D4EBB">
        <w:rPr>
          <w:sz w:val="22"/>
        </w:rPr>
        <w:t xml:space="preserve"> y</w:t>
      </w:r>
      <w:r w:rsidR="00D239F9">
        <w:rPr>
          <w:sz w:val="22"/>
        </w:rPr>
        <w:t xml:space="preserve"> como </w:t>
      </w:r>
      <w:r>
        <w:rPr>
          <w:sz w:val="22"/>
        </w:rPr>
        <w:t xml:space="preserve">un </w:t>
      </w:r>
      <w:r w:rsidR="00D239F9">
        <w:rPr>
          <w:sz w:val="22"/>
        </w:rPr>
        <w:t>recurso did</w:t>
      </w:r>
      <w:r w:rsidR="00C23B78">
        <w:rPr>
          <w:sz w:val="22"/>
        </w:rPr>
        <w:t>áctico</w:t>
      </w:r>
      <w:r w:rsidR="008D4EBB">
        <w:rPr>
          <w:sz w:val="22"/>
        </w:rPr>
        <w:t>,</w:t>
      </w:r>
      <w:r w:rsidR="00824494">
        <w:rPr>
          <w:sz w:val="22"/>
        </w:rPr>
        <w:t xml:space="preserve"> </w:t>
      </w:r>
      <w:r>
        <w:rPr>
          <w:sz w:val="22"/>
        </w:rPr>
        <w:t>en que los estudiantes aprenden tanto sobre rob</w:t>
      </w:r>
      <w:r w:rsidR="008D4EBB">
        <w:rPr>
          <w:sz w:val="22"/>
        </w:rPr>
        <w:t>ótica como de otras disciplinas</w:t>
      </w:r>
      <w:r>
        <w:rPr>
          <w:sz w:val="22"/>
        </w:rPr>
        <w:t xml:space="preserve"> (García-Valcárcel &amp; Caballero-González, 2019; </w:t>
      </w:r>
      <w:proofErr w:type="spellStart"/>
      <w:r>
        <w:rPr>
          <w:sz w:val="22"/>
        </w:rPr>
        <w:t>Gaudiello</w:t>
      </w:r>
      <w:proofErr w:type="spellEnd"/>
      <w:r>
        <w:rPr>
          <w:sz w:val="22"/>
        </w:rPr>
        <w:t xml:space="preserve"> &amp; </w:t>
      </w:r>
      <w:proofErr w:type="spellStart"/>
      <w:r>
        <w:rPr>
          <w:sz w:val="22"/>
        </w:rPr>
        <w:t>Zibetti</w:t>
      </w:r>
      <w:proofErr w:type="spellEnd"/>
      <w:r>
        <w:rPr>
          <w:sz w:val="22"/>
        </w:rPr>
        <w:t>, 2016)</w:t>
      </w:r>
      <w:r w:rsidR="00DD0BA1">
        <w:rPr>
          <w:sz w:val="22"/>
        </w:rPr>
        <w:t>.</w:t>
      </w:r>
      <w:r w:rsidR="009E36F1">
        <w:rPr>
          <w:sz w:val="22"/>
        </w:rPr>
        <w:t xml:space="preserve"> En la experiencia que presenta</w:t>
      </w:r>
      <w:r w:rsidR="00F41110">
        <w:rPr>
          <w:sz w:val="22"/>
        </w:rPr>
        <w:t>mos</w:t>
      </w:r>
      <w:r w:rsidR="000A1516">
        <w:rPr>
          <w:sz w:val="22"/>
        </w:rPr>
        <w:t xml:space="preserve"> </w:t>
      </w:r>
      <w:r w:rsidR="00673787">
        <w:rPr>
          <w:sz w:val="22"/>
        </w:rPr>
        <w:t>la Blue-</w:t>
      </w:r>
      <w:proofErr w:type="spellStart"/>
      <w:r w:rsidR="00673787">
        <w:rPr>
          <w:sz w:val="22"/>
        </w:rPr>
        <w:t>Bot</w:t>
      </w:r>
      <w:proofErr w:type="spellEnd"/>
      <w:r w:rsidR="009E36F1">
        <w:rPr>
          <w:sz w:val="22"/>
        </w:rPr>
        <w:t xml:space="preserve"> </w:t>
      </w:r>
      <w:r w:rsidR="008D4EBB">
        <w:rPr>
          <w:sz w:val="22"/>
        </w:rPr>
        <w:t>es</w:t>
      </w:r>
      <w:r w:rsidR="00F41110">
        <w:rPr>
          <w:sz w:val="22"/>
        </w:rPr>
        <w:t xml:space="preserve"> </w:t>
      </w:r>
      <w:r w:rsidR="00064B4C">
        <w:rPr>
          <w:sz w:val="22"/>
        </w:rPr>
        <w:t xml:space="preserve">una herramienta </w:t>
      </w:r>
      <w:r w:rsidR="00824494">
        <w:rPr>
          <w:sz w:val="22"/>
        </w:rPr>
        <w:t xml:space="preserve">para mejorar </w:t>
      </w:r>
      <w:r>
        <w:rPr>
          <w:sz w:val="22"/>
        </w:rPr>
        <w:t>el aprendizaje</w:t>
      </w:r>
      <w:r w:rsidR="00824494">
        <w:rPr>
          <w:sz w:val="22"/>
        </w:rPr>
        <w:t xml:space="preserve"> de las nociones de orientación espacial</w:t>
      </w:r>
      <w:r w:rsidR="000A1516">
        <w:rPr>
          <w:sz w:val="22"/>
        </w:rPr>
        <w:t>, pues el pensamiento computacional contribuye a su adquisición (</w:t>
      </w:r>
      <w:proofErr w:type="spellStart"/>
      <w:r w:rsidR="000A1516">
        <w:rPr>
          <w:sz w:val="22"/>
        </w:rPr>
        <w:t>Bers</w:t>
      </w:r>
      <w:proofErr w:type="spellEnd"/>
      <w:r w:rsidR="00DC28AA">
        <w:rPr>
          <w:sz w:val="22"/>
        </w:rPr>
        <w:t>,</w:t>
      </w:r>
      <w:r w:rsidR="000A1516">
        <w:rPr>
          <w:sz w:val="22"/>
        </w:rPr>
        <w:t xml:space="preserve"> 2014; Santos </w:t>
      </w:r>
      <w:r w:rsidR="009406AE">
        <w:rPr>
          <w:sz w:val="22"/>
        </w:rPr>
        <w:t xml:space="preserve">&amp; </w:t>
      </w:r>
      <w:proofErr w:type="spellStart"/>
      <w:r w:rsidR="000A1516">
        <w:rPr>
          <w:sz w:val="22"/>
        </w:rPr>
        <w:t>Osório</w:t>
      </w:r>
      <w:proofErr w:type="spellEnd"/>
      <w:r w:rsidR="000A1516">
        <w:rPr>
          <w:sz w:val="22"/>
        </w:rPr>
        <w:t>, 2019</w:t>
      </w:r>
      <w:r w:rsidR="00ED1ADB">
        <w:rPr>
          <w:sz w:val="22"/>
        </w:rPr>
        <w:t>).</w:t>
      </w:r>
    </w:p>
    <w:p w14:paraId="222F128B" w14:textId="77777777" w:rsidR="00C42691" w:rsidRDefault="009E36F1" w:rsidP="00C053D5">
      <w:pPr>
        <w:pStyle w:val="Ttulo4"/>
        <w:numPr>
          <w:ilvl w:val="1"/>
          <w:numId w:val="1"/>
        </w:numPr>
        <w:ind w:left="0" w:firstLine="0"/>
        <w:rPr>
          <w:b/>
          <w:i w:val="0"/>
          <w:sz w:val="22"/>
        </w:rPr>
      </w:pPr>
      <w:r>
        <w:rPr>
          <w:b/>
          <w:i w:val="0"/>
          <w:sz w:val="22"/>
        </w:rPr>
        <w:t>Orientación espacial y procesos matemáticos</w:t>
      </w:r>
      <w:r w:rsidR="00A31582">
        <w:rPr>
          <w:b/>
          <w:i w:val="0"/>
          <w:sz w:val="22"/>
        </w:rPr>
        <w:t xml:space="preserve"> en educación infantil</w:t>
      </w:r>
    </w:p>
    <w:p w14:paraId="7929348A" w14:textId="4373C517" w:rsidR="00C42691" w:rsidRPr="009E36F1" w:rsidRDefault="009E36F1" w:rsidP="00D30CE5">
      <w:pPr>
        <w:spacing w:after="0" w:line="360" w:lineRule="auto"/>
        <w:jc w:val="both"/>
        <w:rPr>
          <w:sz w:val="22"/>
        </w:rPr>
      </w:pPr>
      <w:r>
        <w:rPr>
          <w:sz w:val="22"/>
        </w:rPr>
        <w:t>El concepto de</w:t>
      </w:r>
      <w:r w:rsidRPr="009E36F1">
        <w:rPr>
          <w:sz w:val="22"/>
        </w:rPr>
        <w:t xml:space="preserve"> </w:t>
      </w:r>
      <w:r>
        <w:rPr>
          <w:sz w:val="22"/>
        </w:rPr>
        <w:t xml:space="preserve">orientación espacial </w:t>
      </w:r>
      <w:r w:rsidR="00956BD1">
        <w:rPr>
          <w:sz w:val="22"/>
        </w:rPr>
        <w:t>hace referencia a la capacidad de una persona para entender, analizar y establecer las relaciones que existen entre difer</w:t>
      </w:r>
      <w:r w:rsidR="00064B4C">
        <w:rPr>
          <w:sz w:val="22"/>
        </w:rPr>
        <w:t>entes posiciones en el espacio, de forma que</w:t>
      </w:r>
      <w:r w:rsidR="00956BD1">
        <w:rPr>
          <w:sz w:val="22"/>
        </w:rPr>
        <w:t xml:space="preserve"> implica mantener la localización del propio cuerpo respecto al resto de personas u objetos. Por eso, </w:t>
      </w:r>
      <w:r w:rsidR="00956BD1">
        <w:rPr>
          <w:sz w:val="22"/>
        </w:rPr>
        <w:lastRenderedPageBreak/>
        <w:t>es importante que las relaciones topológicas (delante-detrás, izquierda-derecha, den</w:t>
      </w:r>
      <w:r w:rsidR="00064B4C">
        <w:rPr>
          <w:sz w:val="22"/>
        </w:rPr>
        <w:t xml:space="preserve">tro-fuera, encima-debajo) </w:t>
      </w:r>
      <w:r w:rsidR="00956BD1">
        <w:rPr>
          <w:sz w:val="22"/>
        </w:rPr>
        <w:t>se trabajen a partir del propio cuerpo (</w:t>
      </w:r>
      <w:proofErr w:type="spellStart"/>
      <w:r w:rsidR="00956BD1">
        <w:rPr>
          <w:sz w:val="22"/>
        </w:rPr>
        <w:t>Gonzato</w:t>
      </w:r>
      <w:proofErr w:type="spellEnd"/>
      <w:r w:rsidR="00956BD1">
        <w:rPr>
          <w:sz w:val="22"/>
        </w:rPr>
        <w:t>, Fern</w:t>
      </w:r>
      <w:r w:rsidR="009E60AB">
        <w:rPr>
          <w:sz w:val="22"/>
        </w:rPr>
        <w:t xml:space="preserve">ández </w:t>
      </w:r>
      <w:r w:rsidR="009406AE">
        <w:rPr>
          <w:sz w:val="22"/>
        </w:rPr>
        <w:t xml:space="preserve">&amp; </w:t>
      </w:r>
      <w:proofErr w:type="spellStart"/>
      <w:r w:rsidR="009E60AB">
        <w:rPr>
          <w:sz w:val="22"/>
        </w:rPr>
        <w:t>Godino</w:t>
      </w:r>
      <w:proofErr w:type="spellEnd"/>
      <w:r w:rsidR="009E60AB">
        <w:rPr>
          <w:sz w:val="22"/>
        </w:rPr>
        <w:t>, 2011).</w:t>
      </w:r>
      <w:r w:rsidR="00AF2B2D">
        <w:rPr>
          <w:sz w:val="22"/>
        </w:rPr>
        <w:t xml:space="preserve"> </w:t>
      </w:r>
      <w:r w:rsidR="00A2216B">
        <w:rPr>
          <w:sz w:val="22"/>
        </w:rPr>
        <w:t>E</w:t>
      </w:r>
      <w:r w:rsidR="00A52939">
        <w:rPr>
          <w:sz w:val="22"/>
        </w:rPr>
        <w:t>n el</w:t>
      </w:r>
      <w:r w:rsidR="009E60AB">
        <w:rPr>
          <w:sz w:val="22"/>
        </w:rPr>
        <w:t xml:space="preserve"> área de conocimiento del entorno</w:t>
      </w:r>
      <w:r w:rsidR="00A2216B">
        <w:rPr>
          <w:sz w:val="22"/>
        </w:rPr>
        <w:t xml:space="preserve"> del currículo de educación infantil</w:t>
      </w:r>
      <w:r w:rsidR="009E60AB">
        <w:rPr>
          <w:sz w:val="22"/>
        </w:rPr>
        <w:t xml:space="preserve"> </w:t>
      </w:r>
      <w:r w:rsidR="00A52939">
        <w:rPr>
          <w:sz w:val="22"/>
        </w:rPr>
        <w:t xml:space="preserve">se </w:t>
      </w:r>
      <w:r w:rsidR="00064B4C">
        <w:rPr>
          <w:sz w:val="22"/>
        </w:rPr>
        <w:t>propone trabajar</w:t>
      </w:r>
      <w:r w:rsidR="009E60AB">
        <w:rPr>
          <w:sz w:val="22"/>
        </w:rPr>
        <w:t xml:space="preserve"> la orientación espacial del siguiente modo: “la realización de desplazamientos orientados ha de hacerse desde el conocimiento del propio cuerpo y de su ubicación espacial” (MEC, 2007, p.9). En la misma línea, Canals (2009), </w:t>
      </w:r>
      <w:r w:rsidR="00A52939">
        <w:rPr>
          <w:sz w:val="22"/>
        </w:rPr>
        <w:t>considera</w:t>
      </w:r>
      <w:r w:rsidR="009E60AB">
        <w:rPr>
          <w:sz w:val="22"/>
        </w:rPr>
        <w:t xml:space="preserve"> que el conocimiento del espacio debe empezar vivencialmente, caminando y desplazándose por el entorno. Luego, hay que dar oportunidades a los niños para que expresen oralmente sus ideas</w:t>
      </w:r>
      <w:r w:rsidR="00F41110">
        <w:rPr>
          <w:sz w:val="22"/>
        </w:rPr>
        <w:t xml:space="preserve">, sus </w:t>
      </w:r>
      <w:r w:rsidR="00672658">
        <w:rPr>
          <w:sz w:val="22"/>
        </w:rPr>
        <w:t>acciones para, finalmente,</w:t>
      </w:r>
      <w:r w:rsidR="009E60AB">
        <w:rPr>
          <w:sz w:val="22"/>
        </w:rPr>
        <w:t xml:space="preserve"> pasar a la expresión plástica con tareas preparadas o representaciones libres de lo que han aprendido.</w:t>
      </w:r>
      <w:r w:rsidR="00FB75D9">
        <w:rPr>
          <w:sz w:val="22"/>
        </w:rPr>
        <w:t xml:space="preserve"> </w:t>
      </w:r>
      <w:r w:rsidR="00064B4C">
        <w:rPr>
          <w:sz w:val="22"/>
        </w:rPr>
        <w:t>Asimismo</w:t>
      </w:r>
      <w:r w:rsidR="00FB75D9">
        <w:rPr>
          <w:sz w:val="22"/>
        </w:rPr>
        <w:t xml:space="preserve">, los estándares para la educación matemática postulan </w:t>
      </w:r>
      <w:r w:rsidR="00541214">
        <w:rPr>
          <w:sz w:val="22"/>
        </w:rPr>
        <w:t>que,</w:t>
      </w:r>
      <w:r w:rsidR="00FB75D9">
        <w:rPr>
          <w:sz w:val="22"/>
        </w:rPr>
        <w:t xml:space="preserve"> si se quiere que los estudiantes sean competentes a la hora de describir, representar su entorno y desplazarse en él, es importante </w:t>
      </w:r>
      <w:r w:rsidR="00F41110">
        <w:rPr>
          <w:sz w:val="22"/>
        </w:rPr>
        <w:t xml:space="preserve">trabajar </w:t>
      </w:r>
      <w:r w:rsidR="00FB75D9">
        <w:rPr>
          <w:sz w:val="22"/>
        </w:rPr>
        <w:t>la situación y orientación espacial a partir del lenguaje hablado, dándoles y siguiendo instrucciones en varios pasos para que localicen objetos (NCTM, 2000).</w:t>
      </w:r>
      <w:r w:rsidR="00AF2B2D">
        <w:rPr>
          <w:sz w:val="22"/>
        </w:rPr>
        <w:t xml:space="preserve"> </w:t>
      </w:r>
      <w:r w:rsidR="00064B4C">
        <w:rPr>
          <w:sz w:val="22"/>
        </w:rPr>
        <w:t>Por otro lado</w:t>
      </w:r>
      <w:r w:rsidR="00A31582">
        <w:rPr>
          <w:sz w:val="22"/>
        </w:rPr>
        <w:t>,</w:t>
      </w:r>
      <w:r w:rsidR="00D43652">
        <w:rPr>
          <w:sz w:val="22"/>
        </w:rPr>
        <w:t xml:space="preserve"> en educación matemática</w:t>
      </w:r>
      <w:r w:rsidR="00A31582">
        <w:rPr>
          <w:sz w:val="22"/>
        </w:rPr>
        <w:t xml:space="preserve"> </w:t>
      </w:r>
      <w:r w:rsidR="00A52939">
        <w:rPr>
          <w:sz w:val="22"/>
        </w:rPr>
        <w:t>son importantes</w:t>
      </w:r>
      <w:r w:rsidR="00A31582">
        <w:rPr>
          <w:sz w:val="22"/>
        </w:rPr>
        <w:t xml:space="preserve"> los procesos matemáticos, </w:t>
      </w:r>
      <w:r w:rsidR="00A52939">
        <w:rPr>
          <w:sz w:val="22"/>
        </w:rPr>
        <w:t>que indican</w:t>
      </w:r>
      <w:r w:rsidR="00A31582">
        <w:rPr>
          <w:sz w:val="22"/>
        </w:rPr>
        <w:t xml:space="preserve"> cómo se deben enseñar los contenidos matemáticos en todos los niveles educativos. </w:t>
      </w:r>
      <w:r w:rsidR="00064B4C">
        <w:rPr>
          <w:sz w:val="22"/>
        </w:rPr>
        <w:t xml:space="preserve">Se establecen </w:t>
      </w:r>
      <w:r w:rsidR="00A31582">
        <w:rPr>
          <w:sz w:val="22"/>
        </w:rPr>
        <w:t>cinco procesos: resolución de problemas, razonamiento y prueba, comunicación, representación y conexiones (NCTM, 2000).</w:t>
      </w:r>
      <w:r w:rsidR="00A80326">
        <w:rPr>
          <w:sz w:val="22"/>
        </w:rPr>
        <w:t xml:space="preserve"> </w:t>
      </w:r>
      <w:r w:rsidR="00A31582">
        <w:rPr>
          <w:sz w:val="22"/>
        </w:rPr>
        <w:t xml:space="preserve">La resolución de problemas consiste en encontrar una estrategia para obtener una solución </w:t>
      </w:r>
      <w:r w:rsidR="00B65949">
        <w:rPr>
          <w:sz w:val="22"/>
        </w:rPr>
        <w:t xml:space="preserve">a una situación nueva </w:t>
      </w:r>
      <w:r w:rsidR="00A31582">
        <w:rPr>
          <w:sz w:val="22"/>
        </w:rPr>
        <w:t xml:space="preserve">que no se puede conseguir de manera </w:t>
      </w:r>
      <w:r w:rsidR="00B65949">
        <w:rPr>
          <w:sz w:val="22"/>
        </w:rPr>
        <w:t>inmediata (Alsina, 2014). Por otra parte, las experiencias y las ideas intuitivas no se convierten en matemáticas hasta que los alumnos reflexion</w:t>
      </w:r>
      <w:r w:rsidR="00F41110">
        <w:rPr>
          <w:sz w:val="22"/>
        </w:rPr>
        <w:t>a</w:t>
      </w:r>
      <w:r w:rsidR="00B65949">
        <w:rPr>
          <w:sz w:val="22"/>
        </w:rPr>
        <w:t xml:space="preserve">n sobre ellas, las representan y las conectan con otras ideas (NAYEC </w:t>
      </w:r>
      <w:r w:rsidR="00A52939">
        <w:rPr>
          <w:sz w:val="22"/>
        </w:rPr>
        <w:t>&amp;</w:t>
      </w:r>
      <w:r w:rsidR="00B65949">
        <w:rPr>
          <w:sz w:val="22"/>
        </w:rPr>
        <w:t xml:space="preserve"> NCTM, 2013), por eso es tan importante llevar a cabo procesos de comunicación y representación. En cuanto al proceso de conexiones, es </w:t>
      </w:r>
      <w:r w:rsidR="00064B4C">
        <w:rPr>
          <w:sz w:val="22"/>
        </w:rPr>
        <w:t>necesario</w:t>
      </w:r>
      <w:r w:rsidR="00B65949">
        <w:rPr>
          <w:sz w:val="22"/>
        </w:rPr>
        <w:t xml:space="preserve"> que en los primeros niveles educativos se relacionen las matemáticas informales que surgen de las experiencias personales de los niños con las matemáticas de la escuela (NCTM, 2000). La misma idea </w:t>
      </w:r>
      <w:r w:rsidR="00F41110">
        <w:rPr>
          <w:sz w:val="22"/>
        </w:rPr>
        <w:t xml:space="preserve">propone </w:t>
      </w:r>
      <w:r w:rsidR="00B65949">
        <w:rPr>
          <w:sz w:val="22"/>
        </w:rPr>
        <w:t>el currículum de educación infantil de Cataluña (2016) a partir de las actividades globalizadoras</w:t>
      </w:r>
      <w:r w:rsidR="006E2148">
        <w:rPr>
          <w:sz w:val="22"/>
        </w:rPr>
        <w:t xml:space="preserve"> y significativas</w:t>
      </w:r>
      <w:r w:rsidR="00B65949">
        <w:rPr>
          <w:sz w:val="22"/>
        </w:rPr>
        <w:t xml:space="preserve">. </w:t>
      </w:r>
    </w:p>
    <w:p w14:paraId="3CD17AE2" w14:textId="77777777" w:rsidR="00C42691" w:rsidRDefault="00B22F69" w:rsidP="00C053D5">
      <w:pPr>
        <w:pStyle w:val="Ttulo4"/>
        <w:numPr>
          <w:ilvl w:val="1"/>
          <w:numId w:val="1"/>
        </w:numPr>
        <w:ind w:left="0" w:firstLine="0"/>
        <w:rPr>
          <w:b/>
          <w:i w:val="0"/>
          <w:sz w:val="22"/>
        </w:rPr>
      </w:pPr>
      <w:r>
        <w:rPr>
          <w:b/>
          <w:i w:val="0"/>
          <w:sz w:val="22"/>
        </w:rPr>
        <w:lastRenderedPageBreak/>
        <w:t>Idoneidad didáctica</w:t>
      </w:r>
    </w:p>
    <w:p w14:paraId="66097558" w14:textId="14DE96C8" w:rsidR="005B050D" w:rsidRDefault="00231603" w:rsidP="00C053D5">
      <w:pPr>
        <w:spacing w:after="0" w:line="360" w:lineRule="auto"/>
        <w:jc w:val="both"/>
        <w:rPr>
          <w:sz w:val="22"/>
        </w:rPr>
      </w:pPr>
      <w:r>
        <w:rPr>
          <w:sz w:val="22"/>
        </w:rPr>
        <w:t>El marco teórico</w:t>
      </w:r>
      <w:r w:rsidR="00FD21F8" w:rsidRPr="00FD21F8">
        <w:rPr>
          <w:sz w:val="22"/>
        </w:rPr>
        <w:t xml:space="preserve"> </w:t>
      </w:r>
      <w:r w:rsidR="00585905">
        <w:rPr>
          <w:sz w:val="22"/>
        </w:rPr>
        <w:t xml:space="preserve">del </w:t>
      </w:r>
      <w:r w:rsidR="00FD21F8" w:rsidRPr="00672658">
        <w:rPr>
          <w:sz w:val="22"/>
        </w:rPr>
        <w:t xml:space="preserve">Enfoque </w:t>
      </w:r>
      <w:proofErr w:type="spellStart"/>
      <w:r w:rsidR="00FD21F8" w:rsidRPr="00672658">
        <w:rPr>
          <w:sz w:val="22"/>
        </w:rPr>
        <w:t>Ontosemiótico</w:t>
      </w:r>
      <w:proofErr w:type="spellEnd"/>
      <w:r w:rsidR="00FD21F8" w:rsidRPr="00672658">
        <w:rPr>
          <w:sz w:val="22"/>
        </w:rPr>
        <w:t xml:space="preserve"> del Conocimiento y la Instrucción Matemáticos </w:t>
      </w:r>
      <w:r w:rsidR="00FD21F8">
        <w:rPr>
          <w:sz w:val="22"/>
        </w:rPr>
        <w:t>(EOS, de aquí en adelante)</w:t>
      </w:r>
      <w:r>
        <w:rPr>
          <w:sz w:val="22"/>
        </w:rPr>
        <w:t xml:space="preserve"> </w:t>
      </w:r>
      <w:r w:rsidR="00D4734C">
        <w:rPr>
          <w:sz w:val="22"/>
        </w:rPr>
        <w:t>(</w:t>
      </w:r>
      <w:proofErr w:type="spellStart"/>
      <w:r w:rsidR="00D4734C">
        <w:rPr>
          <w:sz w:val="22"/>
        </w:rPr>
        <w:t>Godino</w:t>
      </w:r>
      <w:proofErr w:type="spellEnd"/>
      <w:r w:rsidR="00D4734C">
        <w:rPr>
          <w:sz w:val="22"/>
        </w:rPr>
        <w:t xml:space="preserve"> </w:t>
      </w:r>
      <w:r w:rsidR="009406AE">
        <w:rPr>
          <w:sz w:val="22"/>
        </w:rPr>
        <w:t>&amp;</w:t>
      </w:r>
      <w:r w:rsidR="00D4734C">
        <w:rPr>
          <w:sz w:val="22"/>
        </w:rPr>
        <w:t xml:space="preserve"> Batanero, 1994) establece la noción de idoneidad didáctica para determinar cómo de adecuado se considera un proceso de enseñanza y aprendizaje de matemáticas</w:t>
      </w:r>
      <w:r w:rsidR="007C5F3A">
        <w:rPr>
          <w:sz w:val="22"/>
        </w:rPr>
        <w:t xml:space="preserve">. Para ello, se fija en las seis facetas que </w:t>
      </w:r>
      <w:r w:rsidR="00A52939">
        <w:rPr>
          <w:sz w:val="22"/>
        </w:rPr>
        <w:t xml:space="preserve">lo </w:t>
      </w:r>
      <w:r w:rsidR="007C5F3A">
        <w:rPr>
          <w:sz w:val="22"/>
        </w:rPr>
        <w:t xml:space="preserve">componen: </w:t>
      </w:r>
      <w:r w:rsidR="007C5F3A" w:rsidRPr="007C5F3A">
        <w:rPr>
          <w:sz w:val="22"/>
        </w:rPr>
        <w:t xml:space="preserve"> </w:t>
      </w:r>
      <w:r w:rsidR="007C5F3A">
        <w:rPr>
          <w:sz w:val="22"/>
        </w:rPr>
        <w:t>las facetas epistémica y ecológica, que asumen presupuestos antropológicos y socioculturales, las facetas cognitiva y afectiva, que admiten</w:t>
      </w:r>
      <w:r w:rsidR="00A80326">
        <w:rPr>
          <w:sz w:val="22"/>
        </w:rPr>
        <w:t xml:space="preserve"> un presupuesto semiótico</w:t>
      </w:r>
      <w:r w:rsidR="007C5F3A">
        <w:rPr>
          <w:sz w:val="22"/>
        </w:rPr>
        <w:t xml:space="preserve"> y las facetas instruccional y </w:t>
      </w:r>
      <w:proofErr w:type="spellStart"/>
      <w:r w:rsidR="007C5F3A">
        <w:rPr>
          <w:sz w:val="22"/>
        </w:rPr>
        <w:t>mediacional</w:t>
      </w:r>
      <w:proofErr w:type="spellEnd"/>
      <w:r w:rsidR="007C5F3A">
        <w:rPr>
          <w:sz w:val="22"/>
        </w:rPr>
        <w:t xml:space="preserve">, con una perspectiva </w:t>
      </w:r>
      <w:proofErr w:type="spellStart"/>
      <w:r w:rsidR="007C5F3A">
        <w:rPr>
          <w:sz w:val="22"/>
        </w:rPr>
        <w:t>socioconstructivista</w:t>
      </w:r>
      <w:proofErr w:type="spellEnd"/>
      <w:r w:rsidR="007C5F3A">
        <w:rPr>
          <w:sz w:val="22"/>
        </w:rPr>
        <w:t xml:space="preserve"> (</w:t>
      </w:r>
      <w:proofErr w:type="spellStart"/>
      <w:r w:rsidR="007C5F3A">
        <w:rPr>
          <w:sz w:val="22"/>
        </w:rPr>
        <w:t>Godino</w:t>
      </w:r>
      <w:proofErr w:type="spellEnd"/>
      <w:r w:rsidR="007C5F3A">
        <w:rPr>
          <w:sz w:val="22"/>
        </w:rPr>
        <w:t xml:space="preserve">, Batanero </w:t>
      </w:r>
      <w:r w:rsidR="009406AE">
        <w:rPr>
          <w:sz w:val="22"/>
        </w:rPr>
        <w:t>&amp;</w:t>
      </w:r>
      <w:r w:rsidR="007C5F3A">
        <w:rPr>
          <w:sz w:val="22"/>
        </w:rPr>
        <w:t xml:space="preserve"> Font, 2007).</w:t>
      </w:r>
      <w:r w:rsidR="009D32F4">
        <w:rPr>
          <w:sz w:val="22"/>
        </w:rPr>
        <w:t xml:space="preserve"> </w:t>
      </w:r>
      <w:r w:rsidR="007C5F3A">
        <w:rPr>
          <w:sz w:val="22"/>
        </w:rPr>
        <w:t xml:space="preserve">Estas facetas dan lugar a las seis idoneidades parciales de las que está formada la idoneidad didáctica: idoneidad epistémica, ecológica, cognitiva, afectiva, instruccional y </w:t>
      </w:r>
      <w:proofErr w:type="spellStart"/>
      <w:r w:rsidR="007C5F3A">
        <w:rPr>
          <w:sz w:val="22"/>
        </w:rPr>
        <w:t>mediacional</w:t>
      </w:r>
      <w:proofErr w:type="spellEnd"/>
      <w:r w:rsidR="007C5F3A">
        <w:rPr>
          <w:sz w:val="22"/>
        </w:rPr>
        <w:t xml:space="preserve"> (</w:t>
      </w:r>
      <w:proofErr w:type="spellStart"/>
      <w:r w:rsidR="007C5F3A">
        <w:rPr>
          <w:sz w:val="22"/>
        </w:rPr>
        <w:t>Godino</w:t>
      </w:r>
      <w:proofErr w:type="spellEnd"/>
      <w:r w:rsidR="00781603">
        <w:rPr>
          <w:sz w:val="22"/>
        </w:rPr>
        <w:t xml:space="preserve">, Bencomo, Font &amp; </w:t>
      </w:r>
      <w:proofErr w:type="spellStart"/>
      <w:r w:rsidR="00781603">
        <w:rPr>
          <w:sz w:val="22"/>
        </w:rPr>
        <w:t>Wilhelmi</w:t>
      </w:r>
      <w:proofErr w:type="spellEnd"/>
      <w:r w:rsidR="00781603">
        <w:rPr>
          <w:sz w:val="22"/>
        </w:rPr>
        <w:t>, 2006</w:t>
      </w:r>
      <w:r w:rsidR="007C5F3A">
        <w:rPr>
          <w:sz w:val="22"/>
        </w:rPr>
        <w:t xml:space="preserve">). </w:t>
      </w:r>
      <w:r w:rsidR="00585905">
        <w:rPr>
          <w:sz w:val="22"/>
        </w:rPr>
        <w:t xml:space="preserve">En </w:t>
      </w:r>
      <w:proofErr w:type="spellStart"/>
      <w:r w:rsidR="00585905">
        <w:rPr>
          <w:sz w:val="22"/>
        </w:rPr>
        <w:t>Godino</w:t>
      </w:r>
      <w:proofErr w:type="spellEnd"/>
      <w:r w:rsidR="00585905">
        <w:rPr>
          <w:sz w:val="22"/>
        </w:rPr>
        <w:t xml:space="preserve"> (2013) se </w:t>
      </w:r>
      <w:r w:rsidR="00781603">
        <w:rPr>
          <w:sz w:val="22"/>
        </w:rPr>
        <w:t xml:space="preserve">amplían los trabajos anteriores sobre la noción de idoneidad didáctica en el EOS y se </w:t>
      </w:r>
      <w:r w:rsidR="00585905">
        <w:rPr>
          <w:sz w:val="22"/>
        </w:rPr>
        <w:t xml:space="preserve">presenta la Teoría de Idoneidad Didáctica con las componentes e indicadores </w:t>
      </w:r>
      <w:r w:rsidR="00781603">
        <w:rPr>
          <w:sz w:val="22"/>
        </w:rPr>
        <w:t xml:space="preserve">que permiten evaluar </w:t>
      </w:r>
      <w:r w:rsidR="00585905">
        <w:rPr>
          <w:sz w:val="22"/>
        </w:rPr>
        <w:t>cada idoneidad parcial</w:t>
      </w:r>
      <w:r w:rsidR="00781603">
        <w:rPr>
          <w:sz w:val="22"/>
        </w:rPr>
        <w:t>. Dicha teoría,</w:t>
      </w:r>
      <w:r w:rsidR="00585905">
        <w:rPr>
          <w:sz w:val="22"/>
        </w:rPr>
        <w:t xml:space="preserve"> además de basarse en las facetas, asume principios didácticos de la Teoría de Situaciones de </w:t>
      </w:r>
      <w:proofErr w:type="spellStart"/>
      <w:r w:rsidR="00585905">
        <w:rPr>
          <w:sz w:val="22"/>
        </w:rPr>
        <w:t>Brousseau</w:t>
      </w:r>
      <w:proofErr w:type="spellEnd"/>
      <w:r w:rsidR="0019320D">
        <w:rPr>
          <w:sz w:val="22"/>
        </w:rPr>
        <w:t xml:space="preserve"> (1997)</w:t>
      </w:r>
      <w:r w:rsidR="00585905">
        <w:rPr>
          <w:sz w:val="22"/>
        </w:rPr>
        <w:t>, de l</w:t>
      </w:r>
      <w:r w:rsidR="0019320D">
        <w:rPr>
          <w:sz w:val="22"/>
        </w:rPr>
        <w:t>a Educación Matemática Realista (</w:t>
      </w:r>
      <w:proofErr w:type="spellStart"/>
      <w:r w:rsidR="0019320D">
        <w:rPr>
          <w:sz w:val="22"/>
        </w:rPr>
        <w:t>Heuvel-Panhuizen</w:t>
      </w:r>
      <w:proofErr w:type="spellEnd"/>
      <w:r w:rsidR="0019320D">
        <w:rPr>
          <w:sz w:val="22"/>
        </w:rPr>
        <w:t xml:space="preserve"> &amp; </w:t>
      </w:r>
      <w:proofErr w:type="spellStart"/>
      <w:r w:rsidR="0019320D">
        <w:rPr>
          <w:sz w:val="22"/>
        </w:rPr>
        <w:t>Wijers</w:t>
      </w:r>
      <w:proofErr w:type="spellEnd"/>
      <w:r w:rsidR="0019320D">
        <w:rPr>
          <w:sz w:val="22"/>
        </w:rPr>
        <w:t xml:space="preserve">, 2005) </w:t>
      </w:r>
      <w:r w:rsidR="008820D1">
        <w:rPr>
          <w:sz w:val="22"/>
        </w:rPr>
        <w:t>y de la Educación Matemática Crítica</w:t>
      </w:r>
      <w:r w:rsidR="0019320D">
        <w:rPr>
          <w:sz w:val="22"/>
        </w:rPr>
        <w:t xml:space="preserve"> de </w:t>
      </w:r>
      <w:proofErr w:type="spellStart"/>
      <w:r w:rsidR="0019320D">
        <w:rPr>
          <w:sz w:val="22"/>
        </w:rPr>
        <w:t>Sokovsomse</w:t>
      </w:r>
      <w:proofErr w:type="spellEnd"/>
      <w:r w:rsidR="0019320D">
        <w:rPr>
          <w:sz w:val="22"/>
        </w:rPr>
        <w:t xml:space="preserve"> (1994)</w:t>
      </w:r>
      <w:r w:rsidR="008820D1">
        <w:rPr>
          <w:sz w:val="22"/>
        </w:rPr>
        <w:t xml:space="preserve">. </w:t>
      </w:r>
    </w:p>
    <w:p w14:paraId="5782385C" w14:textId="45E64764" w:rsidR="00AB2F3F" w:rsidRDefault="00781603" w:rsidP="00C053D5">
      <w:pPr>
        <w:spacing w:after="0" w:line="360" w:lineRule="auto"/>
        <w:jc w:val="both"/>
        <w:rPr>
          <w:sz w:val="22"/>
        </w:rPr>
      </w:pPr>
      <w:r>
        <w:rPr>
          <w:sz w:val="22"/>
        </w:rPr>
        <w:t>A continuación, se descr</w:t>
      </w:r>
      <w:r w:rsidR="005B050D">
        <w:rPr>
          <w:sz w:val="22"/>
        </w:rPr>
        <w:t>iben las idoneidades parciales: l</w:t>
      </w:r>
      <w:r w:rsidR="006A5C01">
        <w:rPr>
          <w:sz w:val="22"/>
        </w:rPr>
        <w:t xml:space="preserve">a idoneidad epistémica es el grado de representatividad de los significados institucionales implementados o pretendidos respecto de un significado de </w:t>
      </w:r>
      <w:r w:rsidR="00D5474E">
        <w:rPr>
          <w:sz w:val="22"/>
        </w:rPr>
        <w:t>referencia</w:t>
      </w:r>
      <w:r w:rsidR="00E47670">
        <w:rPr>
          <w:sz w:val="22"/>
        </w:rPr>
        <w:t xml:space="preserve"> y se mide a través de las componentes de situaciones-problema, lenguajes, reglas, argumentos y relaciones. La</w:t>
      </w:r>
      <w:r w:rsidR="006A5C01">
        <w:rPr>
          <w:sz w:val="22"/>
        </w:rPr>
        <w:t xml:space="preserve"> cognitiva </w:t>
      </w:r>
      <w:r w:rsidR="00E47670">
        <w:rPr>
          <w:sz w:val="22"/>
        </w:rPr>
        <w:t>valora el</w:t>
      </w:r>
      <w:r w:rsidR="006A5C01">
        <w:rPr>
          <w:sz w:val="22"/>
        </w:rPr>
        <w:t xml:space="preserve"> grado de aproximación de los significados personales logrados por los estudiantes a</w:t>
      </w:r>
      <w:r w:rsidR="007D38F4">
        <w:rPr>
          <w:sz w:val="22"/>
        </w:rPr>
        <w:t xml:space="preserve"> los significados pretendidos</w:t>
      </w:r>
      <w:r w:rsidR="00E47670">
        <w:rPr>
          <w:sz w:val="22"/>
        </w:rPr>
        <w:t>, por lo que tiene en cuenta los conocimientos previos, las diferencias individuales y los aprendizajes.</w:t>
      </w:r>
      <w:r w:rsidR="007D38F4">
        <w:rPr>
          <w:sz w:val="22"/>
        </w:rPr>
        <w:t xml:space="preserve"> </w:t>
      </w:r>
      <w:r w:rsidR="00E47670">
        <w:rPr>
          <w:sz w:val="22"/>
        </w:rPr>
        <w:t>L</w:t>
      </w:r>
      <w:r w:rsidR="006A5C01">
        <w:rPr>
          <w:sz w:val="22"/>
        </w:rPr>
        <w:t xml:space="preserve">a idoneidad afectiva </w:t>
      </w:r>
      <w:r w:rsidR="00E47670">
        <w:rPr>
          <w:sz w:val="22"/>
        </w:rPr>
        <w:t>mide los intereses de los estudiantes, sus actitudes y sus emociones.</w:t>
      </w:r>
      <w:r w:rsidR="006A5C01">
        <w:rPr>
          <w:sz w:val="22"/>
        </w:rPr>
        <w:t xml:space="preserve"> </w:t>
      </w:r>
      <w:r w:rsidR="00E47670">
        <w:rPr>
          <w:sz w:val="22"/>
        </w:rPr>
        <w:t>L</w:t>
      </w:r>
      <w:r w:rsidR="007D38F4">
        <w:rPr>
          <w:sz w:val="22"/>
        </w:rPr>
        <w:t xml:space="preserve">a </w:t>
      </w:r>
      <w:proofErr w:type="spellStart"/>
      <w:r w:rsidR="007D38F4">
        <w:rPr>
          <w:sz w:val="22"/>
        </w:rPr>
        <w:t>interaccional</w:t>
      </w:r>
      <w:proofErr w:type="spellEnd"/>
      <w:r w:rsidR="00E47670">
        <w:rPr>
          <w:sz w:val="22"/>
        </w:rPr>
        <w:t xml:space="preserve"> observa </w:t>
      </w:r>
      <w:r w:rsidR="007D38F4">
        <w:rPr>
          <w:sz w:val="22"/>
        </w:rPr>
        <w:t xml:space="preserve">el grado en que la interacción entre los diferentes agentes implicados en el proceso </w:t>
      </w:r>
      <w:r w:rsidR="005B7B86">
        <w:rPr>
          <w:sz w:val="22"/>
        </w:rPr>
        <w:t>favorece el aprendizaje</w:t>
      </w:r>
      <w:r w:rsidR="00E47670">
        <w:rPr>
          <w:sz w:val="22"/>
        </w:rPr>
        <w:t xml:space="preserve">, además de tener en cuenta la </w:t>
      </w:r>
      <w:r w:rsidR="005B7B86">
        <w:rPr>
          <w:sz w:val="22"/>
        </w:rPr>
        <w:t xml:space="preserve">autonomía personal de los estudiantes </w:t>
      </w:r>
      <w:r w:rsidR="00E47670">
        <w:rPr>
          <w:sz w:val="22"/>
        </w:rPr>
        <w:t>y la evaluación.</w:t>
      </w:r>
      <w:r w:rsidR="005B7B86">
        <w:rPr>
          <w:sz w:val="22"/>
        </w:rPr>
        <w:t xml:space="preserve"> </w:t>
      </w:r>
      <w:r w:rsidR="00E47670">
        <w:rPr>
          <w:sz w:val="22"/>
        </w:rPr>
        <w:t>La</w:t>
      </w:r>
      <w:r w:rsidR="007D38F4">
        <w:rPr>
          <w:sz w:val="22"/>
        </w:rPr>
        <w:t xml:space="preserve"> idoneidad </w:t>
      </w:r>
      <w:proofErr w:type="spellStart"/>
      <w:r w:rsidR="007D38F4">
        <w:rPr>
          <w:sz w:val="22"/>
        </w:rPr>
        <w:t>mediacional</w:t>
      </w:r>
      <w:proofErr w:type="spellEnd"/>
      <w:r w:rsidR="007D38F4">
        <w:rPr>
          <w:sz w:val="22"/>
        </w:rPr>
        <w:t xml:space="preserve"> </w:t>
      </w:r>
      <w:r w:rsidR="00E47670">
        <w:rPr>
          <w:sz w:val="22"/>
        </w:rPr>
        <w:t>se determina por los recursos materiales, las condiciones del aula y el tiempo. F</w:t>
      </w:r>
      <w:r w:rsidR="00614F3A">
        <w:rPr>
          <w:sz w:val="22"/>
        </w:rPr>
        <w:t xml:space="preserve">inalmente, la idoneidad ecológica, comprende la adecuación </w:t>
      </w:r>
      <w:r w:rsidR="00E47670">
        <w:rPr>
          <w:sz w:val="22"/>
        </w:rPr>
        <w:t xml:space="preserve">al </w:t>
      </w:r>
      <w:r w:rsidR="00614F3A">
        <w:rPr>
          <w:sz w:val="22"/>
        </w:rPr>
        <w:lastRenderedPageBreak/>
        <w:t>contexto curricular</w:t>
      </w:r>
      <w:r w:rsidR="00E47670">
        <w:rPr>
          <w:sz w:val="22"/>
        </w:rPr>
        <w:t>, las conexiones dentro y fuera de las matemáticas</w:t>
      </w:r>
      <w:r w:rsidR="003265B9">
        <w:rPr>
          <w:sz w:val="22"/>
        </w:rPr>
        <w:t>, la innovación y la adaptación socio-cultural y profesional</w:t>
      </w:r>
      <w:r w:rsidR="00AD56D5">
        <w:rPr>
          <w:sz w:val="22"/>
        </w:rPr>
        <w:t xml:space="preserve"> (</w:t>
      </w:r>
      <w:proofErr w:type="spellStart"/>
      <w:r w:rsidR="00AD56D5">
        <w:rPr>
          <w:sz w:val="22"/>
        </w:rPr>
        <w:t>Godino</w:t>
      </w:r>
      <w:proofErr w:type="spellEnd"/>
      <w:r w:rsidR="00AD56D5">
        <w:rPr>
          <w:sz w:val="22"/>
        </w:rPr>
        <w:t>, 2013)</w:t>
      </w:r>
      <w:r w:rsidR="00614F3A">
        <w:rPr>
          <w:sz w:val="22"/>
        </w:rPr>
        <w:t>.</w:t>
      </w:r>
    </w:p>
    <w:p w14:paraId="39B90B99" w14:textId="77777777" w:rsidR="00525DFE" w:rsidRDefault="00AF3498" w:rsidP="00C053D5">
      <w:pPr>
        <w:pStyle w:val="APARTADOPRINCIPAL"/>
        <w:spacing w:before="0"/>
        <w:rPr>
          <w:lang w:val="es-ES"/>
        </w:rPr>
      </w:pPr>
      <w:r w:rsidRPr="00522315">
        <w:rPr>
          <w:lang w:val="es-ES"/>
        </w:rPr>
        <w:t>2. MÉTODO</w:t>
      </w:r>
    </w:p>
    <w:p w14:paraId="0AFEAED2" w14:textId="7EFA42A3" w:rsidR="0036446C" w:rsidRPr="0036446C" w:rsidRDefault="005D141E" w:rsidP="00C053D5">
      <w:pPr>
        <w:spacing w:after="0" w:line="360" w:lineRule="auto"/>
        <w:jc w:val="both"/>
        <w:rPr>
          <w:sz w:val="22"/>
        </w:rPr>
      </w:pPr>
      <w:r>
        <w:rPr>
          <w:sz w:val="22"/>
        </w:rPr>
        <w:t>Esta investigación cualitativa</w:t>
      </w:r>
      <w:r w:rsidR="0083095B">
        <w:rPr>
          <w:sz w:val="22"/>
        </w:rPr>
        <w:t xml:space="preserve"> </w:t>
      </w:r>
      <w:r w:rsidR="0036446C" w:rsidRPr="0036446C">
        <w:rPr>
          <w:sz w:val="22"/>
        </w:rPr>
        <w:t xml:space="preserve">(Hernández, Fernández </w:t>
      </w:r>
      <w:r w:rsidR="009406AE">
        <w:rPr>
          <w:sz w:val="22"/>
        </w:rPr>
        <w:t>&amp;</w:t>
      </w:r>
      <w:r w:rsidR="0036446C" w:rsidRPr="0036446C">
        <w:rPr>
          <w:sz w:val="22"/>
        </w:rPr>
        <w:t xml:space="preserve"> Baptista, 2014)</w:t>
      </w:r>
      <w:r w:rsidR="007C5FF7">
        <w:rPr>
          <w:sz w:val="22"/>
        </w:rPr>
        <w:t xml:space="preserve"> </w:t>
      </w:r>
      <w:r w:rsidR="009406AE">
        <w:rPr>
          <w:sz w:val="22"/>
        </w:rPr>
        <w:t>es de</w:t>
      </w:r>
      <w:r w:rsidR="007C5FF7">
        <w:rPr>
          <w:sz w:val="22"/>
        </w:rPr>
        <w:t xml:space="preserve"> paradigma interpretativo (Carrillo </w:t>
      </w:r>
      <w:r w:rsidR="009406AE">
        <w:rPr>
          <w:sz w:val="22"/>
        </w:rPr>
        <w:t>&amp;</w:t>
      </w:r>
      <w:r w:rsidR="007C5FF7">
        <w:rPr>
          <w:sz w:val="22"/>
        </w:rPr>
        <w:t xml:space="preserve"> Muñoz-</w:t>
      </w:r>
      <w:proofErr w:type="gramStart"/>
      <w:r w:rsidR="007C5FF7">
        <w:rPr>
          <w:sz w:val="22"/>
        </w:rPr>
        <w:t>Catalán</w:t>
      </w:r>
      <w:proofErr w:type="gramEnd"/>
      <w:r w:rsidR="007C5FF7">
        <w:rPr>
          <w:sz w:val="22"/>
        </w:rPr>
        <w:t xml:space="preserve">, </w:t>
      </w:r>
      <w:r w:rsidR="00724264">
        <w:rPr>
          <w:sz w:val="22"/>
        </w:rPr>
        <w:t xml:space="preserve">2011). </w:t>
      </w:r>
      <w:r>
        <w:rPr>
          <w:sz w:val="22"/>
        </w:rPr>
        <w:t>Su diseño es el de una investigación de diseño de ingeniería didáctica (Artigue, 2011) basada en las nociones teóricas y herramientas del EOS (</w:t>
      </w:r>
      <w:proofErr w:type="spellStart"/>
      <w:r>
        <w:rPr>
          <w:sz w:val="22"/>
        </w:rPr>
        <w:t>Godino</w:t>
      </w:r>
      <w:proofErr w:type="spellEnd"/>
      <w:r>
        <w:rPr>
          <w:sz w:val="22"/>
        </w:rPr>
        <w:t xml:space="preserve">, Rivas, Arteaga, Lasa </w:t>
      </w:r>
      <w:r w:rsidR="009406AE">
        <w:rPr>
          <w:sz w:val="22"/>
        </w:rPr>
        <w:t>&amp;</w:t>
      </w:r>
      <w:r>
        <w:rPr>
          <w:sz w:val="22"/>
        </w:rPr>
        <w:t xml:space="preserve"> </w:t>
      </w:r>
      <w:proofErr w:type="spellStart"/>
      <w:r>
        <w:rPr>
          <w:sz w:val="22"/>
        </w:rPr>
        <w:t>Wilhelmi</w:t>
      </w:r>
      <w:proofErr w:type="spellEnd"/>
      <w:r>
        <w:rPr>
          <w:sz w:val="22"/>
        </w:rPr>
        <w:t xml:space="preserve">, 2014). </w:t>
      </w:r>
      <w:r w:rsidR="00724264">
        <w:rPr>
          <w:sz w:val="22"/>
        </w:rPr>
        <w:t xml:space="preserve"> </w:t>
      </w:r>
    </w:p>
    <w:p w14:paraId="368C1C64" w14:textId="54B22EA2" w:rsidR="009A44D6" w:rsidRPr="009406AE" w:rsidRDefault="009A44D6" w:rsidP="00C053D5">
      <w:pPr>
        <w:spacing w:after="0" w:line="360" w:lineRule="auto"/>
        <w:jc w:val="both"/>
        <w:rPr>
          <w:b/>
          <w:sz w:val="22"/>
        </w:rPr>
      </w:pPr>
      <w:r w:rsidRPr="009406AE">
        <w:rPr>
          <w:b/>
          <w:sz w:val="22"/>
        </w:rPr>
        <w:t>2.1 Participantes y contexto</w:t>
      </w:r>
    </w:p>
    <w:p w14:paraId="1C22DE7A" w14:textId="0C5C9BA9" w:rsidR="00767D8B" w:rsidRDefault="00767D8B" w:rsidP="00767D8B">
      <w:pPr>
        <w:spacing w:after="0" w:line="360" w:lineRule="auto"/>
        <w:jc w:val="both"/>
        <w:rPr>
          <w:sz w:val="22"/>
        </w:rPr>
      </w:pPr>
      <w:r>
        <w:rPr>
          <w:sz w:val="22"/>
        </w:rPr>
        <w:t>L</w:t>
      </w:r>
      <w:r w:rsidRPr="00351C37">
        <w:rPr>
          <w:sz w:val="22"/>
        </w:rPr>
        <w:t xml:space="preserve">a experiencia </w:t>
      </w:r>
      <w:r>
        <w:rPr>
          <w:sz w:val="22"/>
        </w:rPr>
        <w:t xml:space="preserve">de innovación </w:t>
      </w:r>
      <w:r w:rsidRPr="00351C37">
        <w:rPr>
          <w:sz w:val="22"/>
        </w:rPr>
        <w:t xml:space="preserve">se realizó en una escuela tradicional de alta complejidad con los </w:t>
      </w:r>
      <w:r>
        <w:rPr>
          <w:sz w:val="22"/>
        </w:rPr>
        <w:t xml:space="preserve">50 </w:t>
      </w:r>
      <w:r w:rsidRPr="00351C37">
        <w:rPr>
          <w:sz w:val="22"/>
        </w:rPr>
        <w:t xml:space="preserve">niños </w:t>
      </w:r>
      <w:r>
        <w:rPr>
          <w:sz w:val="22"/>
        </w:rPr>
        <w:t xml:space="preserve">y niñas que forman </w:t>
      </w:r>
      <w:r w:rsidRPr="00351C37">
        <w:rPr>
          <w:sz w:val="22"/>
        </w:rPr>
        <w:t>las dos clases</w:t>
      </w:r>
      <w:r>
        <w:rPr>
          <w:sz w:val="22"/>
        </w:rPr>
        <w:t xml:space="preserve"> de </w:t>
      </w:r>
      <w:r w:rsidRPr="0036446C">
        <w:rPr>
          <w:sz w:val="22"/>
        </w:rPr>
        <w:t>3</w:t>
      </w:r>
      <w:r w:rsidRPr="009406AE">
        <w:rPr>
          <w:sz w:val="22"/>
          <w:vertAlign w:val="superscript"/>
        </w:rPr>
        <w:t xml:space="preserve">r </w:t>
      </w:r>
      <w:r w:rsidRPr="0036446C">
        <w:rPr>
          <w:sz w:val="22"/>
        </w:rPr>
        <w:t xml:space="preserve">curso del segundo ciclo de </w:t>
      </w:r>
      <w:r>
        <w:rPr>
          <w:sz w:val="22"/>
        </w:rPr>
        <w:t>E</w:t>
      </w:r>
      <w:r w:rsidRPr="0036446C">
        <w:rPr>
          <w:sz w:val="22"/>
        </w:rPr>
        <w:t xml:space="preserve">ducación </w:t>
      </w:r>
      <w:r>
        <w:rPr>
          <w:sz w:val="22"/>
        </w:rPr>
        <w:t>I</w:t>
      </w:r>
      <w:r w:rsidRPr="0036446C">
        <w:rPr>
          <w:sz w:val="22"/>
        </w:rPr>
        <w:t>nfantil</w:t>
      </w:r>
      <w:r w:rsidRPr="00351C37">
        <w:rPr>
          <w:sz w:val="22"/>
        </w:rPr>
        <w:t>. En el centro</w:t>
      </w:r>
      <w:r>
        <w:rPr>
          <w:sz w:val="22"/>
        </w:rPr>
        <w:t xml:space="preserve"> escolar</w:t>
      </w:r>
      <w:r w:rsidRPr="00351C37">
        <w:rPr>
          <w:sz w:val="22"/>
        </w:rPr>
        <w:t>, generalmente, se usa el cuaderno didáctico como recurso de aprendizaje; los recursos tecnológicos son escasos y los estudiantes, previamente, no habían tenido ningún tipo de contacto con la robótica</w:t>
      </w:r>
      <w:r>
        <w:rPr>
          <w:sz w:val="22"/>
        </w:rPr>
        <w:t>.</w:t>
      </w:r>
      <w:r w:rsidR="009406AE">
        <w:rPr>
          <w:sz w:val="22"/>
        </w:rPr>
        <w:t xml:space="preserve"> </w:t>
      </w:r>
      <w:r>
        <w:rPr>
          <w:sz w:val="22"/>
        </w:rPr>
        <w:t>Todo el proceso de enseñanza y aprendizaje se llevó a cabo dentro del proyecto de centro de “</w:t>
      </w:r>
      <w:proofErr w:type="spellStart"/>
      <w:r>
        <w:rPr>
          <w:sz w:val="22"/>
        </w:rPr>
        <w:t>Microhabilidades</w:t>
      </w:r>
      <w:proofErr w:type="spellEnd"/>
      <w:r>
        <w:rPr>
          <w:sz w:val="22"/>
        </w:rPr>
        <w:t>”, en el que se tiene en cuenta la agudeza y la percepción visual, la atención y la memoria, tanto auditiva como visual. La finalidad del proyecto es optimizar los procesos de enseñanza y aprendizaje mejorando estos aspectos ya que, si no hay atención y escucha activa, no hay aprendizaje. Así pues, la propuesta didáctica se incorporó al proyecto como una actividad de ampliación del mismo.</w:t>
      </w:r>
    </w:p>
    <w:p w14:paraId="59AAEE70" w14:textId="099294EB" w:rsidR="006636A7" w:rsidRPr="009406AE" w:rsidRDefault="006636A7" w:rsidP="00767D8B">
      <w:pPr>
        <w:spacing w:after="0" w:line="360" w:lineRule="auto"/>
        <w:jc w:val="both"/>
        <w:rPr>
          <w:b/>
          <w:sz w:val="22"/>
        </w:rPr>
      </w:pPr>
      <w:r w:rsidRPr="009406AE">
        <w:rPr>
          <w:b/>
          <w:sz w:val="22"/>
        </w:rPr>
        <w:t>2.2 Instrumentos</w:t>
      </w:r>
    </w:p>
    <w:p w14:paraId="5767C254" w14:textId="6BA9E7F8" w:rsidR="009E11A4" w:rsidRDefault="009E11A4" w:rsidP="00767D8B">
      <w:pPr>
        <w:spacing w:after="0" w:line="360" w:lineRule="auto"/>
        <w:jc w:val="both"/>
        <w:rPr>
          <w:sz w:val="22"/>
        </w:rPr>
      </w:pPr>
      <w:r>
        <w:rPr>
          <w:sz w:val="22"/>
        </w:rPr>
        <w:t>Los principales instrumentos de recogida de datos son l</w:t>
      </w:r>
      <w:r w:rsidR="0008364A">
        <w:rPr>
          <w:sz w:val="22"/>
        </w:rPr>
        <w:t>a</w:t>
      </w:r>
      <w:r>
        <w:rPr>
          <w:sz w:val="22"/>
        </w:rPr>
        <w:t xml:space="preserve">s </w:t>
      </w:r>
      <w:r w:rsidR="009406AE">
        <w:rPr>
          <w:sz w:val="22"/>
        </w:rPr>
        <w:t>propias investigadoras</w:t>
      </w:r>
      <w:r>
        <w:rPr>
          <w:sz w:val="22"/>
        </w:rPr>
        <w:t xml:space="preserve"> con una participación moderada, dado que además de observar, intervi</w:t>
      </w:r>
      <w:r w:rsidR="00D16D6B">
        <w:rPr>
          <w:sz w:val="22"/>
        </w:rPr>
        <w:t>enen</w:t>
      </w:r>
      <w:r>
        <w:rPr>
          <w:sz w:val="22"/>
        </w:rPr>
        <w:t xml:space="preserve"> como dos maestras más en momentos puntuales para guiar el aprendizaje de la sesión 4</w:t>
      </w:r>
      <w:r w:rsidR="00431F89">
        <w:rPr>
          <w:sz w:val="22"/>
        </w:rPr>
        <w:t xml:space="preserve"> (Hernández et al., 2014)</w:t>
      </w:r>
      <w:r>
        <w:rPr>
          <w:sz w:val="22"/>
        </w:rPr>
        <w:t>. Est</w:t>
      </w:r>
      <w:r w:rsidR="0008364A">
        <w:rPr>
          <w:sz w:val="22"/>
        </w:rPr>
        <w:t>a</w:t>
      </w:r>
      <w:r>
        <w:rPr>
          <w:sz w:val="22"/>
        </w:rPr>
        <w:t xml:space="preserve">s utilizan la técnica de las anotaciones, de la observación directa orientada por los criterios de idoneidad de </w:t>
      </w:r>
      <w:proofErr w:type="spellStart"/>
      <w:r>
        <w:rPr>
          <w:sz w:val="22"/>
        </w:rPr>
        <w:t>Godino</w:t>
      </w:r>
      <w:proofErr w:type="spellEnd"/>
      <w:r>
        <w:rPr>
          <w:sz w:val="22"/>
        </w:rPr>
        <w:t xml:space="preserve"> (2013)</w:t>
      </w:r>
      <w:r w:rsidR="00325B74">
        <w:rPr>
          <w:sz w:val="22"/>
        </w:rPr>
        <w:t xml:space="preserve"> </w:t>
      </w:r>
      <w:r>
        <w:rPr>
          <w:sz w:val="22"/>
        </w:rPr>
        <w:t>y la entrevista abierta</w:t>
      </w:r>
      <w:r w:rsidR="001522E5">
        <w:rPr>
          <w:sz w:val="22"/>
        </w:rPr>
        <w:t xml:space="preserve"> grabada en audio</w:t>
      </w:r>
      <w:r>
        <w:rPr>
          <w:sz w:val="22"/>
        </w:rPr>
        <w:t xml:space="preserve"> con algunos estudiantes después de las sesiones 3 y 4. </w:t>
      </w:r>
      <w:r w:rsidR="00DB6BF0">
        <w:rPr>
          <w:sz w:val="22"/>
        </w:rPr>
        <w:t>Otros instrumentos son</w:t>
      </w:r>
      <w:r w:rsidR="00F54A46">
        <w:rPr>
          <w:sz w:val="22"/>
        </w:rPr>
        <w:t xml:space="preserve">: </w:t>
      </w:r>
      <w:r w:rsidR="00DB6BF0">
        <w:rPr>
          <w:sz w:val="22"/>
        </w:rPr>
        <w:t xml:space="preserve"> las dos fichas individuales </w:t>
      </w:r>
      <w:r w:rsidR="00F54A46">
        <w:rPr>
          <w:sz w:val="22"/>
        </w:rPr>
        <w:t xml:space="preserve">de </w:t>
      </w:r>
      <w:r w:rsidR="00DB6BF0">
        <w:rPr>
          <w:sz w:val="22"/>
        </w:rPr>
        <w:t>la sesión 4</w:t>
      </w:r>
      <w:r w:rsidR="00394B12">
        <w:rPr>
          <w:sz w:val="22"/>
        </w:rPr>
        <w:t xml:space="preserve"> (Tabla 7)</w:t>
      </w:r>
      <w:r w:rsidR="00F54A46">
        <w:rPr>
          <w:sz w:val="22"/>
        </w:rPr>
        <w:t xml:space="preserve">, </w:t>
      </w:r>
      <w:r w:rsidR="00394B12">
        <w:rPr>
          <w:sz w:val="22"/>
        </w:rPr>
        <w:t xml:space="preserve">de manera que </w:t>
      </w:r>
      <w:r w:rsidR="00F54A46">
        <w:rPr>
          <w:sz w:val="22"/>
        </w:rPr>
        <w:t>una se realiza al inicio de la sesión (Figura 2) y, la otra, al final (Figura 3)</w:t>
      </w:r>
      <w:r w:rsidR="00DB6BF0">
        <w:rPr>
          <w:sz w:val="22"/>
        </w:rPr>
        <w:t xml:space="preserve"> y</w:t>
      </w:r>
      <w:r w:rsidR="00F54A46">
        <w:rPr>
          <w:sz w:val="22"/>
        </w:rPr>
        <w:t>,</w:t>
      </w:r>
      <w:r w:rsidR="00DB6BF0">
        <w:rPr>
          <w:sz w:val="22"/>
        </w:rPr>
        <w:t xml:space="preserve"> el grupo focal</w:t>
      </w:r>
      <w:r w:rsidR="00F54A46">
        <w:rPr>
          <w:sz w:val="22"/>
        </w:rPr>
        <w:t>,</w:t>
      </w:r>
      <w:r w:rsidR="00DB6BF0">
        <w:rPr>
          <w:sz w:val="22"/>
        </w:rPr>
        <w:t xml:space="preserve"> con las dos maestras y las dos estudiantes de prácticas, con el objetivo de conocer su opinión acerca de la experiencia vivida</w:t>
      </w:r>
      <w:r w:rsidR="00431F89">
        <w:rPr>
          <w:sz w:val="22"/>
        </w:rPr>
        <w:t xml:space="preserve"> (Carrillo </w:t>
      </w:r>
      <w:r w:rsidR="009406AE">
        <w:rPr>
          <w:sz w:val="22"/>
        </w:rPr>
        <w:t>&amp;</w:t>
      </w:r>
      <w:r w:rsidR="00431F89">
        <w:rPr>
          <w:sz w:val="22"/>
        </w:rPr>
        <w:t xml:space="preserve"> Muñoz-Catalán, 2011)</w:t>
      </w:r>
      <w:r w:rsidR="00DB6BF0">
        <w:rPr>
          <w:sz w:val="22"/>
        </w:rPr>
        <w:t xml:space="preserve">, pues son observadoras completas y moderadas, respectivamente. </w:t>
      </w:r>
    </w:p>
    <w:p w14:paraId="55F034B3" w14:textId="72DC1594" w:rsidR="00DB3BA1" w:rsidRPr="009406AE" w:rsidRDefault="00CE38C2" w:rsidP="00767D8B">
      <w:pPr>
        <w:spacing w:after="0" w:line="360" w:lineRule="auto"/>
        <w:jc w:val="both"/>
        <w:rPr>
          <w:b/>
          <w:sz w:val="22"/>
        </w:rPr>
      </w:pPr>
      <w:r w:rsidRPr="009406AE">
        <w:rPr>
          <w:b/>
          <w:sz w:val="22"/>
        </w:rPr>
        <w:lastRenderedPageBreak/>
        <w:t>2.3 Procedimiento</w:t>
      </w:r>
    </w:p>
    <w:p w14:paraId="0EC46009" w14:textId="0106E14D" w:rsidR="00DB3BA1" w:rsidRPr="00BD1523" w:rsidRDefault="00DB3BA1" w:rsidP="00767D8B">
      <w:pPr>
        <w:spacing w:after="0" w:line="360" w:lineRule="auto"/>
        <w:jc w:val="both"/>
        <w:rPr>
          <w:sz w:val="22"/>
        </w:rPr>
      </w:pPr>
      <w:r>
        <w:rPr>
          <w:sz w:val="22"/>
        </w:rPr>
        <w:t xml:space="preserve">La implementación de la trayectoria didáctica consta de 4 sesiones: en la primera realizan la excursión los 50 estudiantes, las dos maestras, las dos practicantes y las dos investigadoras. Las otras 3 sesiones, en las que se recogen los datos, se realizan en paralelo en cada clase, participando en el aula una maestra, una practicante y una investigadora. Una vez finalizada la implementación, se realiza el grupo focal guiado por los indicadores de </w:t>
      </w:r>
      <w:proofErr w:type="spellStart"/>
      <w:r>
        <w:rPr>
          <w:sz w:val="22"/>
        </w:rPr>
        <w:t>Godino</w:t>
      </w:r>
      <w:proofErr w:type="spellEnd"/>
      <w:r>
        <w:rPr>
          <w:sz w:val="22"/>
        </w:rPr>
        <w:t xml:space="preserve"> (2013). A continuación, </w:t>
      </w:r>
      <w:r w:rsidR="00D50B66">
        <w:rPr>
          <w:sz w:val="22"/>
        </w:rPr>
        <w:t>se triangulan los datos</w:t>
      </w:r>
      <w:r w:rsidR="002C0D3D">
        <w:rPr>
          <w:sz w:val="22"/>
        </w:rPr>
        <w:t xml:space="preserve"> obtenidos</w:t>
      </w:r>
      <w:r w:rsidR="003475F0">
        <w:rPr>
          <w:sz w:val="22"/>
        </w:rPr>
        <w:t xml:space="preserve"> (Carrillo </w:t>
      </w:r>
      <w:r w:rsidR="00D01E1E">
        <w:rPr>
          <w:sz w:val="22"/>
        </w:rPr>
        <w:t>&amp;</w:t>
      </w:r>
      <w:r w:rsidR="003475F0">
        <w:rPr>
          <w:sz w:val="22"/>
        </w:rPr>
        <w:t xml:space="preserve"> Muñoz-</w:t>
      </w:r>
      <w:proofErr w:type="gramStart"/>
      <w:r w:rsidR="003475F0">
        <w:rPr>
          <w:sz w:val="22"/>
        </w:rPr>
        <w:t>Catalán</w:t>
      </w:r>
      <w:proofErr w:type="gramEnd"/>
      <w:r w:rsidR="003475F0">
        <w:rPr>
          <w:sz w:val="22"/>
        </w:rPr>
        <w:t>, 2011)</w:t>
      </w:r>
      <w:r w:rsidR="002C0D3D">
        <w:rPr>
          <w:sz w:val="22"/>
        </w:rPr>
        <w:t xml:space="preserve"> y se utilizan para describir</w:t>
      </w:r>
      <w:r w:rsidR="00EA5612">
        <w:rPr>
          <w:sz w:val="22"/>
        </w:rPr>
        <w:t xml:space="preserve"> las </w:t>
      </w:r>
      <w:r w:rsidR="002C0D3D">
        <w:rPr>
          <w:sz w:val="22"/>
        </w:rPr>
        <w:t>idoneidad</w:t>
      </w:r>
      <w:r w:rsidR="00EA5612">
        <w:rPr>
          <w:sz w:val="22"/>
        </w:rPr>
        <w:t>es. Para</w:t>
      </w:r>
      <w:r w:rsidR="001522E5">
        <w:rPr>
          <w:sz w:val="22"/>
        </w:rPr>
        <w:t xml:space="preserve"> la triangulación, las entrevistas se transcriben y, previamente, se evalúan las fichas individuales de la sesión 4. </w:t>
      </w:r>
      <w:r w:rsidR="002C0D3D">
        <w:rPr>
          <w:sz w:val="22"/>
        </w:rPr>
        <w:t xml:space="preserve">Finalmente, se valora la idoneidad teniendo en cuenta la descripción de las componentes, el diseño de la </w:t>
      </w:r>
      <w:r w:rsidR="0083095B">
        <w:rPr>
          <w:sz w:val="22"/>
        </w:rPr>
        <w:t>trayectoria y</w:t>
      </w:r>
      <w:r w:rsidR="002C0D3D">
        <w:rPr>
          <w:sz w:val="22"/>
        </w:rPr>
        <w:t xml:space="preserve"> las observaciones</w:t>
      </w:r>
      <w:r w:rsidR="00EA5612">
        <w:rPr>
          <w:sz w:val="22"/>
        </w:rPr>
        <w:t>.</w:t>
      </w:r>
      <w:r w:rsidR="002C0D3D">
        <w:rPr>
          <w:sz w:val="22"/>
        </w:rPr>
        <w:t xml:space="preserve"> </w:t>
      </w:r>
    </w:p>
    <w:p w14:paraId="3842F579" w14:textId="4EC8793F" w:rsidR="005201D7" w:rsidRPr="009406AE" w:rsidRDefault="00DB3BA1" w:rsidP="00C053D5">
      <w:pPr>
        <w:spacing w:after="0" w:line="360" w:lineRule="auto"/>
        <w:jc w:val="both"/>
        <w:rPr>
          <w:b/>
          <w:sz w:val="22"/>
        </w:rPr>
      </w:pPr>
      <w:r w:rsidRPr="009406AE">
        <w:rPr>
          <w:b/>
          <w:sz w:val="22"/>
        </w:rPr>
        <w:t>2.4</w:t>
      </w:r>
      <w:r w:rsidR="005201D7" w:rsidRPr="009406AE">
        <w:rPr>
          <w:b/>
          <w:sz w:val="22"/>
        </w:rPr>
        <w:t xml:space="preserve"> </w:t>
      </w:r>
      <w:r w:rsidRPr="009406AE">
        <w:rPr>
          <w:b/>
          <w:sz w:val="22"/>
        </w:rPr>
        <w:t>D</w:t>
      </w:r>
      <w:r w:rsidR="005201D7" w:rsidRPr="009406AE">
        <w:rPr>
          <w:b/>
          <w:sz w:val="22"/>
        </w:rPr>
        <w:t>iseño de la trayectoria didáctica</w:t>
      </w:r>
    </w:p>
    <w:p w14:paraId="27D39EC7" w14:textId="6E0FA520" w:rsidR="00DD39AF" w:rsidRDefault="00DD39AF" w:rsidP="00C053D5">
      <w:pPr>
        <w:spacing w:after="0" w:line="360" w:lineRule="auto"/>
        <w:jc w:val="both"/>
        <w:rPr>
          <w:sz w:val="22"/>
        </w:rPr>
      </w:pPr>
      <w:r>
        <w:rPr>
          <w:sz w:val="22"/>
        </w:rPr>
        <w:t xml:space="preserve">Para el diseño de la trayectoria se considera el contexto de los participantes, el cual influye, sobretodo, en las facetas ecológica, afectiva y </w:t>
      </w:r>
      <w:proofErr w:type="spellStart"/>
      <w:r>
        <w:rPr>
          <w:sz w:val="22"/>
        </w:rPr>
        <w:t>mediacional</w:t>
      </w:r>
      <w:proofErr w:type="spellEnd"/>
      <w:r>
        <w:rPr>
          <w:sz w:val="22"/>
        </w:rPr>
        <w:t xml:space="preserve">. Por lo que respecta a la faceta epistémica, cognitiva e </w:t>
      </w:r>
      <w:proofErr w:type="spellStart"/>
      <w:r>
        <w:rPr>
          <w:sz w:val="22"/>
        </w:rPr>
        <w:t>interaccional</w:t>
      </w:r>
      <w:proofErr w:type="spellEnd"/>
      <w:r>
        <w:rPr>
          <w:sz w:val="22"/>
        </w:rPr>
        <w:t xml:space="preserve"> se tiene en cuenta el conocimiento que tienen las maestras de </w:t>
      </w:r>
      <w:r w:rsidR="008F014D">
        <w:rPr>
          <w:sz w:val="22"/>
        </w:rPr>
        <w:t>sus alumnos</w:t>
      </w:r>
      <w:r>
        <w:rPr>
          <w:sz w:val="22"/>
        </w:rPr>
        <w:t xml:space="preserve">, los estándares </w:t>
      </w:r>
    </w:p>
    <w:p w14:paraId="76CC860A" w14:textId="5E59BA3F" w:rsidR="00436502" w:rsidRPr="00422D55" w:rsidRDefault="00351C37" w:rsidP="00422D55">
      <w:pPr>
        <w:spacing w:after="0" w:line="360" w:lineRule="auto"/>
        <w:jc w:val="both"/>
        <w:rPr>
          <w:sz w:val="22"/>
        </w:rPr>
      </w:pPr>
      <w:r>
        <w:rPr>
          <w:sz w:val="22"/>
        </w:rPr>
        <w:t>del NCTM (2000)</w:t>
      </w:r>
      <w:r w:rsidR="00DD39AF">
        <w:rPr>
          <w:sz w:val="22"/>
        </w:rPr>
        <w:t>,</w:t>
      </w:r>
      <w:r w:rsidR="005469AE">
        <w:rPr>
          <w:sz w:val="22"/>
        </w:rPr>
        <w:t xml:space="preserve"> el currículo de Educación Infantil (2007</w:t>
      </w:r>
      <w:r w:rsidR="00DD39AF">
        <w:rPr>
          <w:sz w:val="22"/>
        </w:rPr>
        <w:t>) y las investigaciones en</w:t>
      </w:r>
      <w:r w:rsidR="008F014D">
        <w:rPr>
          <w:sz w:val="22"/>
        </w:rPr>
        <w:t xml:space="preserve"> robótica educativa</w:t>
      </w:r>
      <w:r w:rsidR="00DD39AF">
        <w:rPr>
          <w:sz w:val="22"/>
        </w:rPr>
        <w:t>.</w:t>
      </w:r>
      <w:r w:rsidR="008F014D">
        <w:rPr>
          <w:sz w:val="22"/>
        </w:rPr>
        <w:t xml:space="preserve"> </w:t>
      </w:r>
      <w:r w:rsidR="000F6F6B">
        <w:rPr>
          <w:sz w:val="22"/>
        </w:rPr>
        <w:t>Matemática</w:t>
      </w:r>
      <w:r w:rsidR="00875599">
        <w:rPr>
          <w:sz w:val="22"/>
        </w:rPr>
        <w:t xml:space="preserve">mente, </w:t>
      </w:r>
      <w:r w:rsidR="00B52D42">
        <w:rPr>
          <w:sz w:val="22"/>
        </w:rPr>
        <w:t xml:space="preserve">la </w:t>
      </w:r>
      <w:r w:rsidR="00875599">
        <w:rPr>
          <w:sz w:val="22"/>
        </w:rPr>
        <w:t xml:space="preserve">propuesta didáctica (Figura 1) </w:t>
      </w:r>
      <w:r w:rsidR="000F6F6B">
        <w:rPr>
          <w:sz w:val="22"/>
        </w:rPr>
        <w:t xml:space="preserve">está pensada para la adquisición de las nociones de orientación espacial y para el desarrollo del razonamiento geométrico. </w:t>
      </w:r>
    </w:p>
    <w:p w14:paraId="42508BAB" w14:textId="2029E134" w:rsidR="00875599" w:rsidRDefault="000F0BA8" w:rsidP="00C053D5">
      <w:pPr>
        <w:spacing w:after="0" w:line="360" w:lineRule="auto"/>
        <w:jc w:val="center"/>
        <w:rPr>
          <w:sz w:val="22"/>
        </w:rPr>
      </w:pPr>
      <w:r>
        <w:rPr>
          <w:noProof/>
          <w:sz w:val="22"/>
          <w:lang w:val="ca-ES" w:eastAsia="ca-ES"/>
        </w:rPr>
        <w:drawing>
          <wp:inline distT="0" distB="0" distL="0" distR="0" wp14:anchorId="01B13D78" wp14:editId="3A11DF5A">
            <wp:extent cx="3035464" cy="3232150"/>
            <wp:effectExtent l="19050" t="19050" r="12700" b="254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7327" cy="3234134"/>
                    </a:xfrm>
                    <a:prstGeom prst="rect">
                      <a:avLst/>
                    </a:prstGeom>
                    <a:ln w="3175">
                      <a:solidFill>
                        <a:schemeClr val="tx1"/>
                      </a:solidFill>
                    </a:ln>
                  </pic:spPr>
                </pic:pic>
              </a:graphicData>
            </a:graphic>
          </wp:inline>
        </w:drawing>
      </w:r>
    </w:p>
    <w:p w14:paraId="270AF79D" w14:textId="5C862204" w:rsidR="00875599" w:rsidRDefault="0094433D" w:rsidP="00422D55">
      <w:pPr>
        <w:spacing w:after="0" w:line="360" w:lineRule="auto"/>
        <w:jc w:val="center"/>
        <w:rPr>
          <w:sz w:val="22"/>
        </w:rPr>
      </w:pPr>
      <w:r w:rsidRPr="00875599">
        <w:rPr>
          <w:szCs w:val="18"/>
        </w:rPr>
        <w:lastRenderedPageBreak/>
        <w:t>Figura 1. Propuesta didáctica</w:t>
      </w:r>
      <w:r>
        <w:rPr>
          <w:szCs w:val="18"/>
        </w:rPr>
        <w:t>. Fuente: Elaboración propia</w:t>
      </w:r>
    </w:p>
    <w:p w14:paraId="6ACA095D" w14:textId="284C0134" w:rsidR="00530CD9" w:rsidRDefault="000F6F6B" w:rsidP="00C053D5">
      <w:pPr>
        <w:spacing w:after="0" w:line="360" w:lineRule="auto"/>
        <w:jc w:val="both"/>
        <w:rPr>
          <w:sz w:val="22"/>
        </w:rPr>
      </w:pPr>
      <w:r>
        <w:rPr>
          <w:sz w:val="22"/>
        </w:rPr>
        <w:t>A continuaci</w:t>
      </w:r>
      <w:r w:rsidR="009A3DED">
        <w:rPr>
          <w:sz w:val="22"/>
        </w:rPr>
        <w:t xml:space="preserve">ón, </w:t>
      </w:r>
      <w:r>
        <w:rPr>
          <w:sz w:val="22"/>
        </w:rPr>
        <w:t xml:space="preserve">se </w:t>
      </w:r>
      <w:r w:rsidR="008F014D">
        <w:rPr>
          <w:sz w:val="22"/>
        </w:rPr>
        <w:t>detallan</w:t>
      </w:r>
      <w:r>
        <w:rPr>
          <w:sz w:val="22"/>
        </w:rPr>
        <w:t xml:space="preserve"> los </w:t>
      </w:r>
      <w:r w:rsidR="009A3DED">
        <w:rPr>
          <w:sz w:val="22"/>
        </w:rPr>
        <w:t xml:space="preserve">procesos (Tabla 1) y </w:t>
      </w:r>
      <w:r>
        <w:rPr>
          <w:sz w:val="22"/>
        </w:rPr>
        <w:t>objetos</w:t>
      </w:r>
      <w:r w:rsidR="009A3DED">
        <w:rPr>
          <w:sz w:val="22"/>
        </w:rPr>
        <w:t xml:space="preserve"> matemáticos que se pretenden trabajar con esta propuesta</w:t>
      </w:r>
      <w:r w:rsidR="008F014D">
        <w:rPr>
          <w:sz w:val="22"/>
        </w:rPr>
        <w:t>, lo cual nos permitirá valorar la idoneidad epistémica</w:t>
      </w:r>
      <w:r w:rsidR="009A3DED">
        <w:rPr>
          <w:sz w:val="22"/>
        </w:rPr>
        <w:t>: conceptos (Tabla 2), elementos lingüísticos (Tabla 3), procedimientos (</w:t>
      </w:r>
      <w:r w:rsidR="00966203">
        <w:rPr>
          <w:sz w:val="22"/>
        </w:rPr>
        <w:t xml:space="preserve">Tabla 4), </w:t>
      </w:r>
      <w:r w:rsidR="00B26E9C">
        <w:rPr>
          <w:sz w:val="22"/>
        </w:rPr>
        <w:t>propiedades (Tabla 5)</w:t>
      </w:r>
      <w:r w:rsidR="00966203">
        <w:rPr>
          <w:sz w:val="22"/>
        </w:rPr>
        <w:t xml:space="preserve"> y argumentos (Tabla 6)</w:t>
      </w:r>
      <w:r w:rsidR="00B26E9C">
        <w:rPr>
          <w:sz w:val="22"/>
        </w:rPr>
        <w:t>.</w:t>
      </w:r>
      <w:r w:rsidR="008F014D">
        <w:rPr>
          <w:sz w:val="22"/>
        </w:rPr>
        <w:t xml:space="preserve"> </w:t>
      </w:r>
    </w:p>
    <w:p w14:paraId="06D6E1F7" w14:textId="77777777" w:rsidR="00D35C3F" w:rsidRDefault="00D35C3F" w:rsidP="00C053D5">
      <w:pPr>
        <w:spacing w:after="0" w:line="360" w:lineRule="auto"/>
        <w:jc w:val="both"/>
        <w:rPr>
          <w:sz w:val="22"/>
        </w:rPr>
      </w:pPr>
    </w:p>
    <w:p w14:paraId="63D631FD" w14:textId="29E0D4FE" w:rsidR="00D67204" w:rsidRPr="00D67204" w:rsidRDefault="00D67204" w:rsidP="00C053D5">
      <w:pPr>
        <w:spacing w:after="0" w:line="360" w:lineRule="auto"/>
        <w:jc w:val="center"/>
        <w:rPr>
          <w:szCs w:val="18"/>
        </w:rPr>
      </w:pPr>
      <w:r w:rsidRPr="00D67204">
        <w:rPr>
          <w:szCs w:val="18"/>
        </w:rPr>
        <w:t>Tabla 1. Análisis epistémico: procesos matemáticos</w:t>
      </w:r>
      <w:r w:rsidR="0094433D">
        <w:rPr>
          <w:szCs w:val="18"/>
        </w:rPr>
        <w:t>. Fuente: Elaboración propia</w:t>
      </w:r>
    </w:p>
    <w:tbl>
      <w:tblPr>
        <w:tblpPr w:leftFromText="141" w:rightFromText="141" w:vertAnchor="text" w:horzAnchor="margin" w:tblpXSpec="center" w:tblpY="119"/>
        <w:tblW w:w="0" w:type="auto"/>
        <w:tblBorders>
          <w:top w:val="single" w:sz="4" w:space="0" w:color="auto"/>
          <w:bottom w:val="single" w:sz="4" w:space="0" w:color="auto"/>
          <w:insideH w:val="single" w:sz="4" w:space="0" w:color="auto"/>
        </w:tblBorders>
        <w:tblLook w:val="00A0" w:firstRow="1" w:lastRow="0" w:firstColumn="1" w:lastColumn="0" w:noHBand="0" w:noVBand="0"/>
      </w:tblPr>
      <w:tblGrid>
        <w:gridCol w:w="2728"/>
        <w:gridCol w:w="5776"/>
      </w:tblGrid>
      <w:tr w:rsidR="00530CD9" w:rsidRPr="00DC5A98" w14:paraId="15A2CE53" w14:textId="77777777" w:rsidTr="00D67204">
        <w:tc>
          <w:tcPr>
            <w:tcW w:w="2748" w:type="dxa"/>
            <w:shd w:val="clear" w:color="auto" w:fill="auto"/>
          </w:tcPr>
          <w:p w14:paraId="2B48A4D5" w14:textId="77777777" w:rsidR="00530CD9" w:rsidRPr="00D35C3F" w:rsidRDefault="00530CD9" w:rsidP="00C053D5">
            <w:pPr>
              <w:tabs>
                <w:tab w:val="left" w:pos="567"/>
              </w:tabs>
              <w:spacing w:before="120" w:after="0" w:line="240" w:lineRule="auto"/>
              <w:jc w:val="center"/>
              <w:rPr>
                <w:b/>
                <w:sz w:val="20"/>
                <w:szCs w:val="20"/>
              </w:rPr>
            </w:pPr>
            <w:r w:rsidRPr="00D35C3F">
              <w:rPr>
                <w:b/>
                <w:sz w:val="20"/>
                <w:szCs w:val="20"/>
              </w:rPr>
              <w:t>Procesos</w:t>
            </w:r>
          </w:p>
        </w:tc>
        <w:tc>
          <w:tcPr>
            <w:tcW w:w="5972" w:type="dxa"/>
            <w:shd w:val="clear" w:color="auto" w:fill="auto"/>
          </w:tcPr>
          <w:p w14:paraId="1CE844C4" w14:textId="77777777" w:rsidR="00530CD9" w:rsidRPr="00D35C3F" w:rsidRDefault="00530CD9" w:rsidP="00C053D5">
            <w:pPr>
              <w:tabs>
                <w:tab w:val="left" w:pos="567"/>
              </w:tabs>
              <w:spacing w:before="120" w:after="0" w:line="240" w:lineRule="auto"/>
              <w:jc w:val="center"/>
              <w:rPr>
                <w:b/>
                <w:sz w:val="20"/>
                <w:szCs w:val="20"/>
              </w:rPr>
            </w:pPr>
            <w:r w:rsidRPr="00D35C3F">
              <w:rPr>
                <w:b/>
                <w:sz w:val="20"/>
                <w:szCs w:val="20"/>
              </w:rPr>
              <w:t>Significado</w:t>
            </w:r>
          </w:p>
        </w:tc>
      </w:tr>
      <w:tr w:rsidR="00530CD9" w:rsidRPr="00DC5A98" w14:paraId="2A274910" w14:textId="77777777" w:rsidTr="00D67204">
        <w:tc>
          <w:tcPr>
            <w:tcW w:w="2748" w:type="dxa"/>
          </w:tcPr>
          <w:p w14:paraId="21D205B2" w14:textId="77777777" w:rsidR="00530CD9" w:rsidRPr="00AF2B2D" w:rsidRDefault="00530CD9" w:rsidP="00C053D5">
            <w:pPr>
              <w:pStyle w:val="Prrafodelista"/>
              <w:numPr>
                <w:ilvl w:val="0"/>
                <w:numId w:val="6"/>
              </w:numPr>
              <w:tabs>
                <w:tab w:val="left" w:pos="567"/>
              </w:tabs>
              <w:spacing w:before="120" w:after="0" w:line="240" w:lineRule="auto"/>
              <w:ind w:left="0" w:firstLine="0"/>
              <w:jc w:val="center"/>
              <w:rPr>
                <w:rFonts w:ascii="Century Gothic" w:hAnsi="Century Gothic"/>
                <w:sz w:val="20"/>
                <w:szCs w:val="20"/>
                <w:lang w:val="es-ES"/>
              </w:rPr>
            </w:pPr>
            <w:r w:rsidRPr="00AF2B2D">
              <w:rPr>
                <w:rFonts w:ascii="Century Gothic" w:hAnsi="Century Gothic"/>
                <w:sz w:val="20"/>
                <w:szCs w:val="20"/>
                <w:lang w:val="es-ES"/>
              </w:rPr>
              <w:t>Resolución de problemas</w:t>
            </w:r>
          </w:p>
          <w:p w14:paraId="11313258" w14:textId="77777777" w:rsidR="00530CD9" w:rsidRPr="00AF2B2D" w:rsidRDefault="00530CD9" w:rsidP="00C053D5">
            <w:pPr>
              <w:pStyle w:val="Prrafodelista"/>
              <w:numPr>
                <w:ilvl w:val="0"/>
                <w:numId w:val="6"/>
              </w:numPr>
              <w:tabs>
                <w:tab w:val="left" w:pos="567"/>
              </w:tabs>
              <w:spacing w:before="120" w:after="0" w:line="240" w:lineRule="auto"/>
              <w:ind w:left="0" w:firstLine="0"/>
              <w:jc w:val="center"/>
              <w:rPr>
                <w:rFonts w:ascii="Century Gothic" w:hAnsi="Century Gothic"/>
                <w:sz w:val="20"/>
                <w:szCs w:val="20"/>
                <w:lang w:val="es-ES"/>
              </w:rPr>
            </w:pPr>
            <w:r w:rsidRPr="00AF2B2D">
              <w:rPr>
                <w:rFonts w:ascii="Century Gothic" w:hAnsi="Century Gothic"/>
                <w:sz w:val="20"/>
                <w:szCs w:val="20"/>
                <w:lang w:val="es-ES"/>
              </w:rPr>
              <w:t>Representación</w:t>
            </w:r>
          </w:p>
          <w:p w14:paraId="276501AF" w14:textId="77777777" w:rsidR="00530CD9" w:rsidRPr="00AF2B2D" w:rsidRDefault="00530CD9" w:rsidP="00C053D5">
            <w:pPr>
              <w:pStyle w:val="Prrafodelista"/>
              <w:numPr>
                <w:ilvl w:val="0"/>
                <w:numId w:val="6"/>
              </w:numPr>
              <w:tabs>
                <w:tab w:val="left" w:pos="567"/>
              </w:tabs>
              <w:spacing w:before="120" w:after="0" w:line="240" w:lineRule="auto"/>
              <w:ind w:left="0" w:firstLine="0"/>
              <w:jc w:val="center"/>
              <w:rPr>
                <w:rFonts w:ascii="Century Gothic" w:hAnsi="Century Gothic"/>
                <w:sz w:val="20"/>
                <w:szCs w:val="20"/>
                <w:lang w:val="es-ES"/>
              </w:rPr>
            </w:pPr>
            <w:r w:rsidRPr="00AF2B2D">
              <w:rPr>
                <w:rFonts w:ascii="Century Gothic" w:hAnsi="Century Gothic"/>
                <w:sz w:val="20"/>
                <w:szCs w:val="20"/>
                <w:lang w:val="es-ES"/>
              </w:rPr>
              <w:t>Comunicación</w:t>
            </w:r>
          </w:p>
          <w:p w14:paraId="68FE5463" w14:textId="77777777" w:rsidR="00530CD9" w:rsidRPr="00AF2B2D" w:rsidRDefault="00530CD9" w:rsidP="00C053D5">
            <w:pPr>
              <w:pStyle w:val="Prrafodelista"/>
              <w:numPr>
                <w:ilvl w:val="0"/>
                <w:numId w:val="6"/>
              </w:numPr>
              <w:tabs>
                <w:tab w:val="left" w:pos="567"/>
              </w:tabs>
              <w:spacing w:before="120" w:after="0" w:line="240" w:lineRule="auto"/>
              <w:ind w:left="0" w:firstLine="0"/>
              <w:jc w:val="center"/>
              <w:rPr>
                <w:rFonts w:ascii="Century Gothic" w:hAnsi="Century Gothic"/>
                <w:sz w:val="20"/>
                <w:szCs w:val="20"/>
                <w:lang w:val="es-ES"/>
              </w:rPr>
            </w:pPr>
            <w:r w:rsidRPr="00AF2B2D">
              <w:rPr>
                <w:rFonts w:ascii="Century Gothic" w:hAnsi="Century Gothic"/>
                <w:sz w:val="20"/>
                <w:szCs w:val="20"/>
                <w:lang w:val="es-ES"/>
              </w:rPr>
              <w:t>Razonamiento y prueba (probar, predecir, argumentar)</w:t>
            </w:r>
          </w:p>
          <w:p w14:paraId="7FF8548B" w14:textId="77777777" w:rsidR="00530CD9" w:rsidRPr="00AF2B2D" w:rsidRDefault="00530CD9" w:rsidP="00C053D5">
            <w:pPr>
              <w:tabs>
                <w:tab w:val="left" w:pos="567"/>
              </w:tabs>
              <w:spacing w:before="120" w:after="0" w:line="240" w:lineRule="auto"/>
              <w:jc w:val="center"/>
              <w:rPr>
                <w:sz w:val="20"/>
                <w:szCs w:val="20"/>
              </w:rPr>
            </w:pPr>
          </w:p>
        </w:tc>
        <w:tc>
          <w:tcPr>
            <w:tcW w:w="5972" w:type="dxa"/>
          </w:tcPr>
          <w:p w14:paraId="74D05EFD" w14:textId="77777777" w:rsidR="00530CD9" w:rsidRPr="00AF2B2D" w:rsidRDefault="00530CD9" w:rsidP="00C053D5">
            <w:pPr>
              <w:pStyle w:val="Prrafodelista"/>
              <w:numPr>
                <w:ilvl w:val="0"/>
                <w:numId w:val="7"/>
              </w:numPr>
              <w:spacing w:after="0" w:line="240" w:lineRule="auto"/>
              <w:ind w:left="0" w:firstLine="0"/>
              <w:jc w:val="center"/>
              <w:rPr>
                <w:rFonts w:ascii="Century Gothic" w:hAnsi="Century Gothic"/>
                <w:sz w:val="20"/>
                <w:szCs w:val="20"/>
                <w:lang w:val="es-ES"/>
              </w:rPr>
            </w:pPr>
            <w:r w:rsidRPr="00AF2B2D">
              <w:rPr>
                <w:rFonts w:ascii="Century Gothic" w:hAnsi="Century Gothic"/>
                <w:sz w:val="20"/>
                <w:szCs w:val="20"/>
                <w:lang w:val="es-ES"/>
              </w:rPr>
              <w:t>Encontrar soluciones a un reto, es decir, que la Blue-</w:t>
            </w:r>
            <w:proofErr w:type="spellStart"/>
            <w:r w:rsidRPr="00AF2B2D">
              <w:rPr>
                <w:rFonts w:ascii="Century Gothic" w:hAnsi="Century Gothic"/>
                <w:sz w:val="20"/>
                <w:szCs w:val="20"/>
                <w:lang w:val="es-ES"/>
              </w:rPr>
              <w:t>Bot</w:t>
            </w:r>
            <w:proofErr w:type="spellEnd"/>
            <w:r w:rsidRPr="00AF2B2D">
              <w:rPr>
                <w:rFonts w:ascii="Century Gothic" w:hAnsi="Century Gothic"/>
                <w:sz w:val="20"/>
                <w:szCs w:val="20"/>
                <w:lang w:val="es-ES"/>
              </w:rPr>
              <w:t xml:space="preserve"> llegue al destino deseado.</w:t>
            </w:r>
          </w:p>
          <w:p w14:paraId="78D911E8" w14:textId="77777777" w:rsidR="00530CD9" w:rsidRPr="00AF2B2D" w:rsidRDefault="00530CD9" w:rsidP="00C053D5">
            <w:pPr>
              <w:pStyle w:val="Prrafodelista"/>
              <w:numPr>
                <w:ilvl w:val="0"/>
                <w:numId w:val="7"/>
              </w:numPr>
              <w:spacing w:after="0" w:line="240" w:lineRule="auto"/>
              <w:ind w:left="0" w:firstLine="0"/>
              <w:jc w:val="center"/>
              <w:rPr>
                <w:rFonts w:ascii="Century Gothic" w:hAnsi="Century Gothic"/>
                <w:sz w:val="20"/>
                <w:szCs w:val="20"/>
                <w:lang w:val="es-ES"/>
              </w:rPr>
            </w:pPr>
            <w:r w:rsidRPr="00AF2B2D">
              <w:rPr>
                <w:rFonts w:ascii="Century Gothic" w:hAnsi="Century Gothic"/>
                <w:sz w:val="20"/>
                <w:szCs w:val="20"/>
                <w:lang w:val="es-ES"/>
              </w:rPr>
              <w:t>Mostrar el resultado; eso es, representar las órdenes que indican las flechas de la ficha y representar libremente un camino.</w:t>
            </w:r>
          </w:p>
          <w:p w14:paraId="3A90F72E" w14:textId="77777777" w:rsidR="00530CD9" w:rsidRPr="00AF2B2D" w:rsidRDefault="00530CD9" w:rsidP="00C053D5">
            <w:pPr>
              <w:pStyle w:val="Prrafodelista"/>
              <w:numPr>
                <w:ilvl w:val="0"/>
                <w:numId w:val="7"/>
              </w:numPr>
              <w:spacing w:after="0" w:line="240" w:lineRule="auto"/>
              <w:ind w:left="0" w:firstLine="0"/>
              <w:jc w:val="center"/>
              <w:rPr>
                <w:rFonts w:ascii="Century Gothic" w:hAnsi="Century Gothic"/>
                <w:sz w:val="20"/>
                <w:szCs w:val="20"/>
                <w:lang w:val="es-ES"/>
              </w:rPr>
            </w:pPr>
            <w:r w:rsidRPr="00AF2B2D">
              <w:rPr>
                <w:rFonts w:ascii="Century Gothic" w:hAnsi="Century Gothic"/>
                <w:sz w:val="20"/>
                <w:szCs w:val="20"/>
                <w:lang w:val="es-ES"/>
              </w:rPr>
              <w:t>Transmitir, es decir, explicar cómo se llega al destino y/o justificar por qué no se ha llegado.</w:t>
            </w:r>
          </w:p>
          <w:p w14:paraId="666769F6" w14:textId="77777777" w:rsidR="00530CD9" w:rsidRPr="00AF2B2D" w:rsidRDefault="00530CD9" w:rsidP="00C053D5">
            <w:pPr>
              <w:pStyle w:val="Prrafodelista"/>
              <w:numPr>
                <w:ilvl w:val="0"/>
                <w:numId w:val="7"/>
              </w:numPr>
              <w:spacing w:after="0" w:line="240" w:lineRule="auto"/>
              <w:ind w:left="0" w:firstLine="0"/>
              <w:jc w:val="center"/>
              <w:rPr>
                <w:rFonts w:ascii="Century Gothic" w:hAnsi="Century Gothic"/>
                <w:sz w:val="20"/>
                <w:szCs w:val="20"/>
                <w:lang w:val="es-ES"/>
              </w:rPr>
            </w:pPr>
          </w:p>
          <w:p w14:paraId="285902CC" w14:textId="77777777" w:rsidR="00530CD9" w:rsidRPr="00AF2B2D" w:rsidRDefault="00530CD9" w:rsidP="00C053D5">
            <w:pPr>
              <w:pStyle w:val="Prrafodelista"/>
              <w:spacing w:after="0" w:line="240" w:lineRule="auto"/>
              <w:ind w:left="0"/>
              <w:jc w:val="center"/>
              <w:rPr>
                <w:rFonts w:ascii="Century Gothic" w:hAnsi="Century Gothic"/>
                <w:sz w:val="20"/>
                <w:szCs w:val="20"/>
                <w:lang w:val="es-ES"/>
              </w:rPr>
            </w:pPr>
            <w:r w:rsidRPr="00AF2B2D">
              <w:rPr>
                <w:rFonts w:ascii="Century Gothic" w:hAnsi="Century Gothic"/>
                <w:sz w:val="20"/>
                <w:szCs w:val="20"/>
                <w:lang w:val="es-ES"/>
              </w:rPr>
              <w:t>Probar. Trabajar a partir del ensayo-error para poder verificar, comprobar.</w:t>
            </w:r>
          </w:p>
          <w:p w14:paraId="79CD0C52" w14:textId="77777777" w:rsidR="00530CD9" w:rsidRPr="00AF2B2D" w:rsidRDefault="00530CD9" w:rsidP="00C053D5">
            <w:pPr>
              <w:pStyle w:val="Prrafodelista"/>
              <w:spacing w:after="0" w:line="240" w:lineRule="auto"/>
              <w:ind w:left="0"/>
              <w:jc w:val="center"/>
              <w:rPr>
                <w:rFonts w:ascii="Century Gothic" w:hAnsi="Century Gothic"/>
                <w:sz w:val="20"/>
                <w:szCs w:val="20"/>
                <w:lang w:val="es-ES"/>
              </w:rPr>
            </w:pPr>
            <w:r w:rsidRPr="00AF2B2D">
              <w:rPr>
                <w:rFonts w:ascii="Century Gothic" w:hAnsi="Century Gothic"/>
                <w:sz w:val="20"/>
                <w:szCs w:val="20"/>
                <w:lang w:val="es-ES"/>
              </w:rPr>
              <w:t>Predecir. Predecir si las órdenes dadas al robot son correctas o no.</w:t>
            </w:r>
          </w:p>
          <w:p w14:paraId="4A5E992E" w14:textId="77777777" w:rsidR="00530CD9" w:rsidRPr="00AF2B2D" w:rsidRDefault="00530CD9" w:rsidP="00C053D5">
            <w:pPr>
              <w:pStyle w:val="Prrafodelista"/>
              <w:spacing w:after="0" w:line="240" w:lineRule="auto"/>
              <w:ind w:left="0"/>
              <w:jc w:val="center"/>
              <w:rPr>
                <w:rFonts w:ascii="Century Gothic" w:hAnsi="Century Gothic"/>
                <w:sz w:val="20"/>
                <w:szCs w:val="20"/>
                <w:lang w:val="es-ES"/>
              </w:rPr>
            </w:pPr>
            <w:r w:rsidRPr="00AF2B2D">
              <w:rPr>
                <w:rFonts w:ascii="Century Gothic" w:hAnsi="Century Gothic"/>
                <w:sz w:val="20"/>
                <w:szCs w:val="20"/>
                <w:lang w:val="es-ES"/>
              </w:rPr>
              <w:t>Argumentar. Justificar los errores, sus predicciones y las de los demás.</w:t>
            </w:r>
          </w:p>
        </w:tc>
      </w:tr>
    </w:tbl>
    <w:p w14:paraId="4B07F60E" w14:textId="1E4793CA" w:rsidR="00B12F00" w:rsidRDefault="00B12F00" w:rsidP="007423EF">
      <w:pPr>
        <w:spacing w:after="0" w:line="360" w:lineRule="auto"/>
        <w:rPr>
          <w:szCs w:val="18"/>
        </w:rPr>
      </w:pPr>
    </w:p>
    <w:p w14:paraId="401556E3" w14:textId="2F68300C" w:rsidR="00D67204" w:rsidRPr="00D67204" w:rsidRDefault="00D67204" w:rsidP="00C053D5">
      <w:pPr>
        <w:spacing w:after="0" w:line="360" w:lineRule="auto"/>
        <w:jc w:val="center"/>
        <w:rPr>
          <w:szCs w:val="18"/>
        </w:rPr>
      </w:pPr>
      <w:r w:rsidRPr="00D67204">
        <w:rPr>
          <w:szCs w:val="18"/>
        </w:rPr>
        <w:t>Tabla 2. Análisis epist</w:t>
      </w:r>
      <w:r>
        <w:rPr>
          <w:szCs w:val="18"/>
        </w:rPr>
        <w:t>émico: c</w:t>
      </w:r>
      <w:r w:rsidRPr="00D67204">
        <w:rPr>
          <w:szCs w:val="18"/>
        </w:rPr>
        <w:t>onceptos.</w:t>
      </w:r>
      <w:r w:rsidR="0094433D">
        <w:rPr>
          <w:szCs w:val="18"/>
        </w:rPr>
        <w:t xml:space="preserve"> Fuente: Elaboración propia.</w:t>
      </w:r>
    </w:p>
    <w:tbl>
      <w:tblPr>
        <w:tblpPr w:leftFromText="141" w:rightFromText="141" w:vertAnchor="text" w:horzAnchor="margin" w:tblpXSpec="center" w:tblpY="143"/>
        <w:tblW w:w="8720"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2268"/>
        <w:gridCol w:w="6452"/>
      </w:tblGrid>
      <w:tr w:rsidR="00530CD9" w:rsidRPr="00133DF2" w14:paraId="440943A3" w14:textId="77777777" w:rsidTr="007423EF">
        <w:tc>
          <w:tcPr>
            <w:tcW w:w="2268" w:type="dxa"/>
            <w:shd w:val="clear" w:color="auto" w:fill="auto"/>
          </w:tcPr>
          <w:p w14:paraId="0DB328F8" w14:textId="77777777" w:rsidR="00530CD9" w:rsidRPr="00133DF2" w:rsidRDefault="00530CD9" w:rsidP="00C053D5">
            <w:pPr>
              <w:tabs>
                <w:tab w:val="left" w:pos="567"/>
              </w:tabs>
              <w:spacing w:before="60" w:after="60" w:line="240" w:lineRule="auto"/>
              <w:jc w:val="center"/>
              <w:rPr>
                <w:b/>
                <w:sz w:val="20"/>
                <w:szCs w:val="20"/>
              </w:rPr>
            </w:pPr>
            <w:r w:rsidRPr="00133DF2">
              <w:rPr>
                <w:b/>
                <w:sz w:val="20"/>
                <w:szCs w:val="20"/>
              </w:rPr>
              <w:t>Conceptos</w:t>
            </w:r>
          </w:p>
        </w:tc>
        <w:tc>
          <w:tcPr>
            <w:tcW w:w="6452" w:type="dxa"/>
            <w:shd w:val="clear" w:color="auto" w:fill="auto"/>
          </w:tcPr>
          <w:p w14:paraId="2D377827" w14:textId="77777777" w:rsidR="00530CD9" w:rsidRPr="00133DF2" w:rsidRDefault="00530CD9" w:rsidP="00C053D5">
            <w:pPr>
              <w:tabs>
                <w:tab w:val="left" w:pos="567"/>
              </w:tabs>
              <w:spacing w:before="60" w:after="60" w:line="240" w:lineRule="auto"/>
              <w:jc w:val="center"/>
              <w:rPr>
                <w:b/>
                <w:sz w:val="20"/>
                <w:szCs w:val="20"/>
              </w:rPr>
            </w:pPr>
            <w:r w:rsidRPr="00133DF2">
              <w:rPr>
                <w:b/>
                <w:sz w:val="20"/>
                <w:szCs w:val="20"/>
              </w:rPr>
              <w:t>Significado</w:t>
            </w:r>
          </w:p>
        </w:tc>
      </w:tr>
      <w:tr w:rsidR="00530CD9" w:rsidRPr="00133DF2" w14:paraId="71E87720" w14:textId="77777777" w:rsidTr="007423EF">
        <w:tc>
          <w:tcPr>
            <w:tcW w:w="2268" w:type="dxa"/>
          </w:tcPr>
          <w:p w14:paraId="3274AB64" w14:textId="77777777" w:rsidR="00530CD9" w:rsidRPr="00133DF2" w:rsidRDefault="00530CD9" w:rsidP="00C053D5">
            <w:pPr>
              <w:pStyle w:val="Prrafodelista"/>
              <w:numPr>
                <w:ilvl w:val="0"/>
                <w:numId w:val="4"/>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Arriba-abajo, derecha-izquierda, adelante-atrás, cerca-lejos</w:t>
            </w:r>
          </w:p>
          <w:p w14:paraId="40DFF9BD" w14:textId="77777777" w:rsidR="00530CD9" w:rsidRPr="00133DF2" w:rsidRDefault="00530CD9" w:rsidP="00C053D5">
            <w:pPr>
              <w:pStyle w:val="Prrafodelista"/>
              <w:numPr>
                <w:ilvl w:val="0"/>
                <w:numId w:val="4"/>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Giro</w:t>
            </w:r>
          </w:p>
          <w:p w14:paraId="6B7C9C67" w14:textId="77777777" w:rsidR="00530CD9" w:rsidRPr="00133DF2" w:rsidRDefault="00530CD9" w:rsidP="00C053D5">
            <w:pPr>
              <w:pStyle w:val="Prrafodelista"/>
              <w:numPr>
                <w:ilvl w:val="0"/>
                <w:numId w:val="4"/>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Contaje</w:t>
            </w:r>
          </w:p>
          <w:p w14:paraId="268905F8" w14:textId="77777777" w:rsidR="00530CD9" w:rsidRPr="00133DF2" w:rsidRDefault="00530CD9" w:rsidP="00C053D5">
            <w:pPr>
              <w:pStyle w:val="Prrafodelista"/>
              <w:numPr>
                <w:ilvl w:val="0"/>
                <w:numId w:val="4"/>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Correspondencia cuantitativa</w:t>
            </w:r>
          </w:p>
          <w:p w14:paraId="71B6B9F5" w14:textId="77777777" w:rsidR="00530CD9" w:rsidRPr="00133DF2" w:rsidRDefault="00530CD9" w:rsidP="00C053D5">
            <w:pPr>
              <w:pStyle w:val="Prrafodelista"/>
              <w:numPr>
                <w:ilvl w:val="0"/>
                <w:numId w:val="4"/>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Tiempo</w:t>
            </w:r>
          </w:p>
          <w:p w14:paraId="0A08D50F" w14:textId="77777777" w:rsidR="00530CD9" w:rsidRPr="00133DF2" w:rsidRDefault="00530CD9" w:rsidP="00C053D5">
            <w:pPr>
              <w:pStyle w:val="Prrafodelista"/>
              <w:numPr>
                <w:ilvl w:val="0"/>
                <w:numId w:val="4"/>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Largo y corto</w:t>
            </w:r>
          </w:p>
          <w:p w14:paraId="0FE2470A" w14:textId="77777777" w:rsidR="00530CD9" w:rsidRPr="00133DF2" w:rsidRDefault="00530CD9" w:rsidP="00C053D5">
            <w:pPr>
              <w:pStyle w:val="Prrafodelista"/>
              <w:numPr>
                <w:ilvl w:val="0"/>
                <w:numId w:val="4"/>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Segmento</w:t>
            </w:r>
          </w:p>
          <w:p w14:paraId="76CC1303" w14:textId="77777777" w:rsidR="00530CD9" w:rsidRPr="00133DF2" w:rsidRDefault="00530CD9" w:rsidP="00C053D5">
            <w:pPr>
              <w:pStyle w:val="Prrafodelista"/>
              <w:numPr>
                <w:ilvl w:val="0"/>
                <w:numId w:val="4"/>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Línea recta</w:t>
            </w:r>
          </w:p>
        </w:tc>
        <w:tc>
          <w:tcPr>
            <w:tcW w:w="6452" w:type="dxa"/>
          </w:tcPr>
          <w:p w14:paraId="0E0245C4" w14:textId="77777777" w:rsidR="00530CD9" w:rsidRPr="00133DF2" w:rsidRDefault="00530CD9" w:rsidP="00C053D5">
            <w:pPr>
              <w:pStyle w:val="Prrafodelista"/>
              <w:numPr>
                <w:ilvl w:val="0"/>
                <w:numId w:val="5"/>
              </w:numPr>
              <w:spacing w:before="120" w:after="0" w:line="240" w:lineRule="auto"/>
              <w:ind w:left="0" w:firstLine="0"/>
              <w:contextualSpacing w:val="0"/>
              <w:jc w:val="center"/>
              <w:rPr>
                <w:rFonts w:ascii="Century Gothic" w:hAnsi="Century Gothic"/>
                <w:sz w:val="20"/>
                <w:szCs w:val="20"/>
                <w:lang w:val="es-ES"/>
              </w:rPr>
            </w:pPr>
            <w:r w:rsidRPr="00133DF2">
              <w:rPr>
                <w:rFonts w:ascii="Century Gothic" w:hAnsi="Century Gothic"/>
                <w:sz w:val="20"/>
                <w:szCs w:val="20"/>
                <w:lang w:val="es-ES"/>
              </w:rPr>
              <w:t>Nociones de orientación espacial, trabajadas vivencialmente y en el plano.</w:t>
            </w:r>
          </w:p>
          <w:p w14:paraId="083B246F" w14:textId="77777777" w:rsidR="00530CD9" w:rsidRPr="00133DF2" w:rsidRDefault="00530CD9" w:rsidP="00C053D5">
            <w:pPr>
              <w:pStyle w:val="Prrafodelista"/>
              <w:numPr>
                <w:ilvl w:val="0"/>
                <w:numId w:val="5"/>
              </w:numPr>
              <w:spacing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Transformación geométrica y noción espacial.</w:t>
            </w:r>
          </w:p>
          <w:p w14:paraId="5FF15A97" w14:textId="77777777" w:rsidR="00530CD9" w:rsidRPr="00133DF2" w:rsidRDefault="00530CD9" w:rsidP="00C053D5">
            <w:pPr>
              <w:pStyle w:val="Prrafodelista"/>
              <w:numPr>
                <w:ilvl w:val="0"/>
                <w:numId w:val="5"/>
              </w:numPr>
              <w:spacing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Cuando los niños desean llevar el robot a un destino, deben contar el número de casillas a recorrer en una misma dirección por la Blue-</w:t>
            </w:r>
            <w:proofErr w:type="spellStart"/>
            <w:r w:rsidRPr="00133DF2">
              <w:rPr>
                <w:rFonts w:ascii="Century Gothic" w:hAnsi="Century Gothic"/>
                <w:sz w:val="20"/>
                <w:szCs w:val="20"/>
                <w:lang w:val="es-ES"/>
              </w:rPr>
              <w:t>Bot</w:t>
            </w:r>
            <w:proofErr w:type="spellEnd"/>
            <w:r w:rsidRPr="00133DF2">
              <w:rPr>
                <w:rFonts w:ascii="Century Gothic" w:hAnsi="Century Gothic"/>
                <w:sz w:val="20"/>
                <w:szCs w:val="20"/>
                <w:lang w:val="es-ES"/>
              </w:rPr>
              <w:t>.</w:t>
            </w:r>
          </w:p>
          <w:p w14:paraId="492D2966" w14:textId="77777777" w:rsidR="00530CD9" w:rsidRPr="00133DF2" w:rsidRDefault="00530CD9" w:rsidP="00C053D5">
            <w:pPr>
              <w:pStyle w:val="Prrafodelista"/>
              <w:numPr>
                <w:ilvl w:val="0"/>
                <w:numId w:val="5"/>
              </w:numPr>
              <w:spacing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Los niños tienen que contar las casillas que debe avanzar la Blue-</w:t>
            </w:r>
            <w:proofErr w:type="spellStart"/>
            <w:r w:rsidRPr="00133DF2">
              <w:rPr>
                <w:rFonts w:ascii="Century Gothic" w:hAnsi="Century Gothic"/>
                <w:sz w:val="20"/>
                <w:szCs w:val="20"/>
                <w:lang w:val="es-ES"/>
              </w:rPr>
              <w:t>Bot</w:t>
            </w:r>
            <w:proofErr w:type="spellEnd"/>
            <w:r w:rsidRPr="00133DF2">
              <w:rPr>
                <w:rFonts w:ascii="Century Gothic" w:hAnsi="Century Gothic"/>
                <w:sz w:val="20"/>
                <w:szCs w:val="20"/>
                <w:lang w:val="es-ES"/>
              </w:rPr>
              <w:t xml:space="preserve"> en una misma dirección y luego, pulsar el botón de la orden tantas veces como casillas hay que avanzar.</w:t>
            </w:r>
          </w:p>
          <w:p w14:paraId="649A0006" w14:textId="77777777" w:rsidR="00530CD9" w:rsidRPr="00133DF2" w:rsidRDefault="00530CD9" w:rsidP="00C053D5">
            <w:pPr>
              <w:pStyle w:val="Prrafodelista"/>
              <w:numPr>
                <w:ilvl w:val="0"/>
                <w:numId w:val="5"/>
              </w:numPr>
              <w:spacing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Duración. Los alumnos deben esperar su turno para poder experimentar con la Blue-</w:t>
            </w:r>
            <w:proofErr w:type="spellStart"/>
            <w:r w:rsidRPr="00133DF2">
              <w:rPr>
                <w:rFonts w:ascii="Century Gothic" w:hAnsi="Century Gothic"/>
                <w:sz w:val="20"/>
                <w:szCs w:val="20"/>
                <w:lang w:val="es-ES"/>
              </w:rPr>
              <w:t>Bot</w:t>
            </w:r>
            <w:proofErr w:type="spellEnd"/>
            <w:r w:rsidRPr="00133DF2">
              <w:rPr>
                <w:rFonts w:ascii="Century Gothic" w:hAnsi="Century Gothic"/>
                <w:sz w:val="20"/>
                <w:szCs w:val="20"/>
                <w:lang w:val="es-ES"/>
              </w:rPr>
              <w:t xml:space="preserve"> y, además, esperar que el robot llegue a su destino una vez pulsadas las teclas y habiendo ejecutado la acción (</w:t>
            </w:r>
            <w:proofErr w:type="spellStart"/>
            <w:r w:rsidRPr="00133DF2">
              <w:rPr>
                <w:rFonts w:ascii="Century Gothic" w:hAnsi="Century Gothic"/>
                <w:sz w:val="20"/>
                <w:szCs w:val="20"/>
                <w:lang w:val="es-ES"/>
              </w:rPr>
              <w:t>go</w:t>
            </w:r>
            <w:proofErr w:type="spellEnd"/>
            <w:r w:rsidRPr="00133DF2">
              <w:rPr>
                <w:rFonts w:ascii="Century Gothic" w:hAnsi="Century Gothic"/>
                <w:sz w:val="20"/>
                <w:szCs w:val="20"/>
                <w:lang w:val="es-ES"/>
              </w:rPr>
              <w:t>).</w:t>
            </w:r>
          </w:p>
          <w:p w14:paraId="02FFDB72" w14:textId="77777777" w:rsidR="00530CD9" w:rsidRPr="00133DF2" w:rsidRDefault="00530CD9" w:rsidP="00C053D5">
            <w:pPr>
              <w:pStyle w:val="Prrafodelista"/>
              <w:numPr>
                <w:ilvl w:val="0"/>
                <w:numId w:val="5"/>
              </w:numPr>
              <w:spacing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Nociones de medida.</w:t>
            </w:r>
          </w:p>
          <w:p w14:paraId="2C926228" w14:textId="77777777" w:rsidR="00530CD9" w:rsidRPr="00133DF2" w:rsidRDefault="00530CD9" w:rsidP="00C053D5">
            <w:pPr>
              <w:pStyle w:val="Prrafodelista"/>
              <w:numPr>
                <w:ilvl w:val="0"/>
                <w:numId w:val="5"/>
              </w:numPr>
              <w:spacing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En este caso, es un camino con inicio y final.</w:t>
            </w:r>
          </w:p>
          <w:p w14:paraId="06CC65CA" w14:textId="77777777" w:rsidR="00530CD9" w:rsidRPr="00133DF2" w:rsidRDefault="00530CD9" w:rsidP="00C053D5">
            <w:pPr>
              <w:pStyle w:val="Prrafodelista"/>
              <w:numPr>
                <w:ilvl w:val="0"/>
                <w:numId w:val="5"/>
              </w:numPr>
              <w:spacing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Camino que recorre la Blue-</w:t>
            </w:r>
            <w:proofErr w:type="spellStart"/>
            <w:r w:rsidRPr="00133DF2">
              <w:rPr>
                <w:rFonts w:ascii="Century Gothic" w:hAnsi="Century Gothic"/>
                <w:sz w:val="20"/>
                <w:szCs w:val="20"/>
                <w:lang w:val="es-ES"/>
              </w:rPr>
              <w:t>Bot</w:t>
            </w:r>
            <w:proofErr w:type="spellEnd"/>
            <w:r w:rsidRPr="00133DF2">
              <w:rPr>
                <w:rFonts w:ascii="Century Gothic" w:hAnsi="Century Gothic"/>
                <w:sz w:val="20"/>
                <w:szCs w:val="20"/>
                <w:lang w:val="es-ES"/>
              </w:rPr>
              <w:t>.</w:t>
            </w:r>
          </w:p>
          <w:p w14:paraId="6A69A4E9" w14:textId="77777777" w:rsidR="00530CD9" w:rsidRPr="00133DF2" w:rsidRDefault="00530CD9" w:rsidP="00C053D5">
            <w:pPr>
              <w:pStyle w:val="Prrafodelista"/>
              <w:spacing w:after="0" w:line="240" w:lineRule="auto"/>
              <w:ind w:left="0"/>
              <w:jc w:val="center"/>
              <w:rPr>
                <w:rFonts w:ascii="Century Gothic" w:hAnsi="Century Gothic"/>
                <w:sz w:val="20"/>
                <w:szCs w:val="20"/>
                <w:lang w:val="es-ES"/>
              </w:rPr>
            </w:pPr>
          </w:p>
        </w:tc>
      </w:tr>
    </w:tbl>
    <w:p w14:paraId="7E2F09D2" w14:textId="77777777" w:rsidR="00530CD9" w:rsidRDefault="00530CD9" w:rsidP="00C053D5">
      <w:pPr>
        <w:spacing w:after="0" w:line="360" w:lineRule="auto"/>
        <w:jc w:val="both"/>
        <w:rPr>
          <w:sz w:val="22"/>
        </w:rPr>
      </w:pPr>
    </w:p>
    <w:p w14:paraId="6D98BF96" w14:textId="6C863A19" w:rsidR="00D67204" w:rsidRDefault="00D67204" w:rsidP="00C053D5">
      <w:pPr>
        <w:spacing w:after="0" w:line="360" w:lineRule="auto"/>
        <w:jc w:val="center"/>
        <w:rPr>
          <w:szCs w:val="18"/>
        </w:rPr>
      </w:pPr>
      <w:r w:rsidRPr="00D67204">
        <w:rPr>
          <w:szCs w:val="18"/>
        </w:rPr>
        <w:t>Tabla 3. Análisis epistémico: elementos lingüísticos</w:t>
      </w:r>
      <w:r w:rsidR="0094433D">
        <w:rPr>
          <w:szCs w:val="18"/>
        </w:rPr>
        <w:t>. Fuente: Elaboración propia.</w:t>
      </w:r>
    </w:p>
    <w:p w14:paraId="746FD03C" w14:textId="51B511E2" w:rsidR="001649F6" w:rsidRDefault="001649F6" w:rsidP="00C053D5">
      <w:pPr>
        <w:spacing w:after="0" w:line="360" w:lineRule="auto"/>
        <w:jc w:val="center"/>
        <w:rPr>
          <w:szCs w:val="18"/>
        </w:rPr>
      </w:pPr>
    </w:p>
    <w:p w14:paraId="2A7BE52B" w14:textId="77777777" w:rsidR="001649F6" w:rsidRPr="00D67204" w:rsidRDefault="001649F6" w:rsidP="00C053D5">
      <w:pPr>
        <w:spacing w:after="0" w:line="360" w:lineRule="auto"/>
        <w:jc w:val="center"/>
        <w:rPr>
          <w:szCs w:val="18"/>
        </w:rPr>
      </w:pPr>
    </w:p>
    <w:tbl>
      <w:tblPr>
        <w:tblpPr w:leftFromText="141" w:rightFromText="141" w:vertAnchor="text" w:horzAnchor="margin" w:tblpXSpec="center" w:tblpY="143"/>
        <w:tblW w:w="8720"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2410"/>
        <w:gridCol w:w="6310"/>
      </w:tblGrid>
      <w:tr w:rsidR="00530CD9" w:rsidRPr="00133DF2" w14:paraId="2FAF6E80" w14:textId="77777777" w:rsidTr="001649F6">
        <w:tc>
          <w:tcPr>
            <w:tcW w:w="2410" w:type="dxa"/>
            <w:shd w:val="clear" w:color="auto" w:fill="auto"/>
          </w:tcPr>
          <w:p w14:paraId="17FAD8E7" w14:textId="77777777" w:rsidR="00530CD9" w:rsidRPr="00133DF2" w:rsidRDefault="00530CD9" w:rsidP="00C053D5">
            <w:pPr>
              <w:tabs>
                <w:tab w:val="left" w:pos="567"/>
              </w:tabs>
              <w:spacing w:before="120" w:after="0" w:line="240" w:lineRule="auto"/>
              <w:jc w:val="center"/>
              <w:rPr>
                <w:b/>
                <w:sz w:val="20"/>
                <w:szCs w:val="20"/>
              </w:rPr>
            </w:pPr>
            <w:r w:rsidRPr="00133DF2">
              <w:rPr>
                <w:b/>
                <w:sz w:val="20"/>
                <w:szCs w:val="20"/>
              </w:rPr>
              <w:lastRenderedPageBreak/>
              <w:t>Elementos lingüísticos</w:t>
            </w:r>
          </w:p>
        </w:tc>
        <w:tc>
          <w:tcPr>
            <w:tcW w:w="6310" w:type="dxa"/>
            <w:shd w:val="clear" w:color="auto" w:fill="auto"/>
          </w:tcPr>
          <w:p w14:paraId="0D5FCFB1" w14:textId="77777777" w:rsidR="00530CD9" w:rsidRPr="00133DF2" w:rsidRDefault="00530CD9" w:rsidP="00C053D5">
            <w:pPr>
              <w:tabs>
                <w:tab w:val="left" w:pos="567"/>
              </w:tabs>
              <w:spacing w:before="120" w:after="0" w:line="240" w:lineRule="auto"/>
              <w:jc w:val="center"/>
              <w:rPr>
                <w:b/>
                <w:sz w:val="20"/>
                <w:szCs w:val="20"/>
              </w:rPr>
            </w:pPr>
            <w:r w:rsidRPr="00133DF2">
              <w:rPr>
                <w:b/>
                <w:sz w:val="20"/>
                <w:szCs w:val="20"/>
              </w:rPr>
              <w:t>Significado</w:t>
            </w:r>
          </w:p>
        </w:tc>
      </w:tr>
      <w:tr w:rsidR="00530CD9" w:rsidRPr="00133DF2" w14:paraId="68E90FC7" w14:textId="77777777" w:rsidTr="001649F6">
        <w:tc>
          <w:tcPr>
            <w:tcW w:w="2410" w:type="dxa"/>
          </w:tcPr>
          <w:p w14:paraId="782EFCFD" w14:textId="77777777" w:rsidR="00530CD9" w:rsidRPr="00133DF2" w:rsidRDefault="00530CD9" w:rsidP="00C053D5">
            <w:pPr>
              <w:pStyle w:val="Prrafodelista"/>
              <w:numPr>
                <w:ilvl w:val="0"/>
                <w:numId w:val="8"/>
              </w:numPr>
              <w:tabs>
                <w:tab w:val="left" w:pos="284"/>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Comunicación verbal</w:t>
            </w:r>
          </w:p>
          <w:p w14:paraId="3DAC639B" w14:textId="77777777" w:rsidR="00530CD9" w:rsidRPr="00133DF2" w:rsidRDefault="00530CD9" w:rsidP="00C053D5">
            <w:pPr>
              <w:pStyle w:val="Prrafodelista"/>
              <w:numPr>
                <w:ilvl w:val="0"/>
                <w:numId w:val="8"/>
              </w:numPr>
              <w:tabs>
                <w:tab w:val="left" w:pos="284"/>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Lenguaje gráfico</w:t>
            </w:r>
          </w:p>
          <w:p w14:paraId="19760827" w14:textId="77777777" w:rsidR="00530CD9" w:rsidRPr="00133DF2" w:rsidRDefault="00530CD9" w:rsidP="00C053D5">
            <w:pPr>
              <w:pStyle w:val="Prrafodelista"/>
              <w:numPr>
                <w:ilvl w:val="0"/>
                <w:numId w:val="8"/>
              </w:numPr>
              <w:tabs>
                <w:tab w:val="left" w:pos="284"/>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Lenguaje simbólico (flechas)</w:t>
            </w:r>
          </w:p>
        </w:tc>
        <w:tc>
          <w:tcPr>
            <w:tcW w:w="6310" w:type="dxa"/>
          </w:tcPr>
          <w:p w14:paraId="4E17D015" w14:textId="53EEE347" w:rsidR="00530CD9" w:rsidRPr="00B3509D" w:rsidRDefault="00530CD9" w:rsidP="00C053D5">
            <w:pPr>
              <w:pStyle w:val="Prrafodelista"/>
              <w:numPr>
                <w:ilvl w:val="0"/>
                <w:numId w:val="9"/>
              </w:numPr>
              <w:spacing w:before="120" w:after="0" w:line="240" w:lineRule="auto"/>
              <w:ind w:left="0" w:firstLine="0"/>
              <w:jc w:val="center"/>
              <w:rPr>
                <w:rFonts w:ascii="Century Gothic" w:hAnsi="Century Gothic"/>
                <w:sz w:val="20"/>
                <w:szCs w:val="20"/>
                <w:lang w:val="es-ES"/>
              </w:rPr>
            </w:pPr>
            <w:r w:rsidRPr="00B3509D">
              <w:rPr>
                <w:rFonts w:ascii="Century Gothic" w:hAnsi="Century Gothic"/>
                <w:sz w:val="20"/>
                <w:szCs w:val="20"/>
                <w:lang w:val="es-ES"/>
              </w:rPr>
              <w:t>A lo largo de toda la experiencia, los niños comunican lo que comprenden, lo que quieren hacer y lo que no han hecho bien al darle las órdenes al robot con su propio lenguaje oral.</w:t>
            </w:r>
          </w:p>
          <w:p w14:paraId="02969B3C" w14:textId="77777777" w:rsidR="00530CD9" w:rsidRPr="00133DF2" w:rsidRDefault="00530CD9" w:rsidP="00C053D5">
            <w:pPr>
              <w:pStyle w:val="Prrafodelista"/>
              <w:numPr>
                <w:ilvl w:val="0"/>
                <w:numId w:val="9"/>
              </w:numPr>
              <w:spacing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 xml:space="preserve">Se usa el lenguaje gráfico en la ficha que se les da para que tracen el camino que indican las flechas (cuadrícula y flechas) y en el tablero de la </w:t>
            </w:r>
            <w:bookmarkStart w:id="0" w:name="_GoBack"/>
            <w:bookmarkEnd w:id="0"/>
            <w:r w:rsidRPr="00133DF2">
              <w:rPr>
                <w:rFonts w:ascii="Century Gothic" w:hAnsi="Century Gothic"/>
                <w:sz w:val="20"/>
                <w:szCs w:val="20"/>
                <w:lang w:val="es-ES"/>
              </w:rPr>
              <w:t>Blue-</w:t>
            </w:r>
            <w:proofErr w:type="spellStart"/>
            <w:r w:rsidRPr="00133DF2">
              <w:rPr>
                <w:rFonts w:ascii="Century Gothic" w:hAnsi="Century Gothic"/>
                <w:sz w:val="20"/>
                <w:szCs w:val="20"/>
                <w:lang w:val="es-ES"/>
              </w:rPr>
              <w:t>Bot</w:t>
            </w:r>
            <w:proofErr w:type="spellEnd"/>
            <w:r w:rsidRPr="00133DF2">
              <w:rPr>
                <w:rFonts w:ascii="Century Gothic" w:hAnsi="Century Gothic"/>
                <w:sz w:val="20"/>
                <w:szCs w:val="20"/>
                <w:lang w:val="es-ES"/>
              </w:rPr>
              <w:t xml:space="preserve"> (cuadrícula con casillas en blanco y otras con dibujos de lugares).</w:t>
            </w:r>
          </w:p>
          <w:p w14:paraId="66CE0BF6" w14:textId="77777777" w:rsidR="00530CD9" w:rsidRPr="00133DF2" w:rsidRDefault="00530CD9" w:rsidP="00C053D5">
            <w:pPr>
              <w:pStyle w:val="Prrafodelista"/>
              <w:numPr>
                <w:ilvl w:val="0"/>
                <w:numId w:val="9"/>
              </w:numPr>
              <w:spacing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En la ficha final: los niños tienen que escribir unas órdenes libres y trazar el camino de esas órdenes.</w:t>
            </w:r>
          </w:p>
          <w:p w14:paraId="09ADBAEF" w14:textId="77777777" w:rsidR="00530CD9" w:rsidRPr="00133DF2" w:rsidRDefault="00530CD9" w:rsidP="00C053D5">
            <w:pPr>
              <w:spacing w:after="0" w:line="240" w:lineRule="auto"/>
              <w:jc w:val="center"/>
              <w:rPr>
                <w:sz w:val="20"/>
                <w:szCs w:val="20"/>
              </w:rPr>
            </w:pPr>
            <w:r w:rsidRPr="00133DF2">
              <w:rPr>
                <w:sz w:val="20"/>
                <w:szCs w:val="20"/>
              </w:rPr>
              <w:t>En los botones de la Blue-</w:t>
            </w:r>
            <w:proofErr w:type="spellStart"/>
            <w:r w:rsidRPr="00133DF2">
              <w:rPr>
                <w:sz w:val="20"/>
                <w:szCs w:val="20"/>
              </w:rPr>
              <w:t>Bot</w:t>
            </w:r>
            <w:proofErr w:type="spellEnd"/>
            <w:r w:rsidRPr="00133DF2">
              <w:rPr>
                <w:sz w:val="20"/>
                <w:szCs w:val="20"/>
              </w:rPr>
              <w:t>. Por ejemplo, el símbolo de “pausa” es universal.</w:t>
            </w:r>
          </w:p>
        </w:tc>
      </w:tr>
    </w:tbl>
    <w:p w14:paraId="500F44E5" w14:textId="77777777" w:rsidR="00530CD9" w:rsidRDefault="00530CD9" w:rsidP="00C053D5">
      <w:pPr>
        <w:spacing w:after="0" w:line="360" w:lineRule="auto"/>
        <w:jc w:val="both"/>
        <w:rPr>
          <w:sz w:val="22"/>
        </w:rPr>
      </w:pPr>
    </w:p>
    <w:p w14:paraId="74D2EBD7" w14:textId="46DA8B28" w:rsidR="00D67204" w:rsidRPr="00D67204" w:rsidRDefault="00D67204" w:rsidP="00575D7B">
      <w:pPr>
        <w:spacing w:after="0" w:line="360" w:lineRule="auto"/>
        <w:jc w:val="center"/>
        <w:rPr>
          <w:szCs w:val="18"/>
        </w:rPr>
      </w:pPr>
      <w:r w:rsidRPr="00D67204">
        <w:rPr>
          <w:szCs w:val="18"/>
        </w:rPr>
        <w:t>Tabla 4. Análisis epistémico: procedimientos</w:t>
      </w:r>
      <w:r w:rsidR="0094433D">
        <w:rPr>
          <w:szCs w:val="18"/>
        </w:rPr>
        <w:t>. Fuente: Elaboración propia.</w:t>
      </w:r>
    </w:p>
    <w:tbl>
      <w:tblPr>
        <w:tblpPr w:leftFromText="141" w:rightFromText="141" w:vertAnchor="text" w:horzAnchor="margin" w:tblpY="143"/>
        <w:tblW w:w="8720"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2694"/>
        <w:gridCol w:w="6026"/>
      </w:tblGrid>
      <w:tr w:rsidR="00530CD9" w:rsidRPr="00133DF2" w14:paraId="441E494D" w14:textId="77777777" w:rsidTr="007423EF">
        <w:tc>
          <w:tcPr>
            <w:tcW w:w="2694" w:type="dxa"/>
            <w:shd w:val="clear" w:color="auto" w:fill="auto"/>
          </w:tcPr>
          <w:p w14:paraId="5AAE9176" w14:textId="77777777" w:rsidR="00530CD9" w:rsidRPr="00133DF2" w:rsidRDefault="00530CD9" w:rsidP="00C053D5">
            <w:pPr>
              <w:tabs>
                <w:tab w:val="left" w:pos="567"/>
              </w:tabs>
              <w:spacing w:before="120" w:after="0" w:line="240" w:lineRule="auto"/>
              <w:jc w:val="center"/>
              <w:rPr>
                <w:b/>
                <w:sz w:val="20"/>
                <w:szCs w:val="20"/>
              </w:rPr>
            </w:pPr>
            <w:r w:rsidRPr="00133DF2">
              <w:rPr>
                <w:b/>
                <w:sz w:val="20"/>
                <w:szCs w:val="20"/>
              </w:rPr>
              <w:t>Procedimientos</w:t>
            </w:r>
          </w:p>
        </w:tc>
        <w:tc>
          <w:tcPr>
            <w:tcW w:w="6026" w:type="dxa"/>
            <w:shd w:val="clear" w:color="auto" w:fill="auto"/>
          </w:tcPr>
          <w:p w14:paraId="760F4D88" w14:textId="77777777" w:rsidR="00530CD9" w:rsidRPr="00133DF2" w:rsidRDefault="00530CD9" w:rsidP="00C053D5">
            <w:pPr>
              <w:tabs>
                <w:tab w:val="left" w:pos="567"/>
              </w:tabs>
              <w:spacing w:before="120" w:after="0" w:line="240" w:lineRule="auto"/>
              <w:jc w:val="center"/>
              <w:rPr>
                <w:b/>
                <w:sz w:val="20"/>
                <w:szCs w:val="20"/>
              </w:rPr>
            </w:pPr>
            <w:r w:rsidRPr="00133DF2">
              <w:rPr>
                <w:b/>
                <w:sz w:val="20"/>
                <w:szCs w:val="20"/>
              </w:rPr>
              <w:t>Significado</w:t>
            </w:r>
          </w:p>
        </w:tc>
      </w:tr>
      <w:tr w:rsidR="00530CD9" w:rsidRPr="00133DF2" w14:paraId="1BE440EE" w14:textId="77777777" w:rsidTr="007423EF">
        <w:tc>
          <w:tcPr>
            <w:tcW w:w="2694" w:type="dxa"/>
          </w:tcPr>
          <w:p w14:paraId="58EEE237" w14:textId="77777777" w:rsidR="00530CD9" w:rsidRPr="00133DF2" w:rsidRDefault="00530CD9" w:rsidP="00C053D5">
            <w:pPr>
              <w:pStyle w:val="Prrafodelista"/>
              <w:numPr>
                <w:ilvl w:val="0"/>
                <w:numId w:val="10"/>
              </w:numPr>
              <w:tabs>
                <w:tab w:val="left" w:pos="284"/>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 xml:space="preserve">Ir de excursión a la </w:t>
            </w:r>
            <w:proofErr w:type="spellStart"/>
            <w:r w:rsidRPr="00133DF2">
              <w:rPr>
                <w:rFonts w:ascii="Century Gothic" w:hAnsi="Century Gothic"/>
                <w:sz w:val="20"/>
                <w:szCs w:val="20"/>
                <w:lang w:val="es-ES"/>
              </w:rPr>
              <w:t>Mitjana</w:t>
            </w:r>
            <w:proofErr w:type="spellEnd"/>
          </w:p>
          <w:p w14:paraId="5F69509D" w14:textId="77777777" w:rsidR="00530CD9" w:rsidRPr="00133DF2" w:rsidRDefault="00530CD9" w:rsidP="00C053D5">
            <w:pPr>
              <w:pStyle w:val="Prrafodelista"/>
              <w:numPr>
                <w:ilvl w:val="0"/>
                <w:numId w:val="10"/>
              </w:numPr>
              <w:tabs>
                <w:tab w:val="left" w:pos="284"/>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Manipular libremente la Blue-</w:t>
            </w:r>
            <w:proofErr w:type="spellStart"/>
            <w:r w:rsidRPr="00133DF2">
              <w:rPr>
                <w:rFonts w:ascii="Century Gothic" w:hAnsi="Century Gothic"/>
                <w:sz w:val="20"/>
                <w:szCs w:val="20"/>
                <w:lang w:val="es-ES"/>
              </w:rPr>
              <w:t>Bot</w:t>
            </w:r>
            <w:proofErr w:type="spellEnd"/>
          </w:p>
          <w:p w14:paraId="664681CE" w14:textId="77777777" w:rsidR="00530CD9" w:rsidRPr="00133DF2" w:rsidRDefault="00530CD9" w:rsidP="00C053D5">
            <w:pPr>
              <w:pStyle w:val="Prrafodelista"/>
              <w:numPr>
                <w:ilvl w:val="0"/>
                <w:numId w:val="10"/>
              </w:numPr>
              <w:tabs>
                <w:tab w:val="left" w:pos="284"/>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Dar órdenes al robot</w:t>
            </w:r>
          </w:p>
          <w:p w14:paraId="39EEB5D2" w14:textId="77777777" w:rsidR="00530CD9" w:rsidRPr="00133DF2" w:rsidRDefault="00530CD9" w:rsidP="00C053D5">
            <w:pPr>
              <w:pStyle w:val="Prrafodelista"/>
              <w:numPr>
                <w:ilvl w:val="0"/>
                <w:numId w:val="10"/>
              </w:numPr>
              <w:tabs>
                <w:tab w:val="left" w:pos="284"/>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Trabajar a partir del ensayo-error</w:t>
            </w:r>
          </w:p>
          <w:p w14:paraId="15C2080B" w14:textId="77777777" w:rsidR="00530CD9" w:rsidRPr="00133DF2" w:rsidRDefault="00530CD9" w:rsidP="00C053D5">
            <w:pPr>
              <w:pStyle w:val="Prrafodelista"/>
              <w:numPr>
                <w:ilvl w:val="0"/>
                <w:numId w:val="10"/>
              </w:numPr>
              <w:tabs>
                <w:tab w:val="left" w:pos="284"/>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Trazar en el papel la ruta realizada por la Blue-</w:t>
            </w:r>
            <w:proofErr w:type="spellStart"/>
            <w:r w:rsidRPr="00133DF2">
              <w:rPr>
                <w:rFonts w:ascii="Century Gothic" w:hAnsi="Century Gothic"/>
                <w:sz w:val="20"/>
                <w:szCs w:val="20"/>
                <w:lang w:val="es-ES"/>
              </w:rPr>
              <w:t>Bot</w:t>
            </w:r>
            <w:proofErr w:type="spellEnd"/>
            <w:r w:rsidRPr="00133DF2">
              <w:rPr>
                <w:rFonts w:ascii="Century Gothic" w:hAnsi="Century Gothic"/>
                <w:sz w:val="20"/>
                <w:szCs w:val="20"/>
                <w:lang w:val="es-ES"/>
              </w:rPr>
              <w:t>.</w:t>
            </w:r>
          </w:p>
          <w:p w14:paraId="4FBB3DCD" w14:textId="77777777" w:rsidR="00530CD9" w:rsidRPr="00133DF2" w:rsidRDefault="00530CD9" w:rsidP="00C053D5">
            <w:pPr>
              <w:pStyle w:val="Prrafodelista"/>
              <w:numPr>
                <w:ilvl w:val="0"/>
                <w:numId w:val="10"/>
              </w:numPr>
              <w:tabs>
                <w:tab w:val="left" w:pos="284"/>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Interpretar</w:t>
            </w:r>
          </w:p>
        </w:tc>
        <w:tc>
          <w:tcPr>
            <w:tcW w:w="6026" w:type="dxa"/>
          </w:tcPr>
          <w:p w14:paraId="5D3EB6F7" w14:textId="77777777" w:rsidR="00530CD9" w:rsidRPr="00133DF2" w:rsidRDefault="00530CD9" w:rsidP="00C053D5">
            <w:pPr>
              <w:pStyle w:val="Prrafodelista"/>
              <w:spacing w:line="240" w:lineRule="auto"/>
              <w:ind w:left="0"/>
              <w:jc w:val="center"/>
              <w:rPr>
                <w:rFonts w:ascii="Century Gothic" w:hAnsi="Century Gothic"/>
                <w:sz w:val="20"/>
                <w:szCs w:val="20"/>
                <w:lang w:val="es-ES"/>
              </w:rPr>
            </w:pPr>
          </w:p>
          <w:p w14:paraId="49FE053C" w14:textId="77777777" w:rsidR="00530CD9" w:rsidRPr="00133DF2" w:rsidRDefault="00530CD9" w:rsidP="00C053D5">
            <w:pPr>
              <w:pStyle w:val="Prrafodelista"/>
              <w:numPr>
                <w:ilvl w:val="0"/>
                <w:numId w:val="11"/>
              </w:numPr>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Explorar el entorno con el cuerpo.</w:t>
            </w:r>
          </w:p>
          <w:p w14:paraId="311BB107" w14:textId="77777777" w:rsidR="00530CD9" w:rsidRPr="00133DF2" w:rsidRDefault="00530CD9" w:rsidP="00C053D5">
            <w:pPr>
              <w:pStyle w:val="Prrafodelista"/>
              <w:numPr>
                <w:ilvl w:val="0"/>
                <w:numId w:val="11"/>
              </w:numPr>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Los niños disponen de tiempo para familiarizarse con las Blue-</w:t>
            </w:r>
            <w:proofErr w:type="spellStart"/>
            <w:r w:rsidRPr="00133DF2">
              <w:rPr>
                <w:rFonts w:ascii="Century Gothic" w:hAnsi="Century Gothic"/>
                <w:sz w:val="20"/>
                <w:szCs w:val="20"/>
                <w:lang w:val="es-ES"/>
              </w:rPr>
              <w:t>Bots</w:t>
            </w:r>
            <w:proofErr w:type="spellEnd"/>
            <w:r w:rsidRPr="00133DF2">
              <w:rPr>
                <w:rFonts w:ascii="Century Gothic" w:hAnsi="Century Gothic"/>
                <w:sz w:val="20"/>
                <w:szCs w:val="20"/>
                <w:lang w:val="es-ES"/>
              </w:rPr>
              <w:t xml:space="preserve"> y explorar sus posibilidades.</w:t>
            </w:r>
          </w:p>
          <w:p w14:paraId="0E633868" w14:textId="77777777" w:rsidR="00530CD9" w:rsidRPr="00133DF2" w:rsidRDefault="00530CD9" w:rsidP="00C053D5">
            <w:pPr>
              <w:pStyle w:val="Prrafodelista"/>
              <w:numPr>
                <w:ilvl w:val="0"/>
                <w:numId w:val="11"/>
              </w:numPr>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Los alumnos deben dar órdenes al robot para que éste llegue a un destino determinado.</w:t>
            </w:r>
          </w:p>
          <w:p w14:paraId="0F779F9D" w14:textId="77777777" w:rsidR="00530CD9" w:rsidRPr="00133DF2" w:rsidRDefault="00530CD9" w:rsidP="00C053D5">
            <w:pPr>
              <w:pStyle w:val="Prrafodelista"/>
              <w:numPr>
                <w:ilvl w:val="0"/>
                <w:numId w:val="11"/>
              </w:numPr>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Si hay errores, pueden volver a intentarlo tantas veces como sea necesario y buscar nuevas estrategias.</w:t>
            </w:r>
          </w:p>
          <w:p w14:paraId="7B32F57E" w14:textId="77777777" w:rsidR="00530CD9" w:rsidRPr="00133DF2" w:rsidRDefault="00530CD9" w:rsidP="00C053D5">
            <w:pPr>
              <w:pStyle w:val="Prrafodelista"/>
              <w:numPr>
                <w:ilvl w:val="0"/>
                <w:numId w:val="11"/>
              </w:numPr>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Finalmente, los alumnos han de representaren una ficha didáctica el recorrido realizado por el robot.</w:t>
            </w:r>
          </w:p>
          <w:p w14:paraId="6D00CA19" w14:textId="77777777" w:rsidR="00530CD9" w:rsidRPr="00133DF2" w:rsidRDefault="00530CD9" w:rsidP="00C053D5">
            <w:pPr>
              <w:pStyle w:val="Prrafodelista"/>
              <w:numPr>
                <w:ilvl w:val="0"/>
                <w:numId w:val="11"/>
              </w:numPr>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Deben interpretar los comandos de la Blue-</w:t>
            </w:r>
            <w:proofErr w:type="spellStart"/>
            <w:r w:rsidRPr="00133DF2">
              <w:rPr>
                <w:rFonts w:ascii="Century Gothic" w:hAnsi="Century Gothic"/>
                <w:sz w:val="20"/>
                <w:szCs w:val="20"/>
                <w:lang w:val="es-ES"/>
              </w:rPr>
              <w:t>Bot</w:t>
            </w:r>
            <w:proofErr w:type="spellEnd"/>
            <w:r w:rsidRPr="00133DF2">
              <w:rPr>
                <w:rFonts w:ascii="Century Gothic" w:hAnsi="Century Gothic"/>
                <w:sz w:val="20"/>
                <w:szCs w:val="20"/>
                <w:lang w:val="es-ES"/>
              </w:rPr>
              <w:t xml:space="preserve"> y también las indicaciones (flechas) de la ficha final.</w:t>
            </w:r>
          </w:p>
          <w:p w14:paraId="52560D81" w14:textId="77777777" w:rsidR="00530CD9" w:rsidRPr="00133DF2" w:rsidRDefault="00530CD9" w:rsidP="00C053D5">
            <w:pPr>
              <w:pStyle w:val="Prrafodelista"/>
              <w:spacing w:before="120" w:after="0" w:line="240" w:lineRule="auto"/>
              <w:ind w:left="0"/>
              <w:jc w:val="center"/>
              <w:rPr>
                <w:rFonts w:ascii="Century Gothic" w:hAnsi="Century Gothic"/>
                <w:sz w:val="20"/>
                <w:szCs w:val="20"/>
                <w:lang w:val="es-ES"/>
              </w:rPr>
            </w:pPr>
          </w:p>
          <w:p w14:paraId="4A50E168" w14:textId="77777777" w:rsidR="00530CD9" w:rsidRPr="00133DF2" w:rsidRDefault="00530CD9" w:rsidP="00C053D5">
            <w:pPr>
              <w:pStyle w:val="Prrafodelista"/>
              <w:spacing w:before="120" w:after="0" w:line="240" w:lineRule="auto"/>
              <w:ind w:left="0"/>
              <w:jc w:val="center"/>
              <w:rPr>
                <w:rFonts w:ascii="Century Gothic" w:hAnsi="Century Gothic"/>
                <w:sz w:val="20"/>
                <w:szCs w:val="20"/>
                <w:lang w:val="es-ES"/>
              </w:rPr>
            </w:pPr>
          </w:p>
        </w:tc>
      </w:tr>
    </w:tbl>
    <w:p w14:paraId="1E9B9E63" w14:textId="77777777" w:rsidR="00530CD9" w:rsidRDefault="00530CD9" w:rsidP="00C053D5">
      <w:pPr>
        <w:spacing w:after="0" w:line="360" w:lineRule="auto"/>
        <w:jc w:val="both"/>
        <w:rPr>
          <w:sz w:val="22"/>
        </w:rPr>
      </w:pPr>
    </w:p>
    <w:p w14:paraId="55994806" w14:textId="016F38DD" w:rsidR="007423EF" w:rsidRDefault="00D67204" w:rsidP="007423EF">
      <w:pPr>
        <w:spacing w:after="0" w:line="360" w:lineRule="auto"/>
        <w:jc w:val="center"/>
        <w:rPr>
          <w:szCs w:val="18"/>
        </w:rPr>
      </w:pPr>
      <w:r w:rsidRPr="00D67204">
        <w:rPr>
          <w:szCs w:val="18"/>
        </w:rPr>
        <w:t>Tabla 5. Análisis epistémico: propiedades</w:t>
      </w:r>
      <w:r w:rsidR="0094433D">
        <w:rPr>
          <w:szCs w:val="18"/>
        </w:rPr>
        <w:t>. Fuente: Elaboración propia.</w:t>
      </w:r>
    </w:p>
    <w:tbl>
      <w:tblPr>
        <w:tblpPr w:leftFromText="141" w:rightFromText="141" w:vertAnchor="text" w:horzAnchor="margin" w:tblpY="84"/>
        <w:tblW w:w="8597"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7044"/>
        <w:gridCol w:w="1553"/>
      </w:tblGrid>
      <w:tr w:rsidR="007423EF" w:rsidRPr="00133DF2" w14:paraId="62352D74" w14:textId="77777777" w:rsidTr="007423EF">
        <w:trPr>
          <w:trHeight w:val="286"/>
        </w:trPr>
        <w:tc>
          <w:tcPr>
            <w:tcW w:w="7044" w:type="dxa"/>
            <w:shd w:val="clear" w:color="auto" w:fill="auto"/>
          </w:tcPr>
          <w:p w14:paraId="3A105090" w14:textId="77777777" w:rsidR="007423EF" w:rsidRPr="00133DF2" w:rsidRDefault="007423EF" w:rsidP="007423EF">
            <w:pPr>
              <w:tabs>
                <w:tab w:val="left" w:pos="567"/>
              </w:tabs>
              <w:spacing w:before="120" w:after="0" w:line="240" w:lineRule="auto"/>
              <w:jc w:val="center"/>
              <w:rPr>
                <w:b/>
                <w:sz w:val="20"/>
                <w:szCs w:val="20"/>
              </w:rPr>
            </w:pPr>
            <w:r w:rsidRPr="00133DF2">
              <w:rPr>
                <w:b/>
                <w:sz w:val="20"/>
                <w:szCs w:val="20"/>
              </w:rPr>
              <w:t>Propiedades</w:t>
            </w:r>
          </w:p>
        </w:tc>
        <w:tc>
          <w:tcPr>
            <w:tcW w:w="1553" w:type="dxa"/>
            <w:shd w:val="clear" w:color="auto" w:fill="auto"/>
          </w:tcPr>
          <w:p w14:paraId="1EEF6CFF" w14:textId="77777777" w:rsidR="007423EF" w:rsidRPr="00133DF2" w:rsidRDefault="007423EF" w:rsidP="007423EF">
            <w:pPr>
              <w:tabs>
                <w:tab w:val="left" w:pos="567"/>
              </w:tabs>
              <w:spacing w:before="120" w:after="0" w:line="240" w:lineRule="auto"/>
              <w:jc w:val="center"/>
              <w:rPr>
                <w:b/>
                <w:sz w:val="20"/>
                <w:szCs w:val="20"/>
              </w:rPr>
            </w:pPr>
            <w:r w:rsidRPr="00133DF2">
              <w:rPr>
                <w:b/>
                <w:sz w:val="20"/>
                <w:szCs w:val="20"/>
              </w:rPr>
              <w:t>Significado</w:t>
            </w:r>
          </w:p>
        </w:tc>
      </w:tr>
      <w:tr w:rsidR="007423EF" w:rsidRPr="00133DF2" w14:paraId="601EFB80" w14:textId="77777777" w:rsidTr="007423EF">
        <w:trPr>
          <w:trHeight w:val="3679"/>
        </w:trPr>
        <w:tc>
          <w:tcPr>
            <w:tcW w:w="7044" w:type="dxa"/>
          </w:tcPr>
          <w:p w14:paraId="2D1DAB89" w14:textId="77777777" w:rsidR="007423EF" w:rsidRPr="00133DF2" w:rsidRDefault="007423EF" w:rsidP="007423EF">
            <w:pPr>
              <w:pStyle w:val="Prrafodelista"/>
              <w:numPr>
                <w:ilvl w:val="0"/>
                <w:numId w:val="12"/>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Al girar perdemos de vista los objetos de enfrente.</w:t>
            </w:r>
          </w:p>
          <w:p w14:paraId="664A6BED" w14:textId="77777777" w:rsidR="007423EF" w:rsidRPr="00133DF2" w:rsidRDefault="007423EF" w:rsidP="007423EF">
            <w:pPr>
              <w:pStyle w:val="Prrafodelista"/>
              <w:numPr>
                <w:ilvl w:val="0"/>
                <w:numId w:val="12"/>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Si, al robot, no se le borran las órdenes dadas la última vez, se repiten.</w:t>
            </w:r>
          </w:p>
          <w:p w14:paraId="501B5609" w14:textId="77777777" w:rsidR="007423EF" w:rsidRPr="00133DF2" w:rsidRDefault="007423EF" w:rsidP="007423EF">
            <w:pPr>
              <w:pStyle w:val="Prrafodelista"/>
              <w:numPr>
                <w:ilvl w:val="0"/>
                <w:numId w:val="12"/>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Se debe pulsar cada tecla tantas veces como se desee ir hacia aquella dirección.</w:t>
            </w:r>
          </w:p>
          <w:p w14:paraId="43C08989" w14:textId="77777777" w:rsidR="007423EF" w:rsidRPr="00133DF2" w:rsidRDefault="007423EF" w:rsidP="007423EF">
            <w:pPr>
              <w:pStyle w:val="Prrafodelista"/>
              <w:numPr>
                <w:ilvl w:val="0"/>
                <w:numId w:val="12"/>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Pulsando la tecla (X) se borran las órdenes dadas al robot.</w:t>
            </w:r>
          </w:p>
          <w:p w14:paraId="4C6926AF" w14:textId="77777777" w:rsidR="007423EF" w:rsidRPr="00133DF2" w:rsidRDefault="007423EF" w:rsidP="007423EF">
            <w:pPr>
              <w:pStyle w:val="Prrafodelista"/>
              <w:numPr>
                <w:ilvl w:val="0"/>
                <w:numId w:val="12"/>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Al clicar el botón (</w:t>
            </w:r>
            <w:proofErr w:type="spellStart"/>
            <w:r w:rsidRPr="00133DF2">
              <w:rPr>
                <w:rFonts w:ascii="Century Gothic" w:hAnsi="Century Gothic"/>
                <w:sz w:val="20"/>
                <w:szCs w:val="20"/>
                <w:lang w:val="es-ES"/>
              </w:rPr>
              <w:t>Go</w:t>
            </w:r>
            <w:proofErr w:type="spellEnd"/>
            <w:r w:rsidRPr="00133DF2">
              <w:rPr>
                <w:rFonts w:ascii="Century Gothic" w:hAnsi="Century Gothic"/>
                <w:sz w:val="20"/>
                <w:szCs w:val="20"/>
                <w:lang w:val="es-ES"/>
              </w:rPr>
              <w:t>) se inicia la acción.</w:t>
            </w:r>
          </w:p>
          <w:p w14:paraId="78FDE036" w14:textId="77777777" w:rsidR="007423EF" w:rsidRPr="00133DF2" w:rsidRDefault="007423EF" w:rsidP="007423EF">
            <w:pPr>
              <w:pStyle w:val="Prrafodelista"/>
              <w:numPr>
                <w:ilvl w:val="0"/>
                <w:numId w:val="12"/>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Al pulsar la tecla</w:t>
            </w:r>
            <w:proofErr w:type="gramStart"/>
            <w:r w:rsidRPr="00133DF2">
              <w:rPr>
                <w:rFonts w:ascii="Century Gothic" w:hAnsi="Century Gothic"/>
                <w:sz w:val="20"/>
                <w:szCs w:val="20"/>
                <w:lang w:val="es-ES"/>
              </w:rPr>
              <w:t xml:space="preserve">   (</w:t>
            </w:r>
            <w:proofErr w:type="gramEnd"/>
            <w:r>
              <w:rPr>
                <w:rFonts w:ascii="Century Gothic" w:hAnsi="Century Gothic"/>
                <w:sz w:val="20"/>
                <w:szCs w:val="20"/>
                <w:lang w:val="es-ES"/>
              </w:rPr>
              <w:t xml:space="preserve"> II</w:t>
            </w:r>
            <w:r w:rsidRPr="00133DF2">
              <w:rPr>
                <w:rFonts w:ascii="Century Gothic" w:hAnsi="Century Gothic"/>
                <w:noProof/>
                <w:sz w:val="20"/>
                <w:szCs w:val="20"/>
                <w:lang w:val="es-ES" w:eastAsia="es-ES"/>
              </w:rPr>
              <w:t xml:space="preserve"> </w:t>
            </w:r>
            <w:r w:rsidRPr="00133DF2">
              <w:rPr>
                <w:rFonts w:ascii="Century Gothic" w:hAnsi="Century Gothic"/>
                <w:sz w:val="20"/>
                <w:szCs w:val="20"/>
                <w:lang w:val="es-ES"/>
              </w:rPr>
              <w:t>) el robot se detiene y entra en modo “pausa”.</w:t>
            </w:r>
          </w:p>
          <w:p w14:paraId="3E8F7340" w14:textId="77777777" w:rsidR="007423EF" w:rsidRPr="00133DF2" w:rsidRDefault="007423EF" w:rsidP="007423EF">
            <w:pPr>
              <w:pStyle w:val="Prrafodelista"/>
              <w:numPr>
                <w:ilvl w:val="0"/>
                <w:numId w:val="12"/>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Al clicar el botón (</w:t>
            </w:r>
            <w:r w:rsidRPr="00133DF2">
              <w:rPr>
                <w:rFonts w:ascii="Century Gothic" w:hAnsi="Century Gothic"/>
                <w:sz w:val="20"/>
                <w:szCs w:val="20"/>
                <w:lang w:val="es-ES"/>
              </w:rPr>
              <w:sym w:font="Wingdings" w:char="F0E0"/>
            </w:r>
            <w:r w:rsidRPr="00133DF2">
              <w:rPr>
                <w:rFonts w:ascii="Century Gothic" w:hAnsi="Century Gothic"/>
                <w:sz w:val="20"/>
                <w:szCs w:val="20"/>
                <w:lang w:val="es-ES"/>
              </w:rPr>
              <w:t>) el robot gira hacia la derecha.</w:t>
            </w:r>
          </w:p>
          <w:p w14:paraId="20452D00" w14:textId="77777777" w:rsidR="007423EF" w:rsidRPr="00133DF2" w:rsidRDefault="007423EF" w:rsidP="007423EF">
            <w:pPr>
              <w:pStyle w:val="Prrafodelista"/>
              <w:numPr>
                <w:ilvl w:val="0"/>
                <w:numId w:val="12"/>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Al pulsar la tecla (</w:t>
            </w:r>
            <w:r w:rsidRPr="00133DF2">
              <w:rPr>
                <w:rFonts w:ascii="Century Gothic" w:hAnsi="Century Gothic"/>
                <w:sz w:val="20"/>
                <w:szCs w:val="20"/>
                <w:lang w:val="es-ES"/>
              </w:rPr>
              <w:sym w:font="Wingdings" w:char="F0DF"/>
            </w:r>
            <w:r w:rsidRPr="00133DF2">
              <w:rPr>
                <w:rFonts w:ascii="Century Gothic" w:hAnsi="Century Gothic"/>
                <w:sz w:val="20"/>
                <w:szCs w:val="20"/>
                <w:lang w:val="es-ES"/>
              </w:rPr>
              <w:t>) la Blue-</w:t>
            </w:r>
            <w:proofErr w:type="spellStart"/>
            <w:r w:rsidRPr="00133DF2">
              <w:rPr>
                <w:rFonts w:ascii="Century Gothic" w:hAnsi="Century Gothic"/>
                <w:sz w:val="20"/>
                <w:szCs w:val="20"/>
                <w:lang w:val="es-ES"/>
              </w:rPr>
              <w:t>Bot</w:t>
            </w:r>
            <w:proofErr w:type="spellEnd"/>
            <w:r w:rsidRPr="00133DF2">
              <w:rPr>
                <w:rFonts w:ascii="Century Gothic" w:hAnsi="Century Gothic"/>
                <w:sz w:val="20"/>
                <w:szCs w:val="20"/>
                <w:lang w:val="es-ES"/>
              </w:rPr>
              <w:t xml:space="preserve"> gira hacia la izquierda.</w:t>
            </w:r>
          </w:p>
          <w:p w14:paraId="18DC2F2C" w14:textId="77777777" w:rsidR="007423EF" w:rsidRPr="00133DF2" w:rsidRDefault="007423EF" w:rsidP="007423EF">
            <w:pPr>
              <w:pStyle w:val="Prrafodelista"/>
              <w:numPr>
                <w:ilvl w:val="0"/>
                <w:numId w:val="12"/>
              </w:numPr>
              <w:tabs>
                <w:tab w:val="left" w:pos="567"/>
              </w:tabs>
              <w:spacing w:before="120" w:after="0" w:line="240" w:lineRule="auto"/>
              <w:ind w:left="0" w:firstLine="0"/>
              <w:jc w:val="center"/>
              <w:rPr>
                <w:rFonts w:ascii="Century Gothic" w:hAnsi="Century Gothic"/>
                <w:sz w:val="20"/>
                <w:szCs w:val="20"/>
                <w:lang w:val="es-ES"/>
              </w:rPr>
            </w:pPr>
            <w:r w:rsidRPr="00133DF2">
              <w:rPr>
                <w:rFonts w:ascii="Century Gothic" w:hAnsi="Century Gothic"/>
                <w:sz w:val="20"/>
                <w:szCs w:val="20"/>
                <w:lang w:val="es-ES"/>
              </w:rPr>
              <w:t xml:space="preserve">Pulsando la tecla </w:t>
            </w:r>
            <w:proofErr w:type="gramStart"/>
            <w:r w:rsidRPr="00133DF2">
              <w:rPr>
                <w:rFonts w:ascii="Century Gothic" w:hAnsi="Century Gothic"/>
                <w:sz w:val="20"/>
                <w:szCs w:val="20"/>
                <w:lang w:val="es-ES"/>
              </w:rPr>
              <w:t>(</w:t>
            </w:r>
            <w:r>
              <w:rPr>
                <w:rFonts w:ascii="Century Gothic" w:hAnsi="Century Gothic"/>
                <w:sz w:val="20"/>
                <w:szCs w:val="20"/>
                <w:lang w:val="es-ES"/>
              </w:rPr>
              <w:t xml:space="preserve"> ↑</w:t>
            </w:r>
            <w:proofErr w:type="gramEnd"/>
            <w:r>
              <w:rPr>
                <w:rFonts w:ascii="Century Gothic" w:hAnsi="Century Gothic"/>
                <w:sz w:val="20"/>
                <w:szCs w:val="20"/>
                <w:lang w:val="es-ES"/>
              </w:rPr>
              <w:t xml:space="preserve"> </w:t>
            </w:r>
            <w:r w:rsidRPr="00133DF2">
              <w:rPr>
                <w:rFonts w:ascii="Century Gothic" w:hAnsi="Century Gothic"/>
                <w:sz w:val="20"/>
                <w:szCs w:val="20"/>
                <w:lang w:val="es-ES"/>
              </w:rPr>
              <w:t xml:space="preserve"> ) el robot avanza hacia adelante.</w:t>
            </w:r>
          </w:p>
          <w:p w14:paraId="520A5A1D" w14:textId="77777777" w:rsidR="007423EF" w:rsidRPr="00133DF2" w:rsidRDefault="007423EF" w:rsidP="007423EF">
            <w:pPr>
              <w:tabs>
                <w:tab w:val="left" w:pos="284"/>
              </w:tabs>
              <w:spacing w:before="120" w:after="0" w:line="240" w:lineRule="auto"/>
              <w:jc w:val="center"/>
              <w:rPr>
                <w:sz w:val="20"/>
                <w:szCs w:val="20"/>
              </w:rPr>
            </w:pPr>
            <w:r w:rsidRPr="00133DF2">
              <w:rPr>
                <w:sz w:val="20"/>
                <w:szCs w:val="20"/>
              </w:rPr>
              <w:t xml:space="preserve">10. Al clicar el botón ( </w:t>
            </w:r>
            <w:r>
              <w:rPr>
                <w:sz w:val="20"/>
                <w:szCs w:val="20"/>
              </w:rPr>
              <w:t>↓</w:t>
            </w:r>
            <w:r w:rsidRPr="00133DF2">
              <w:rPr>
                <w:sz w:val="20"/>
                <w:szCs w:val="20"/>
              </w:rPr>
              <w:t xml:space="preserve"> ) la Blue-</w:t>
            </w:r>
            <w:proofErr w:type="spellStart"/>
            <w:r w:rsidRPr="00133DF2">
              <w:rPr>
                <w:sz w:val="20"/>
                <w:szCs w:val="20"/>
              </w:rPr>
              <w:t>Bot</w:t>
            </w:r>
            <w:proofErr w:type="spellEnd"/>
            <w:r w:rsidRPr="00133DF2">
              <w:rPr>
                <w:sz w:val="20"/>
                <w:szCs w:val="20"/>
              </w:rPr>
              <w:t xml:space="preserve"> se desplaza hacia atrás.</w:t>
            </w:r>
          </w:p>
        </w:tc>
        <w:tc>
          <w:tcPr>
            <w:tcW w:w="1553" w:type="dxa"/>
          </w:tcPr>
          <w:p w14:paraId="722FEE0A" w14:textId="77777777" w:rsidR="007423EF" w:rsidRPr="00133DF2" w:rsidRDefault="007423EF" w:rsidP="007423EF">
            <w:pPr>
              <w:tabs>
                <w:tab w:val="left" w:pos="567"/>
              </w:tabs>
              <w:spacing w:before="120" w:after="0" w:line="240" w:lineRule="auto"/>
              <w:jc w:val="center"/>
              <w:rPr>
                <w:sz w:val="20"/>
                <w:szCs w:val="20"/>
              </w:rPr>
            </w:pPr>
            <w:r w:rsidRPr="00133DF2">
              <w:rPr>
                <w:sz w:val="20"/>
                <w:szCs w:val="20"/>
              </w:rPr>
              <w:t>1. Hecho que pueden constatar los estudiantes para entender el giro.</w:t>
            </w:r>
          </w:p>
          <w:p w14:paraId="33CBD7DD" w14:textId="77777777" w:rsidR="007423EF" w:rsidRPr="00133DF2" w:rsidRDefault="007423EF" w:rsidP="007423EF">
            <w:pPr>
              <w:tabs>
                <w:tab w:val="left" w:pos="567"/>
              </w:tabs>
              <w:spacing w:before="120" w:after="0" w:line="240" w:lineRule="auto"/>
              <w:jc w:val="center"/>
              <w:rPr>
                <w:sz w:val="20"/>
                <w:szCs w:val="20"/>
              </w:rPr>
            </w:pPr>
            <w:r w:rsidRPr="00133DF2">
              <w:rPr>
                <w:sz w:val="20"/>
                <w:szCs w:val="20"/>
              </w:rPr>
              <w:t>2.-10. El resto de puntos se trata de las reglas de uso de las Blue-</w:t>
            </w:r>
            <w:proofErr w:type="spellStart"/>
            <w:r w:rsidRPr="00133DF2">
              <w:rPr>
                <w:sz w:val="20"/>
                <w:szCs w:val="20"/>
              </w:rPr>
              <w:t>Bots</w:t>
            </w:r>
            <w:proofErr w:type="spellEnd"/>
            <w:r w:rsidRPr="00133DF2">
              <w:rPr>
                <w:sz w:val="20"/>
                <w:szCs w:val="20"/>
              </w:rPr>
              <w:t>.</w:t>
            </w:r>
          </w:p>
          <w:p w14:paraId="2E251839" w14:textId="77777777" w:rsidR="007423EF" w:rsidRPr="00133DF2" w:rsidRDefault="007423EF" w:rsidP="007423EF">
            <w:pPr>
              <w:tabs>
                <w:tab w:val="left" w:pos="567"/>
              </w:tabs>
              <w:spacing w:before="120" w:after="0" w:line="240" w:lineRule="auto"/>
              <w:jc w:val="center"/>
              <w:rPr>
                <w:sz w:val="20"/>
                <w:szCs w:val="20"/>
              </w:rPr>
            </w:pPr>
          </w:p>
        </w:tc>
      </w:tr>
    </w:tbl>
    <w:p w14:paraId="6BBF2814" w14:textId="77777777" w:rsidR="007423EF" w:rsidRDefault="007423EF" w:rsidP="00C053D5">
      <w:pPr>
        <w:spacing w:after="0" w:line="360" w:lineRule="auto"/>
        <w:jc w:val="center"/>
        <w:rPr>
          <w:szCs w:val="18"/>
        </w:rPr>
      </w:pPr>
    </w:p>
    <w:p w14:paraId="325C98F2" w14:textId="48AB3939" w:rsidR="00966203" w:rsidRPr="00966203" w:rsidRDefault="00966203" w:rsidP="00C053D5">
      <w:pPr>
        <w:spacing w:after="0" w:line="360" w:lineRule="auto"/>
        <w:jc w:val="center"/>
        <w:rPr>
          <w:szCs w:val="18"/>
        </w:rPr>
      </w:pPr>
      <w:r w:rsidRPr="00966203">
        <w:rPr>
          <w:szCs w:val="18"/>
        </w:rPr>
        <w:lastRenderedPageBreak/>
        <w:t>Tabla 6. Análisis epistémico: argumentos. Fuente: Elaboración propia.</w:t>
      </w:r>
    </w:p>
    <w:tbl>
      <w:tblPr>
        <w:tblpPr w:leftFromText="141" w:rightFromText="141" w:vertAnchor="text" w:horzAnchor="margin" w:tblpY="143"/>
        <w:tblW w:w="0" w:type="auto"/>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8720"/>
      </w:tblGrid>
      <w:tr w:rsidR="00966203" w:rsidRPr="00DC5A98" w14:paraId="56828712" w14:textId="77777777" w:rsidTr="00B048C5">
        <w:tc>
          <w:tcPr>
            <w:tcW w:w="8720" w:type="dxa"/>
            <w:shd w:val="clear" w:color="auto" w:fill="auto"/>
          </w:tcPr>
          <w:p w14:paraId="6005B877" w14:textId="77777777" w:rsidR="00966203" w:rsidRPr="00094611" w:rsidRDefault="00966203" w:rsidP="00C053D5">
            <w:pPr>
              <w:tabs>
                <w:tab w:val="left" w:pos="567"/>
              </w:tabs>
              <w:spacing w:after="0" w:line="240" w:lineRule="auto"/>
              <w:jc w:val="center"/>
              <w:rPr>
                <w:b/>
                <w:sz w:val="20"/>
                <w:szCs w:val="20"/>
              </w:rPr>
            </w:pPr>
            <w:r w:rsidRPr="00094611">
              <w:rPr>
                <w:b/>
                <w:sz w:val="20"/>
                <w:szCs w:val="20"/>
              </w:rPr>
              <w:t>Argumentos / Significado</w:t>
            </w:r>
          </w:p>
        </w:tc>
      </w:tr>
      <w:tr w:rsidR="00966203" w:rsidRPr="00DC5A98" w14:paraId="4076E402" w14:textId="77777777" w:rsidTr="00B048C5">
        <w:tc>
          <w:tcPr>
            <w:tcW w:w="8720" w:type="dxa"/>
          </w:tcPr>
          <w:p w14:paraId="68848F35" w14:textId="77777777" w:rsidR="00966203" w:rsidRPr="00094611" w:rsidRDefault="00966203" w:rsidP="00C053D5">
            <w:pPr>
              <w:pStyle w:val="Prrafodelista"/>
              <w:tabs>
                <w:tab w:val="left" w:pos="284"/>
              </w:tabs>
              <w:spacing w:line="240" w:lineRule="auto"/>
              <w:ind w:left="0"/>
              <w:jc w:val="center"/>
              <w:rPr>
                <w:rFonts w:ascii="Century Gothic" w:hAnsi="Century Gothic"/>
                <w:sz w:val="20"/>
                <w:szCs w:val="20"/>
                <w:lang w:val="es-ES"/>
              </w:rPr>
            </w:pPr>
            <w:r w:rsidRPr="00094611">
              <w:rPr>
                <w:rFonts w:ascii="Century Gothic" w:hAnsi="Century Gothic"/>
                <w:sz w:val="20"/>
                <w:szCs w:val="20"/>
                <w:lang w:val="es-ES"/>
              </w:rPr>
              <w:t>Se espera que justifiquen sus errores y los de los demás utilizando nociones matemáticas.</w:t>
            </w:r>
          </w:p>
        </w:tc>
      </w:tr>
    </w:tbl>
    <w:p w14:paraId="47816DB2" w14:textId="22115076" w:rsidR="00D67204" w:rsidRDefault="008F014D" w:rsidP="00C053D5">
      <w:pPr>
        <w:spacing w:line="360" w:lineRule="auto"/>
        <w:jc w:val="both"/>
        <w:rPr>
          <w:sz w:val="22"/>
        </w:rPr>
      </w:pPr>
      <w:r>
        <w:rPr>
          <w:sz w:val="22"/>
        </w:rPr>
        <w:t>Respecto a las situaciones-problema</w:t>
      </w:r>
      <w:r w:rsidR="00504B3F">
        <w:rPr>
          <w:sz w:val="22"/>
        </w:rPr>
        <w:t xml:space="preserve"> se ha tenido en cuenta la clasificación de tareas para el desarrollo de habilidades de visualización y orientación espacial propuesta por </w:t>
      </w:r>
      <w:proofErr w:type="spellStart"/>
      <w:r w:rsidR="00504B3F">
        <w:rPr>
          <w:sz w:val="22"/>
        </w:rPr>
        <w:t>Gonzato</w:t>
      </w:r>
      <w:proofErr w:type="spellEnd"/>
      <w:r w:rsidR="000013B7">
        <w:rPr>
          <w:sz w:val="22"/>
        </w:rPr>
        <w:t xml:space="preserve">, Fernández y </w:t>
      </w:r>
      <w:proofErr w:type="spellStart"/>
      <w:r w:rsidR="000013B7">
        <w:rPr>
          <w:sz w:val="22"/>
        </w:rPr>
        <w:t>Godino</w:t>
      </w:r>
      <w:proofErr w:type="spellEnd"/>
      <w:r w:rsidR="000013B7">
        <w:rPr>
          <w:sz w:val="22"/>
        </w:rPr>
        <w:t xml:space="preserve"> </w:t>
      </w:r>
      <w:r w:rsidR="00504B3F">
        <w:rPr>
          <w:sz w:val="22"/>
        </w:rPr>
        <w:t xml:space="preserve">(2011). En nuestro caso, son tareas del tercer tipo, es decir, de orientación del sujeto en espacios reales. La </w:t>
      </w:r>
      <w:r w:rsidR="00D67204">
        <w:rPr>
          <w:sz w:val="22"/>
        </w:rPr>
        <w:t xml:space="preserve">Tabla </w:t>
      </w:r>
      <w:r w:rsidR="00BC1D76">
        <w:rPr>
          <w:sz w:val="22"/>
        </w:rPr>
        <w:t>7</w:t>
      </w:r>
      <w:r w:rsidR="00504B3F">
        <w:rPr>
          <w:sz w:val="22"/>
        </w:rPr>
        <w:t>, basada en dicha clasificación, muestra, categoriza y describe las tareas diseñadas para esta experiencia innovadora.</w:t>
      </w:r>
    </w:p>
    <w:p w14:paraId="4B5A28A5" w14:textId="12C364B3" w:rsidR="00D67204" w:rsidRPr="00D67204" w:rsidRDefault="00D67204" w:rsidP="00C053D5">
      <w:pPr>
        <w:spacing w:line="360" w:lineRule="auto"/>
        <w:jc w:val="center"/>
        <w:rPr>
          <w:szCs w:val="18"/>
        </w:rPr>
      </w:pPr>
      <w:r w:rsidRPr="00D67204">
        <w:rPr>
          <w:szCs w:val="18"/>
        </w:rPr>
        <w:t xml:space="preserve">Tabla </w:t>
      </w:r>
      <w:r w:rsidR="00BC1D76">
        <w:rPr>
          <w:szCs w:val="18"/>
        </w:rPr>
        <w:t>7</w:t>
      </w:r>
      <w:r w:rsidRPr="00D67204">
        <w:rPr>
          <w:szCs w:val="18"/>
        </w:rPr>
        <w:t>. Categorización de las tareas de la propuesta innovadora</w:t>
      </w:r>
      <w:r w:rsidR="00B12F00">
        <w:rPr>
          <w:szCs w:val="18"/>
        </w:rPr>
        <w:t>.</w:t>
      </w:r>
      <w:r w:rsidR="00B3509D">
        <w:rPr>
          <w:szCs w:val="18"/>
        </w:rPr>
        <w:t xml:space="preserve"> Fuente: Elaboración propia a partir de las aportaciones de </w:t>
      </w:r>
      <w:proofErr w:type="spellStart"/>
      <w:r w:rsidR="00B3509D">
        <w:rPr>
          <w:szCs w:val="18"/>
        </w:rPr>
        <w:t>Gonzato</w:t>
      </w:r>
      <w:proofErr w:type="spellEnd"/>
      <w:r w:rsidR="00B3509D">
        <w:rPr>
          <w:szCs w:val="18"/>
        </w:rPr>
        <w:t xml:space="preserve"> et al. (2011)</w:t>
      </w:r>
      <w:r w:rsidR="00B12F00">
        <w:rPr>
          <w:szCs w:val="18"/>
        </w:rPr>
        <w:t>.</w:t>
      </w:r>
    </w:p>
    <w:tbl>
      <w:tblPr>
        <w:tblW w:w="0" w:type="auto"/>
        <w:jc w:val="center"/>
        <w:tblBorders>
          <w:top w:val="single" w:sz="4" w:space="0" w:color="auto"/>
          <w:bottom w:val="single" w:sz="4" w:space="0" w:color="auto"/>
        </w:tblBorders>
        <w:tblLook w:val="00A0" w:firstRow="1" w:lastRow="0" w:firstColumn="1" w:lastColumn="0" w:noHBand="0" w:noVBand="0"/>
      </w:tblPr>
      <w:tblGrid>
        <w:gridCol w:w="2953"/>
        <w:gridCol w:w="2791"/>
        <w:gridCol w:w="2760"/>
      </w:tblGrid>
      <w:tr w:rsidR="00111A3E" w:rsidRPr="00DC5A98" w14:paraId="58DB9108" w14:textId="77777777" w:rsidTr="00D7776C">
        <w:trPr>
          <w:jc w:val="center"/>
        </w:trPr>
        <w:tc>
          <w:tcPr>
            <w:tcW w:w="2953" w:type="dxa"/>
            <w:tcBorders>
              <w:top w:val="single" w:sz="4" w:space="0" w:color="auto"/>
              <w:bottom w:val="single" w:sz="4" w:space="0" w:color="auto"/>
            </w:tcBorders>
          </w:tcPr>
          <w:p w14:paraId="5CD619C2" w14:textId="77777777" w:rsidR="00111A3E" w:rsidRPr="00270B0F" w:rsidRDefault="00111A3E" w:rsidP="00C053D5">
            <w:pPr>
              <w:spacing w:before="120" w:after="0" w:line="360" w:lineRule="auto"/>
              <w:jc w:val="center"/>
              <w:rPr>
                <w:b/>
                <w:sz w:val="20"/>
              </w:rPr>
            </w:pPr>
            <w:r w:rsidRPr="00270B0F">
              <w:rPr>
                <w:b/>
                <w:sz w:val="20"/>
              </w:rPr>
              <w:t>Estímulo inicial</w:t>
            </w:r>
          </w:p>
        </w:tc>
        <w:tc>
          <w:tcPr>
            <w:tcW w:w="2791" w:type="dxa"/>
            <w:tcBorders>
              <w:top w:val="single" w:sz="4" w:space="0" w:color="auto"/>
              <w:bottom w:val="single" w:sz="4" w:space="0" w:color="auto"/>
            </w:tcBorders>
          </w:tcPr>
          <w:p w14:paraId="1CA6FCD3" w14:textId="77777777" w:rsidR="00111A3E" w:rsidRPr="00270B0F" w:rsidRDefault="00111A3E" w:rsidP="00C053D5">
            <w:pPr>
              <w:spacing w:before="120" w:after="0" w:line="360" w:lineRule="auto"/>
              <w:jc w:val="center"/>
              <w:rPr>
                <w:b/>
                <w:sz w:val="20"/>
              </w:rPr>
            </w:pPr>
            <w:r w:rsidRPr="00270B0F">
              <w:rPr>
                <w:b/>
                <w:sz w:val="20"/>
              </w:rPr>
              <w:t>Acción inicial</w:t>
            </w:r>
          </w:p>
        </w:tc>
        <w:tc>
          <w:tcPr>
            <w:tcW w:w="2760" w:type="dxa"/>
            <w:tcBorders>
              <w:top w:val="single" w:sz="4" w:space="0" w:color="auto"/>
              <w:bottom w:val="single" w:sz="4" w:space="0" w:color="auto"/>
            </w:tcBorders>
          </w:tcPr>
          <w:p w14:paraId="4D3DD9DB" w14:textId="77777777" w:rsidR="00111A3E" w:rsidRPr="00270B0F" w:rsidRDefault="00111A3E" w:rsidP="00C053D5">
            <w:pPr>
              <w:spacing w:before="120" w:after="0" w:line="360" w:lineRule="auto"/>
              <w:jc w:val="center"/>
              <w:rPr>
                <w:b/>
                <w:sz w:val="20"/>
              </w:rPr>
            </w:pPr>
            <w:r w:rsidRPr="00270B0F">
              <w:rPr>
                <w:b/>
                <w:sz w:val="20"/>
              </w:rPr>
              <w:t>Tipo de respuesta</w:t>
            </w:r>
          </w:p>
        </w:tc>
      </w:tr>
      <w:tr w:rsidR="00111A3E" w:rsidRPr="00DC5A98" w14:paraId="35252A8E" w14:textId="77777777" w:rsidTr="00D7776C">
        <w:trPr>
          <w:jc w:val="center"/>
        </w:trPr>
        <w:tc>
          <w:tcPr>
            <w:tcW w:w="2953" w:type="dxa"/>
            <w:tcBorders>
              <w:top w:val="single" w:sz="4" w:space="0" w:color="auto"/>
              <w:bottom w:val="nil"/>
            </w:tcBorders>
          </w:tcPr>
          <w:p w14:paraId="7A57BE03" w14:textId="77777777" w:rsidR="00111A3E" w:rsidRPr="004D2052" w:rsidRDefault="00111A3E" w:rsidP="00C053D5">
            <w:pPr>
              <w:pStyle w:val="Prrafodelista"/>
              <w:spacing w:before="120" w:line="240" w:lineRule="auto"/>
              <w:ind w:left="0"/>
              <w:jc w:val="center"/>
              <w:rPr>
                <w:rFonts w:ascii="Century Gothic" w:hAnsi="Century Gothic"/>
                <w:sz w:val="20"/>
                <w:szCs w:val="20"/>
                <w:lang w:val="es-ES"/>
              </w:rPr>
            </w:pPr>
          </w:p>
          <w:p w14:paraId="13217EB1" w14:textId="77777777" w:rsidR="00111A3E" w:rsidRPr="004D2052" w:rsidRDefault="00111A3E" w:rsidP="00C053D5">
            <w:pPr>
              <w:pStyle w:val="Prrafodelista"/>
              <w:numPr>
                <w:ilvl w:val="0"/>
                <w:numId w:val="13"/>
              </w:numPr>
              <w:spacing w:before="120" w:after="0" w:line="240" w:lineRule="auto"/>
              <w:ind w:left="0" w:firstLine="0"/>
              <w:jc w:val="center"/>
              <w:rPr>
                <w:rFonts w:ascii="Century Gothic" w:hAnsi="Century Gothic"/>
                <w:sz w:val="20"/>
                <w:szCs w:val="20"/>
                <w:lang w:val="es-ES"/>
              </w:rPr>
            </w:pPr>
            <w:r w:rsidRPr="004D2052">
              <w:rPr>
                <w:rFonts w:ascii="Century Gothic" w:hAnsi="Century Gothic"/>
                <w:sz w:val="20"/>
                <w:szCs w:val="20"/>
                <w:lang w:val="es-ES"/>
              </w:rPr>
              <w:t>Espacio real</w:t>
            </w:r>
          </w:p>
        </w:tc>
        <w:tc>
          <w:tcPr>
            <w:tcW w:w="2791" w:type="dxa"/>
            <w:tcBorders>
              <w:top w:val="single" w:sz="4" w:space="0" w:color="auto"/>
            </w:tcBorders>
          </w:tcPr>
          <w:p w14:paraId="0705FAAF" w14:textId="77777777" w:rsidR="00111A3E" w:rsidRPr="00270B0F" w:rsidRDefault="00111A3E" w:rsidP="00C053D5">
            <w:pPr>
              <w:spacing w:before="120" w:after="0" w:line="240" w:lineRule="auto"/>
              <w:jc w:val="center"/>
              <w:rPr>
                <w:sz w:val="20"/>
                <w:szCs w:val="20"/>
              </w:rPr>
            </w:pPr>
            <w:r w:rsidRPr="00270B0F">
              <w:rPr>
                <w:sz w:val="20"/>
                <w:szCs w:val="20"/>
              </w:rPr>
              <w:t xml:space="preserve">Explorar el espacio: ir de excursión a la </w:t>
            </w:r>
            <w:proofErr w:type="spellStart"/>
            <w:r w:rsidRPr="00270B0F">
              <w:rPr>
                <w:sz w:val="20"/>
                <w:szCs w:val="20"/>
              </w:rPr>
              <w:t>Mitjana</w:t>
            </w:r>
            <w:proofErr w:type="spellEnd"/>
            <w:r w:rsidRPr="00270B0F">
              <w:rPr>
                <w:sz w:val="20"/>
                <w:szCs w:val="20"/>
              </w:rPr>
              <w:t xml:space="preserve"> </w:t>
            </w:r>
            <w:r w:rsidR="003D3B0F" w:rsidRPr="00270B0F">
              <w:rPr>
                <w:sz w:val="20"/>
                <w:szCs w:val="20"/>
              </w:rPr>
              <w:t>(parque natural)</w:t>
            </w:r>
            <w:r w:rsidRPr="00270B0F">
              <w:rPr>
                <w:sz w:val="20"/>
                <w:szCs w:val="20"/>
              </w:rPr>
              <w:t>caminando.</w:t>
            </w:r>
          </w:p>
        </w:tc>
        <w:tc>
          <w:tcPr>
            <w:tcW w:w="2760" w:type="dxa"/>
            <w:tcBorders>
              <w:top w:val="single" w:sz="4" w:space="0" w:color="auto"/>
            </w:tcBorders>
          </w:tcPr>
          <w:p w14:paraId="25082311" w14:textId="77777777" w:rsidR="00111A3E" w:rsidRPr="00270B0F" w:rsidRDefault="00111A3E" w:rsidP="00C053D5">
            <w:pPr>
              <w:spacing w:before="120" w:after="0" w:line="240" w:lineRule="auto"/>
              <w:jc w:val="center"/>
              <w:rPr>
                <w:sz w:val="20"/>
                <w:szCs w:val="20"/>
              </w:rPr>
            </w:pPr>
            <w:r w:rsidRPr="00270B0F">
              <w:rPr>
                <w:sz w:val="20"/>
                <w:szCs w:val="20"/>
              </w:rPr>
              <w:t>De descripción: en el aula se pregunta a los niños por dónde han pasado, es decir, deben explicar el recorrido.</w:t>
            </w:r>
          </w:p>
          <w:p w14:paraId="1710A28C" w14:textId="77777777" w:rsidR="00410AAF" w:rsidRPr="00270B0F" w:rsidRDefault="00410AAF" w:rsidP="00C053D5">
            <w:pPr>
              <w:spacing w:before="120" w:after="0" w:line="240" w:lineRule="auto"/>
              <w:jc w:val="center"/>
              <w:rPr>
                <w:sz w:val="20"/>
                <w:szCs w:val="20"/>
              </w:rPr>
            </w:pPr>
          </w:p>
          <w:p w14:paraId="0B6ECFC3" w14:textId="2BDEA299" w:rsidR="00D7776C" w:rsidRPr="00270B0F" w:rsidRDefault="00D7776C" w:rsidP="00C053D5">
            <w:pPr>
              <w:spacing w:before="120" w:after="0" w:line="240" w:lineRule="auto"/>
              <w:jc w:val="center"/>
              <w:rPr>
                <w:sz w:val="20"/>
                <w:szCs w:val="20"/>
              </w:rPr>
            </w:pPr>
          </w:p>
        </w:tc>
      </w:tr>
      <w:tr w:rsidR="00111A3E" w:rsidRPr="00DC5A98" w14:paraId="78748E44" w14:textId="77777777" w:rsidTr="00D7776C">
        <w:trPr>
          <w:trHeight w:val="2637"/>
          <w:jc w:val="center"/>
        </w:trPr>
        <w:tc>
          <w:tcPr>
            <w:tcW w:w="2953" w:type="dxa"/>
            <w:tcBorders>
              <w:top w:val="nil"/>
              <w:bottom w:val="nil"/>
            </w:tcBorders>
          </w:tcPr>
          <w:p w14:paraId="6DDE64B2" w14:textId="77777777" w:rsidR="00111A3E" w:rsidRPr="004D2052" w:rsidRDefault="00111A3E" w:rsidP="00C053D5">
            <w:pPr>
              <w:pStyle w:val="Prrafodelista"/>
              <w:numPr>
                <w:ilvl w:val="0"/>
                <w:numId w:val="13"/>
              </w:numPr>
              <w:spacing w:before="120" w:after="0" w:line="240" w:lineRule="auto"/>
              <w:ind w:left="0" w:firstLine="0"/>
              <w:jc w:val="center"/>
              <w:rPr>
                <w:rFonts w:ascii="Century Gothic" w:hAnsi="Century Gothic"/>
                <w:sz w:val="20"/>
                <w:szCs w:val="20"/>
                <w:lang w:val="es-ES"/>
              </w:rPr>
            </w:pPr>
            <w:r w:rsidRPr="004D2052">
              <w:rPr>
                <w:rFonts w:ascii="Century Gothic" w:hAnsi="Century Gothic"/>
                <w:sz w:val="20"/>
                <w:szCs w:val="20"/>
                <w:lang w:val="es-ES"/>
              </w:rPr>
              <w:t>Representación espacial</w:t>
            </w:r>
          </w:p>
          <w:p w14:paraId="07C9FC13" w14:textId="721B26C1" w:rsidR="00111A3E" w:rsidRPr="004D2052" w:rsidRDefault="00111A3E" w:rsidP="00C053D5">
            <w:pPr>
              <w:pStyle w:val="Prrafodelista"/>
              <w:spacing w:before="120" w:after="0" w:line="240" w:lineRule="auto"/>
              <w:ind w:left="0"/>
              <w:jc w:val="center"/>
              <w:rPr>
                <w:rFonts w:ascii="Century Gothic" w:hAnsi="Century Gothic"/>
                <w:sz w:val="20"/>
                <w:szCs w:val="20"/>
                <w:lang w:val="es-ES"/>
              </w:rPr>
            </w:pPr>
          </w:p>
        </w:tc>
        <w:tc>
          <w:tcPr>
            <w:tcW w:w="2791" w:type="dxa"/>
          </w:tcPr>
          <w:p w14:paraId="6AD81EAB" w14:textId="77777777" w:rsidR="00111A3E" w:rsidRPr="00270B0F" w:rsidRDefault="00111A3E" w:rsidP="00C053D5">
            <w:pPr>
              <w:spacing w:before="120" w:after="0" w:line="240" w:lineRule="auto"/>
              <w:jc w:val="center"/>
              <w:rPr>
                <w:sz w:val="20"/>
                <w:szCs w:val="20"/>
              </w:rPr>
            </w:pPr>
            <w:r w:rsidRPr="00270B0F">
              <w:rPr>
                <w:sz w:val="20"/>
                <w:szCs w:val="20"/>
              </w:rPr>
              <w:t>Interpretación información gráfica: interpretar los comandos de la Blue-</w:t>
            </w:r>
            <w:proofErr w:type="spellStart"/>
            <w:r w:rsidRPr="00270B0F">
              <w:rPr>
                <w:sz w:val="20"/>
                <w:szCs w:val="20"/>
              </w:rPr>
              <w:t>Bot</w:t>
            </w:r>
            <w:proofErr w:type="spellEnd"/>
            <w:r w:rsidRPr="00270B0F">
              <w:rPr>
                <w:sz w:val="20"/>
                <w:szCs w:val="20"/>
              </w:rPr>
              <w:t>.</w:t>
            </w:r>
          </w:p>
        </w:tc>
        <w:tc>
          <w:tcPr>
            <w:tcW w:w="2760" w:type="dxa"/>
          </w:tcPr>
          <w:p w14:paraId="54F2A001" w14:textId="43C3C010" w:rsidR="00410AAF" w:rsidRPr="00270B0F" w:rsidRDefault="00111A3E" w:rsidP="00C053D5">
            <w:pPr>
              <w:spacing w:before="120" w:after="0" w:line="240" w:lineRule="auto"/>
              <w:jc w:val="center"/>
              <w:rPr>
                <w:sz w:val="20"/>
                <w:szCs w:val="20"/>
              </w:rPr>
            </w:pPr>
            <w:r w:rsidRPr="00270B0F">
              <w:rPr>
                <w:sz w:val="20"/>
                <w:szCs w:val="20"/>
              </w:rPr>
              <w:t>De descripción: antes de ejecutar las órdenes de la Blue-</w:t>
            </w:r>
            <w:proofErr w:type="spellStart"/>
            <w:r w:rsidRPr="00270B0F">
              <w:rPr>
                <w:sz w:val="20"/>
                <w:szCs w:val="20"/>
              </w:rPr>
              <w:t>Bot</w:t>
            </w:r>
            <w:proofErr w:type="spellEnd"/>
            <w:r w:rsidRPr="00270B0F">
              <w:rPr>
                <w:sz w:val="20"/>
                <w:szCs w:val="20"/>
              </w:rPr>
              <w:t xml:space="preserve"> se pide a los niños que expliquen qué órdenes darán.</w:t>
            </w:r>
          </w:p>
          <w:p w14:paraId="07F90D01" w14:textId="059A5BB4" w:rsidR="00410AAF" w:rsidRPr="00270B0F" w:rsidRDefault="00D7776C" w:rsidP="00C053D5">
            <w:pPr>
              <w:spacing w:before="120" w:after="0" w:line="240" w:lineRule="auto"/>
              <w:jc w:val="center"/>
              <w:rPr>
                <w:sz w:val="20"/>
                <w:szCs w:val="20"/>
              </w:rPr>
            </w:pPr>
            <w:r w:rsidRPr="00270B0F">
              <w:rPr>
                <w:sz w:val="20"/>
                <w:szCs w:val="20"/>
              </w:rPr>
              <w:t>Física: ejecutar el trayecto dando órdenes a la Blue-</w:t>
            </w:r>
            <w:proofErr w:type="spellStart"/>
            <w:r w:rsidRPr="00270B0F">
              <w:rPr>
                <w:sz w:val="20"/>
                <w:szCs w:val="20"/>
              </w:rPr>
              <w:t>Bot</w:t>
            </w:r>
            <w:proofErr w:type="spellEnd"/>
            <w:r w:rsidRPr="00270B0F">
              <w:rPr>
                <w:sz w:val="20"/>
                <w:szCs w:val="20"/>
              </w:rPr>
              <w:t>.</w:t>
            </w:r>
          </w:p>
        </w:tc>
      </w:tr>
      <w:tr w:rsidR="00111A3E" w:rsidRPr="00DC5A98" w14:paraId="14DC35DD" w14:textId="77777777" w:rsidTr="00D7776C">
        <w:trPr>
          <w:jc w:val="center"/>
        </w:trPr>
        <w:tc>
          <w:tcPr>
            <w:tcW w:w="2953" w:type="dxa"/>
            <w:vMerge w:val="restart"/>
            <w:tcBorders>
              <w:top w:val="nil"/>
            </w:tcBorders>
          </w:tcPr>
          <w:p w14:paraId="4BBEF6CF" w14:textId="77777777" w:rsidR="00111A3E" w:rsidRPr="004D2052" w:rsidRDefault="00111A3E" w:rsidP="00C053D5">
            <w:pPr>
              <w:pStyle w:val="Prrafodelista"/>
              <w:spacing w:before="120" w:line="240" w:lineRule="auto"/>
              <w:ind w:left="0"/>
              <w:jc w:val="center"/>
              <w:rPr>
                <w:rFonts w:ascii="Century Gothic" w:hAnsi="Century Gothic"/>
                <w:sz w:val="20"/>
                <w:szCs w:val="20"/>
                <w:lang w:val="es-ES"/>
              </w:rPr>
            </w:pPr>
          </w:p>
          <w:p w14:paraId="780F3218" w14:textId="77777777" w:rsidR="00111A3E" w:rsidRPr="004D2052" w:rsidRDefault="00111A3E" w:rsidP="00C053D5">
            <w:pPr>
              <w:pStyle w:val="Prrafodelista"/>
              <w:spacing w:before="120" w:line="240" w:lineRule="auto"/>
              <w:ind w:left="0"/>
              <w:jc w:val="center"/>
              <w:rPr>
                <w:rFonts w:ascii="Century Gothic" w:hAnsi="Century Gothic"/>
                <w:sz w:val="20"/>
                <w:szCs w:val="20"/>
                <w:lang w:val="es-ES"/>
              </w:rPr>
            </w:pPr>
          </w:p>
          <w:p w14:paraId="7A01CD2F" w14:textId="77777777" w:rsidR="00111A3E" w:rsidRPr="004D2052" w:rsidRDefault="00111A3E" w:rsidP="00C053D5">
            <w:pPr>
              <w:pStyle w:val="Prrafodelista"/>
              <w:numPr>
                <w:ilvl w:val="0"/>
                <w:numId w:val="13"/>
              </w:numPr>
              <w:spacing w:before="120" w:after="0" w:line="240" w:lineRule="auto"/>
              <w:ind w:left="0" w:firstLine="0"/>
              <w:jc w:val="center"/>
              <w:rPr>
                <w:rFonts w:ascii="Century Gothic" w:hAnsi="Century Gothic"/>
                <w:sz w:val="20"/>
                <w:szCs w:val="20"/>
                <w:lang w:val="es-ES"/>
              </w:rPr>
            </w:pPr>
            <w:r w:rsidRPr="004D2052">
              <w:rPr>
                <w:rFonts w:ascii="Century Gothic" w:hAnsi="Century Gothic"/>
                <w:sz w:val="20"/>
                <w:szCs w:val="20"/>
                <w:lang w:val="es-ES"/>
              </w:rPr>
              <w:t>Representación espacial</w:t>
            </w:r>
          </w:p>
        </w:tc>
        <w:tc>
          <w:tcPr>
            <w:tcW w:w="2791" w:type="dxa"/>
            <w:vMerge w:val="restart"/>
          </w:tcPr>
          <w:p w14:paraId="44C206CE" w14:textId="77777777" w:rsidR="00D7776C" w:rsidRPr="00270B0F" w:rsidRDefault="00D7776C" w:rsidP="00C053D5">
            <w:pPr>
              <w:spacing w:before="120" w:after="0" w:line="240" w:lineRule="auto"/>
              <w:jc w:val="center"/>
              <w:rPr>
                <w:sz w:val="20"/>
                <w:szCs w:val="20"/>
              </w:rPr>
            </w:pPr>
          </w:p>
          <w:p w14:paraId="322977B1" w14:textId="66C8E9E6" w:rsidR="00111A3E" w:rsidRPr="00270B0F" w:rsidRDefault="00111A3E" w:rsidP="00C053D5">
            <w:pPr>
              <w:spacing w:before="120" w:after="0" w:line="240" w:lineRule="auto"/>
              <w:jc w:val="center"/>
              <w:rPr>
                <w:sz w:val="20"/>
                <w:szCs w:val="20"/>
              </w:rPr>
            </w:pPr>
            <w:r w:rsidRPr="00270B0F">
              <w:rPr>
                <w:sz w:val="20"/>
                <w:szCs w:val="20"/>
              </w:rPr>
              <w:t>Interpretación de la información gráfica: interpretar las flechas/símbolos en el papel.</w:t>
            </w:r>
          </w:p>
        </w:tc>
        <w:tc>
          <w:tcPr>
            <w:tcW w:w="2760" w:type="dxa"/>
          </w:tcPr>
          <w:p w14:paraId="7BE17F43" w14:textId="09ECE684" w:rsidR="00111A3E" w:rsidRPr="00270B0F" w:rsidRDefault="00111A3E" w:rsidP="00C053D5">
            <w:pPr>
              <w:spacing w:before="120" w:after="0" w:line="240" w:lineRule="auto"/>
              <w:jc w:val="center"/>
              <w:rPr>
                <w:sz w:val="20"/>
                <w:szCs w:val="20"/>
              </w:rPr>
            </w:pPr>
            <w:r w:rsidRPr="00270B0F">
              <w:rPr>
                <w:sz w:val="20"/>
                <w:szCs w:val="20"/>
              </w:rPr>
              <w:t>De representación: representar en una cuadrícula el trayecto que indican las flechas</w:t>
            </w:r>
            <w:r w:rsidR="00596BE5" w:rsidRPr="00270B0F">
              <w:rPr>
                <w:sz w:val="20"/>
                <w:szCs w:val="20"/>
              </w:rPr>
              <w:t xml:space="preserve"> (ficha 1)</w:t>
            </w:r>
            <w:r w:rsidRPr="00270B0F">
              <w:rPr>
                <w:sz w:val="20"/>
                <w:szCs w:val="20"/>
              </w:rPr>
              <w:t>.</w:t>
            </w:r>
          </w:p>
        </w:tc>
      </w:tr>
      <w:tr w:rsidR="00111A3E" w:rsidRPr="00DC5A98" w14:paraId="239E6C8B" w14:textId="77777777" w:rsidTr="00D7776C">
        <w:trPr>
          <w:jc w:val="center"/>
        </w:trPr>
        <w:tc>
          <w:tcPr>
            <w:tcW w:w="2953" w:type="dxa"/>
            <w:vMerge/>
          </w:tcPr>
          <w:p w14:paraId="5F0B10F6" w14:textId="77777777" w:rsidR="00111A3E" w:rsidRPr="006176E9" w:rsidRDefault="00111A3E" w:rsidP="00C053D5">
            <w:pPr>
              <w:spacing w:before="120" w:after="0" w:line="240" w:lineRule="auto"/>
              <w:jc w:val="center"/>
            </w:pPr>
          </w:p>
        </w:tc>
        <w:tc>
          <w:tcPr>
            <w:tcW w:w="2791" w:type="dxa"/>
            <w:vMerge/>
          </w:tcPr>
          <w:p w14:paraId="4696979E" w14:textId="77777777" w:rsidR="00111A3E" w:rsidRPr="00270B0F" w:rsidRDefault="00111A3E" w:rsidP="00C053D5">
            <w:pPr>
              <w:spacing w:before="120" w:after="0" w:line="240" w:lineRule="auto"/>
              <w:jc w:val="center"/>
              <w:rPr>
                <w:sz w:val="20"/>
                <w:szCs w:val="20"/>
              </w:rPr>
            </w:pPr>
          </w:p>
        </w:tc>
        <w:tc>
          <w:tcPr>
            <w:tcW w:w="2760" w:type="dxa"/>
          </w:tcPr>
          <w:p w14:paraId="1A43519B" w14:textId="3349549F" w:rsidR="00111A3E" w:rsidRPr="00270B0F" w:rsidRDefault="00111A3E" w:rsidP="00C053D5">
            <w:pPr>
              <w:spacing w:before="120" w:after="0" w:line="240" w:lineRule="auto"/>
              <w:jc w:val="center"/>
              <w:rPr>
                <w:sz w:val="20"/>
                <w:szCs w:val="20"/>
              </w:rPr>
            </w:pPr>
            <w:r w:rsidRPr="00270B0F">
              <w:rPr>
                <w:sz w:val="20"/>
                <w:szCs w:val="20"/>
              </w:rPr>
              <w:t>Pensar/escribir unas órdenes libremente y representar el trayecto en una cuadrícula</w:t>
            </w:r>
            <w:r w:rsidR="00596BE5" w:rsidRPr="00270B0F">
              <w:rPr>
                <w:sz w:val="20"/>
                <w:szCs w:val="20"/>
              </w:rPr>
              <w:t xml:space="preserve"> (ficha 2)</w:t>
            </w:r>
            <w:r w:rsidRPr="00270B0F">
              <w:rPr>
                <w:sz w:val="20"/>
                <w:szCs w:val="20"/>
              </w:rPr>
              <w:t>.</w:t>
            </w:r>
          </w:p>
        </w:tc>
      </w:tr>
    </w:tbl>
    <w:p w14:paraId="765741C6" w14:textId="6EE98ED5" w:rsidR="0040774F" w:rsidRDefault="00FE01DF" w:rsidP="00C053D5">
      <w:pPr>
        <w:pStyle w:val="APARTADOPRINCIPAL"/>
        <w:spacing w:before="0"/>
        <w:rPr>
          <w:rStyle w:val="nfasis"/>
          <w:b/>
          <w:lang w:val="es-ES"/>
        </w:rPr>
      </w:pPr>
      <w:r>
        <w:rPr>
          <w:rStyle w:val="nfasis"/>
          <w:b/>
          <w:lang w:val="es-ES"/>
        </w:rPr>
        <w:lastRenderedPageBreak/>
        <w:t>3</w:t>
      </w:r>
      <w:r w:rsidR="00AF3498" w:rsidRPr="00522315">
        <w:rPr>
          <w:rStyle w:val="nfasis"/>
          <w:b/>
          <w:lang w:val="es-ES"/>
        </w:rPr>
        <w:t>. RESULTADOS</w:t>
      </w:r>
    </w:p>
    <w:p w14:paraId="0C834996" w14:textId="77777777" w:rsidR="00AF3498" w:rsidRPr="00964975" w:rsidRDefault="0040774F" w:rsidP="00C053D5">
      <w:pPr>
        <w:pStyle w:val="APARTADOPRINCIPAL"/>
        <w:spacing w:before="0"/>
        <w:rPr>
          <w:rStyle w:val="nfasis"/>
          <w:b/>
          <w:sz w:val="22"/>
          <w:lang w:val="es-ES"/>
        </w:rPr>
      </w:pPr>
      <w:r w:rsidRPr="00964975">
        <w:rPr>
          <w:rStyle w:val="nfasis"/>
          <w:b/>
          <w:sz w:val="22"/>
          <w:lang w:val="es-ES"/>
        </w:rPr>
        <w:t xml:space="preserve">3.1 </w:t>
      </w:r>
      <w:r w:rsidR="00645D4F" w:rsidRPr="00964975">
        <w:rPr>
          <w:rStyle w:val="nfasis"/>
          <w:b/>
          <w:sz w:val="22"/>
          <w:lang w:val="es-ES"/>
        </w:rPr>
        <w:t>DESCRIPCIÓN DE LAS COMPONENTES DE IDONEIDAD</w:t>
      </w:r>
    </w:p>
    <w:p w14:paraId="7E9C8CC3" w14:textId="2566F6C4" w:rsidR="00122282" w:rsidRDefault="00122282" w:rsidP="00C053D5">
      <w:pPr>
        <w:spacing w:after="0" w:line="360" w:lineRule="auto"/>
        <w:jc w:val="both"/>
        <w:rPr>
          <w:sz w:val="22"/>
        </w:rPr>
      </w:pPr>
      <w:r>
        <w:rPr>
          <w:sz w:val="22"/>
        </w:rPr>
        <w:t>En este apartado se describen y se analizan las componentes más relevantes de idoneidad didáctica (</w:t>
      </w:r>
      <w:proofErr w:type="spellStart"/>
      <w:r>
        <w:rPr>
          <w:sz w:val="22"/>
        </w:rPr>
        <w:t>Godino</w:t>
      </w:r>
      <w:proofErr w:type="spellEnd"/>
      <w:r>
        <w:rPr>
          <w:sz w:val="22"/>
        </w:rPr>
        <w:t>, 2013) una vez implementada la propuesta.</w:t>
      </w:r>
    </w:p>
    <w:p w14:paraId="65EE6DC8" w14:textId="2BC34E38" w:rsidR="00E97097" w:rsidRDefault="00E97097" w:rsidP="00C053D5">
      <w:pPr>
        <w:spacing w:after="0" w:line="360" w:lineRule="auto"/>
        <w:jc w:val="both"/>
        <w:rPr>
          <w:sz w:val="22"/>
        </w:rPr>
      </w:pPr>
      <w:r>
        <w:rPr>
          <w:sz w:val="22"/>
        </w:rPr>
        <w:t xml:space="preserve">Durante la experiencia se </w:t>
      </w:r>
      <w:r w:rsidR="00B12F00">
        <w:rPr>
          <w:sz w:val="22"/>
        </w:rPr>
        <w:t>propuso</w:t>
      </w:r>
      <w:r>
        <w:rPr>
          <w:sz w:val="22"/>
        </w:rPr>
        <w:t xml:space="preserve"> a los niños diversos retos, “situaciones –problema” a resolver. Debían dar las órdenes adecuadas a la Blue-</w:t>
      </w:r>
      <w:proofErr w:type="spellStart"/>
      <w:r>
        <w:rPr>
          <w:sz w:val="22"/>
        </w:rPr>
        <w:t>Bot</w:t>
      </w:r>
      <w:proofErr w:type="spellEnd"/>
      <w:r>
        <w:rPr>
          <w:sz w:val="22"/>
        </w:rPr>
        <w:t xml:space="preserve"> para que el robot siguiera el mismo recorrido que hicieron ellos en el parque natural. Por otro lado, se les plantearon nuevos problemas incrementando la dificultad, como añadir obstáculos a evitar con la Blue-</w:t>
      </w:r>
      <w:proofErr w:type="spellStart"/>
      <w:r>
        <w:rPr>
          <w:sz w:val="22"/>
        </w:rPr>
        <w:t>Bot</w:t>
      </w:r>
      <w:proofErr w:type="spellEnd"/>
      <w:r>
        <w:rPr>
          <w:sz w:val="22"/>
        </w:rPr>
        <w:t xml:space="preserve"> u obligándoles a pasar por unas casillas determinadas. Además, en algunas ocasiones, fueron ellos mismos los que se planteaban un reto a resolver.</w:t>
      </w:r>
    </w:p>
    <w:p w14:paraId="06F68460" w14:textId="7F6FCC8D" w:rsidR="00E21235" w:rsidRDefault="00E97097" w:rsidP="00C053D5">
      <w:pPr>
        <w:spacing w:after="0" w:line="360" w:lineRule="auto"/>
        <w:jc w:val="both"/>
        <w:rPr>
          <w:sz w:val="22"/>
        </w:rPr>
      </w:pPr>
      <w:r>
        <w:rPr>
          <w:sz w:val="22"/>
        </w:rPr>
        <w:t>Respecto a las componentes “lenguajes” y “argumentos”</w:t>
      </w:r>
      <w:r w:rsidR="00771C0D">
        <w:rPr>
          <w:sz w:val="22"/>
        </w:rPr>
        <w:t xml:space="preserve">, en </w:t>
      </w:r>
      <w:r>
        <w:rPr>
          <w:sz w:val="22"/>
        </w:rPr>
        <w:t xml:space="preserve">esta experiencia </w:t>
      </w:r>
      <w:r w:rsidR="00771C0D">
        <w:rPr>
          <w:sz w:val="22"/>
        </w:rPr>
        <w:t>se usan</w:t>
      </w:r>
      <w:r>
        <w:rPr>
          <w:sz w:val="22"/>
        </w:rPr>
        <w:t xml:space="preserve"> diferentes modos de expresión matemática: verbal, gráfica y simbólica. La expresión verbal se tiene en cuenta a lo largo de todo el proceso ya que se les pide a los alumnos que comuniquen y argumenten las órdenes a programar, por ejemplo, cuántos recuadros han avanzado, hacia qué dirección o, porqué se han equivocado. </w:t>
      </w:r>
      <w:r w:rsidR="001E2306">
        <w:rPr>
          <w:sz w:val="22"/>
        </w:rPr>
        <w:t xml:space="preserve">Hay niños que se expresan fácilmente: “he ido dos hacia adelante, he girado y he tirado uno más hacia adelante”, pero hay otros que no tienen las nociones bien interiorizadas y </w:t>
      </w:r>
      <w:r w:rsidR="00FE01DF">
        <w:rPr>
          <w:sz w:val="22"/>
        </w:rPr>
        <w:t xml:space="preserve">lo hacen </w:t>
      </w:r>
      <w:r w:rsidR="001E2306">
        <w:rPr>
          <w:sz w:val="22"/>
        </w:rPr>
        <w:t xml:space="preserve">sin precisar la </w:t>
      </w:r>
      <w:proofErr w:type="spellStart"/>
      <w:r w:rsidR="001E2306">
        <w:rPr>
          <w:sz w:val="22"/>
        </w:rPr>
        <w:t>órden</w:t>
      </w:r>
      <w:proofErr w:type="spellEnd"/>
      <w:r w:rsidR="001E2306">
        <w:rPr>
          <w:sz w:val="22"/>
        </w:rPr>
        <w:t xml:space="preserve">: “he hecho así, así y así”, acompañándose de gestos. </w:t>
      </w:r>
      <w:r>
        <w:rPr>
          <w:sz w:val="22"/>
        </w:rPr>
        <w:t>Por otra parte, se trabaja el lenguaje gráfico en las fichas y el simbólico con los botones del robot</w:t>
      </w:r>
      <w:r w:rsidR="00E56296">
        <w:rPr>
          <w:sz w:val="22"/>
        </w:rPr>
        <w:t>. Por tanto, no solo representan, sino que también interpretan.</w:t>
      </w:r>
      <w:r w:rsidR="001E2306">
        <w:rPr>
          <w:sz w:val="22"/>
        </w:rPr>
        <w:t xml:space="preserve"> </w:t>
      </w:r>
    </w:p>
    <w:p w14:paraId="6CBE0A49" w14:textId="094C4D80" w:rsidR="00D714DF" w:rsidRDefault="00E56296" w:rsidP="00C053D5">
      <w:pPr>
        <w:spacing w:after="0" w:line="360" w:lineRule="auto"/>
        <w:jc w:val="both"/>
        <w:rPr>
          <w:sz w:val="22"/>
        </w:rPr>
      </w:pPr>
      <w:r>
        <w:rPr>
          <w:sz w:val="22"/>
        </w:rPr>
        <w:t>Las representaciones de los niños muestran tres tipos de nivel cognitivo (componente “aprendizajes”) que corresponden a los descritos en Canals (2009): de interiorización, de expresión plástica y de pensamiento lógico. La mayoría representa correctamente las órdenes dadas en la ficha; sin embargo, en algunos casos, en lugar de ir hacia la derecha, van hacia la izquierda. Del mismo modo, hay estudiantes que entienden el significado de las nociones espaciales, pero se equivocan en el contaje</w:t>
      </w:r>
      <w:r w:rsidR="00B508A2">
        <w:rPr>
          <w:sz w:val="22"/>
        </w:rPr>
        <w:t xml:space="preserve"> </w:t>
      </w:r>
      <w:r w:rsidR="00B508A2" w:rsidRPr="00D70A5D">
        <w:rPr>
          <w:sz w:val="22"/>
        </w:rPr>
        <w:t xml:space="preserve">(Figura </w:t>
      </w:r>
      <w:r w:rsidR="00D70A5D" w:rsidRPr="00D70A5D">
        <w:rPr>
          <w:sz w:val="22"/>
        </w:rPr>
        <w:t>2</w:t>
      </w:r>
      <w:r w:rsidR="00B508A2" w:rsidRPr="00D70A5D">
        <w:rPr>
          <w:sz w:val="22"/>
        </w:rPr>
        <w:t>)</w:t>
      </w:r>
      <w:r w:rsidRPr="00D70A5D">
        <w:rPr>
          <w:sz w:val="22"/>
        </w:rPr>
        <w:t>.</w:t>
      </w:r>
      <w:r>
        <w:rPr>
          <w:sz w:val="22"/>
        </w:rPr>
        <w:t xml:space="preserve"> Este aspecto también se ha observado cuando usan la Blue-</w:t>
      </w:r>
      <w:proofErr w:type="spellStart"/>
      <w:r>
        <w:rPr>
          <w:sz w:val="22"/>
        </w:rPr>
        <w:t>Bot</w:t>
      </w:r>
      <w:proofErr w:type="spellEnd"/>
      <w:r>
        <w:rPr>
          <w:sz w:val="22"/>
        </w:rPr>
        <w:t>, ya que les cuesta asociar el número de veces que pulsan el botón con el número de casillas que debe recorrer el robot en la misma dirección. Esto es, si el robot tiene que avanzar 3 casillas hacia adelante para llegar al destino, pulsan una vez el botón, la Blue-</w:t>
      </w:r>
      <w:proofErr w:type="spellStart"/>
      <w:r>
        <w:rPr>
          <w:sz w:val="22"/>
        </w:rPr>
        <w:t>Bot</w:t>
      </w:r>
      <w:proofErr w:type="spellEnd"/>
      <w:r>
        <w:rPr>
          <w:sz w:val="22"/>
        </w:rPr>
        <w:t xml:space="preserve"> avanza; pulsan otra vez el botón, vuelve a avanzar y, nuevamente, pulsan el botón. En </w:t>
      </w:r>
      <w:r>
        <w:rPr>
          <w:sz w:val="22"/>
        </w:rPr>
        <w:lastRenderedPageBreak/>
        <w:t>algunos casos, en el papel lo representan marca</w:t>
      </w:r>
      <w:r w:rsidR="003C4E7A">
        <w:rPr>
          <w:sz w:val="22"/>
        </w:rPr>
        <w:t xml:space="preserve">ndo un punto cada vez que paran. </w:t>
      </w:r>
      <w:r w:rsidR="00C81B31">
        <w:rPr>
          <w:sz w:val="22"/>
        </w:rPr>
        <w:t>Un aspecto a destacar en las representaciones de órdenes libres, es la simbología. Entre los diferentes dibujos se observan todo tipo de flechas (con la punta pintada o sin relleno), cruces, puntos, rallas, corazones o soles. Además, hay estudiantes que han decidido dar la orden de ir en diagonal</w:t>
      </w:r>
      <w:r w:rsidR="00B508A2">
        <w:rPr>
          <w:sz w:val="22"/>
        </w:rPr>
        <w:t xml:space="preserve"> (</w:t>
      </w:r>
      <w:r w:rsidR="00B508A2" w:rsidRPr="003D4F9D">
        <w:rPr>
          <w:sz w:val="22"/>
        </w:rPr>
        <w:t>Figura</w:t>
      </w:r>
      <w:r w:rsidR="003D4F9D" w:rsidRPr="003D4F9D">
        <w:rPr>
          <w:sz w:val="22"/>
        </w:rPr>
        <w:t xml:space="preserve"> 3</w:t>
      </w:r>
      <w:r w:rsidR="00B508A2" w:rsidRPr="003D4F9D">
        <w:rPr>
          <w:sz w:val="22"/>
        </w:rPr>
        <w:t>),</w:t>
      </w:r>
      <w:r w:rsidR="00C81B31">
        <w:rPr>
          <w:sz w:val="22"/>
        </w:rPr>
        <w:t xml:space="preserve"> aunque la Blue-</w:t>
      </w:r>
      <w:proofErr w:type="spellStart"/>
      <w:r w:rsidR="00C81B31">
        <w:rPr>
          <w:sz w:val="22"/>
        </w:rPr>
        <w:t>Bot</w:t>
      </w:r>
      <w:proofErr w:type="spellEnd"/>
      <w:r w:rsidR="00C81B31">
        <w:rPr>
          <w:sz w:val="22"/>
        </w:rPr>
        <w:t xml:space="preserve"> no disponga de ella. Finalmente, en algunos casos, utilizan colores distintos para indicar que el robot ha cambiado de dirección: por ejemplo, si el robot va hacia la derecha utilizan un color y</w:t>
      </w:r>
      <w:r w:rsidR="00B12F00">
        <w:rPr>
          <w:sz w:val="22"/>
        </w:rPr>
        <w:t>,</w:t>
      </w:r>
      <w:r w:rsidR="00C81B31">
        <w:rPr>
          <w:sz w:val="22"/>
        </w:rPr>
        <w:t xml:space="preserve"> si gira, escogen otro. Esto demuestra que han involucrado el pensamiento lógico y que, por tanto, ha completado el proceso de aprendizaje (Canals, 2009).</w:t>
      </w:r>
      <w:r w:rsidR="001E2306">
        <w:rPr>
          <w:sz w:val="22"/>
        </w:rPr>
        <w:t xml:space="preserve"> </w:t>
      </w:r>
    </w:p>
    <w:p w14:paraId="24B978E4" w14:textId="52E82D19" w:rsidR="00B508A2" w:rsidRDefault="00595640" w:rsidP="00C053D5">
      <w:pPr>
        <w:spacing w:after="0" w:line="360" w:lineRule="auto"/>
        <w:jc w:val="center"/>
        <w:rPr>
          <w:sz w:val="22"/>
        </w:rPr>
      </w:pPr>
      <w:r>
        <w:rPr>
          <w:noProof/>
          <w:sz w:val="22"/>
          <w:lang w:val="ca-ES" w:eastAsia="ca-ES"/>
        </w:rPr>
        <w:drawing>
          <wp:inline distT="0" distB="0" distL="0" distR="0" wp14:anchorId="3016EEC6" wp14:editId="45604AE4">
            <wp:extent cx="1746250" cy="1238506"/>
            <wp:effectExtent l="19050" t="19050" r="25400"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9711" cy="1248053"/>
                    </a:xfrm>
                    <a:prstGeom prst="rect">
                      <a:avLst/>
                    </a:prstGeom>
                    <a:ln w="3175">
                      <a:solidFill>
                        <a:schemeClr val="tx1"/>
                      </a:solidFill>
                    </a:ln>
                  </pic:spPr>
                </pic:pic>
              </a:graphicData>
            </a:graphic>
          </wp:inline>
        </w:drawing>
      </w:r>
    </w:p>
    <w:p w14:paraId="7AFDB409" w14:textId="43644741" w:rsidR="00D70A5D" w:rsidRPr="00A35852" w:rsidRDefault="00D70A5D" w:rsidP="00A35852">
      <w:pPr>
        <w:spacing w:after="0" w:line="360" w:lineRule="auto"/>
        <w:jc w:val="center"/>
        <w:rPr>
          <w:szCs w:val="18"/>
        </w:rPr>
      </w:pPr>
      <w:r>
        <w:rPr>
          <w:szCs w:val="18"/>
        </w:rPr>
        <w:t>Figura 2</w:t>
      </w:r>
      <w:r w:rsidRPr="00B508A2">
        <w:rPr>
          <w:szCs w:val="18"/>
        </w:rPr>
        <w:t>. Dificultad conteo</w:t>
      </w:r>
      <w:r>
        <w:rPr>
          <w:szCs w:val="18"/>
        </w:rPr>
        <w:t>.</w:t>
      </w:r>
      <w:r w:rsidR="00745E8D">
        <w:rPr>
          <w:szCs w:val="18"/>
        </w:rPr>
        <w:t xml:space="preserve"> Ficha 1 representar órdenes.</w:t>
      </w:r>
      <w:r>
        <w:rPr>
          <w:szCs w:val="18"/>
        </w:rPr>
        <w:t xml:space="preserve"> Fuente: Propia</w:t>
      </w:r>
    </w:p>
    <w:p w14:paraId="3D1EEAEE" w14:textId="04468373" w:rsidR="003C4E7A" w:rsidRDefault="00595640" w:rsidP="00C053D5">
      <w:pPr>
        <w:spacing w:after="0" w:line="360" w:lineRule="auto"/>
        <w:jc w:val="center"/>
        <w:rPr>
          <w:sz w:val="22"/>
        </w:rPr>
      </w:pPr>
      <w:r>
        <w:rPr>
          <w:noProof/>
          <w:sz w:val="22"/>
          <w:lang w:val="ca-ES" w:eastAsia="ca-ES"/>
        </w:rPr>
        <w:drawing>
          <wp:inline distT="0" distB="0" distL="0" distR="0" wp14:anchorId="202D8415" wp14:editId="75C68931">
            <wp:extent cx="1289050" cy="1606997"/>
            <wp:effectExtent l="19050" t="19050" r="25400" b="127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5840" cy="1615462"/>
                    </a:xfrm>
                    <a:prstGeom prst="rect">
                      <a:avLst/>
                    </a:prstGeom>
                    <a:ln w="3175">
                      <a:solidFill>
                        <a:schemeClr val="tx1"/>
                      </a:solidFill>
                    </a:ln>
                  </pic:spPr>
                </pic:pic>
              </a:graphicData>
            </a:graphic>
          </wp:inline>
        </w:drawing>
      </w:r>
    </w:p>
    <w:p w14:paraId="4E6857F1" w14:textId="1FF71C70" w:rsidR="00D70A5D" w:rsidRDefault="00D70A5D" w:rsidP="00C053D5">
      <w:pPr>
        <w:spacing w:after="0" w:line="360" w:lineRule="auto"/>
        <w:jc w:val="center"/>
        <w:rPr>
          <w:sz w:val="22"/>
        </w:rPr>
      </w:pPr>
      <w:r w:rsidRPr="003C4E7A">
        <w:rPr>
          <w:szCs w:val="18"/>
        </w:rPr>
        <w:t xml:space="preserve">Figura </w:t>
      </w:r>
      <w:r>
        <w:rPr>
          <w:szCs w:val="18"/>
        </w:rPr>
        <w:t>3</w:t>
      </w:r>
      <w:r w:rsidRPr="003C4E7A">
        <w:rPr>
          <w:szCs w:val="18"/>
        </w:rPr>
        <w:t>. Flecha diagonal</w:t>
      </w:r>
      <w:r>
        <w:rPr>
          <w:szCs w:val="18"/>
        </w:rPr>
        <w:t>.</w:t>
      </w:r>
      <w:r w:rsidR="00745E8D">
        <w:rPr>
          <w:szCs w:val="18"/>
        </w:rPr>
        <w:t xml:space="preserve"> Ficha 2 inventar órdenes.</w:t>
      </w:r>
      <w:r>
        <w:rPr>
          <w:szCs w:val="18"/>
        </w:rPr>
        <w:t xml:space="preserve"> Fuente: Propia</w:t>
      </w:r>
    </w:p>
    <w:p w14:paraId="6627725E" w14:textId="56BE95D3" w:rsidR="00E56296" w:rsidRDefault="00D714DF" w:rsidP="00C053D5">
      <w:pPr>
        <w:spacing w:after="0" w:line="360" w:lineRule="auto"/>
        <w:jc w:val="both"/>
        <w:rPr>
          <w:sz w:val="22"/>
        </w:rPr>
      </w:pPr>
      <w:r>
        <w:rPr>
          <w:sz w:val="22"/>
        </w:rPr>
        <w:t>La componente “intereses y necesidades” de la idoneidad afectiva se observa perfectamente en todo el proceso a partir de dos aspectos: el primero, muy destacable, es la estética del robot</w:t>
      </w:r>
      <w:r w:rsidR="00C127E8">
        <w:rPr>
          <w:sz w:val="22"/>
        </w:rPr>
        <w:t xml:space="preserve"> que permite ver los circuitos internos </w:t>
      </w:r>
      <w:r>
        <w:rPr>
          <w:sz w:val="22"/>
        </w:rPr>
        <w:t>que lo componen</w:t>
      </w:r>
      <w:r w:rsidR="00892AB8">
        <w:rPr>
          <w:sz w:val="22"/>
        </w:rPr>
        <w:t>, hecho que resulta</w:t>
      </w:r>
      <w:r>
        <w:rPr>
          <w:sz w:val="22"/>
        </w:rPr>
        <w:t xml:space="preserve"> motivador y despierta el interés de los estudiantes por la tecnología, tanto en niños como en niñas</w:t>
      </w:r>
      <w:r w:rsidR="00FD60C4">
        <w:rPr>
          <w:sz w:val="22"/>
        </w:rPr>
        <w:t xml:space="preserve"> (Santos &amp; </w:t>
      </w:r>
      <w:proofErr w:type="spellStart"/>
      <w:r w:rsidR="00FD60C4">
        <w:rPr>
          <w:sz w:val="22"/>
        </w:rPr>
        <w:t>Osório</w:t>
      </w:r>
      <w:proofErr w:type="spellEnd"/>
      <w:r w:rsidR="00FD60C4">
        <w:rPr>
          <w:sz w:val="22"/>
        </w:rPr>
        <w:t>, 2019)</w:t>
      </w:r>
      <w:r>
        <w:rPr>
          <w:sz w:val="22"/>
        </w:rPr>
        <w:t>. El segundo, es que se proponen situaciones que permiten valorar la utilidad de las matemáticas en la vida cotidiana, pues es imprescindible que los niños se sepan situar en el espacio.</w:t>
      </w:r>
      <w:r w:rsidR="00AD0F3D">
        <w:rPr>
          <w:sz w:val="22"/>
        </w:rPr>
        <w:t xml:space="preserve"> En cuanto a la componente “emociones” es remarcable </w:t>
      </w:r>
      <w:r w:rsidR="00DA6294">
        <w:rPr>
          <w:sz w:val="22"/>
        </w:rPr>
        <w:t>que,</w:t>
      </w:r>
      <w:r w:rsidR="00AD0F3D">
        <w:rPr>
          <w:sz w:val="22"/>
        </w:rPr>
        <w:t xml:space="preserve"> en algún momento de la experiencia, todos los estudiantes </w:t>
      </w:r>
      <w:r w:rsidR="00DA6294">
        <w:rPr>
          <w:sz w:val="22"/>
        </w:rPr>
        <w:t>tienen su momento de éxito al conseguir que la Blue-</w:t>
      </w:r>
      <w:proofErr w:type="spellStart"/>
      <w:r w:rsidR="00DA6294">
        <w:rPr>
          <w:sz w:val="22"/>
        </w:rPr>
        <w:t>Bot</w:t>
      </w:r>
      <w:proofErr w:type="spellEnd"/>
      <w:r w:rsidR="00DA6294">
        <w:rPr>
          <w:sz w:val="22"/>
        </w:rPr>
        <w:t xml:space="preserve"> ejecute lo que ellos tienen en mente.</w:t>
      </w:r>
      <w:r w:rsidR="009C138A">
        <w:rPr>
          <w:sz w:val="22"/>
        </w:rPr>
        <w:t xml:space="preserve"> Por último, es claro que se resaltan las cualidades de estética en la </w:t>
      </w:r>
      <w:r w:rsidR="009C138A">
        <w:rPr>
          <w:sz w:val="22"/>
        </w:rPr>
        <w:lastRenderedPageBreak/>
        <w:t>simbología de las representaciones libres, así como la precisión de las matemáticas a la hora de pulsar el botón una cantidad de veces determinada, pues en caso contrario el robot puede salir de</w:t>
      </w:r>
      <w:r w:rsidR="00FE01DF">
        <w:rPr>
          <w:sz w:val="22"/>
        </w:rPr>
        <w:t xml:space="preserve">l </w:t>
      </w:r>
      <w:proofErr w:type="gramStart"/>
      <w:r w:rsidR="00FE01DF">
        <w:rPr>
          <w:sz w:val="22"/>
        </w:rPr>
        <w:t xml:space="preserve">tapete </w:t>
      </w:r>
      <w:r w:rsidR="009C138A">
        <w:rPr>
          <w:sz w:val="22"/>
        </w:rPr>
        <w:t xml:space="preserve"> o</w:t>
      </w:r>
      <w:proofErr w:type="gramEnd"/>
      <w:r w:rsidR="009C138A">
        <w:rPr>
          <w:sz w:val="22"/>
        </w:rPr>
        <w:t xml:space="preserve"> no llegar al destino deseado. </w:t>
      </w:r>
    </w:p>
    <w:p w14:paraId="125B6C0C" w14:textId="556339EB" w:rsidR="0072698A" w:rsidRDefault="0072698A" w:rsidP="00C053D5">
      <w:pPr>
        <w:spacing w:after="0" w:line="360" w:lineRule="auto"/>
        <w:jc w:val="both"/>
        <w:rPr>
          <w:sz w:val="22"/>
        </w:rPr>
      </w:pPr>
      <w:r>
        <w:rPr>
          <w:sz w:val="22"/>
        </w:rPr>
        <w:t xml:space="preserve">Respecto a la componente “la interacción entre alumnos”, el trabajo en grupos heterogéneos favorece el diálogo y la comunicación, fomenta la concentración y el respeto hacia los compañeros. </w:t>
      </w:r>
    </w:p>
    <w:p w14:paraId="584CD16A" w14:textId="6EAFF851" w:rsidR="0072698A" w:rsidRDefault="00EA5612" w:rsidP="00C053D5">
      <w:pPr>
        <w:spacing w:after="0" w:line="360" w:lineRule="auto"/>
        <w:jc w:val="both"/>
        <w:rPr>
          <w:sz w:val="22"/>
        </w:rPr>
      </w:pPr>
      <w:r>
        <w:rPr>
          <w:sz w:val="22"/>
        </w:rPr>
        <w:t xml:space="preserve">Por lo que se refiere a </w:t>
      </w:r>
      <w:r w:rsidR="0072698A">
        <w:rPr>
          <w:sz w:val="22"/>
        </w:rPr>
        <w:t xml:space="preserve">la idoneidad </w:t>
      </w:r>
      <w:proofErr w:type="spellStart"/>
      <w:r w:rsidR="0072698A">
        <w:rPr>
          <w:sz w:val="22"/>
        </w:rPr>
        <w:t>med</w:t>
      </w:r>
      <w:r>
        <w:rPr>
          <w:sz w:val="22"/>
        </w:rPr>
        <w:t>iacional</w:t>
      </w:r>
      <w:proofErr w:type="spellEnd"/>
      <w:r>
        <w:rPr>
          <w:sz w:val="22"/>
        </w:rPr>
        <w:t xml:space="preserve">, </w:t>
      </w:r>
      <w:r w:rsidR="0072698A">
        <w:rPr>
          <w:sz w:val="22"/>
        </w:rPr>
        <w:t>se usaron, por aula, 6 Blue-</w:t>
      </w:r>
      <w:proofErr w:type="spellStart"/>
      <w:r w:rsidR="0072698A">
        <w:rPr>
          <w:sz w:val="22"/>
        </w:rPr>
        <w:t>Bot</w:t>
      </w:r>
      <w:proofErr w:type="spellEnd"/>
      <w:r w:rsidR="0072698A">
        <w:rPr>
          <w:sz w:val="22"/>
        </w:rPr>
        <w:t xml:space="preserve"> y 6 </w:t>
      </w:r>
      <w:r w:rsidR="00FE01DF">
        <w:rPr>
          <w:sz w:val="22"/>
        </w:rPr>
        <w:t xml:space="preserve">tapetes </w:t>
      </w:r>
      <w:r w:rsidR="0072698A">
        <w:rPr>
          <w:sz w:val="22"/>
        </w:rPr>
        <w:t xml:space="preserve">con la temática La </w:t>
      </w:r>
      <w:proofErr w:type="spellStart"/>
      <w:r w:rsidR="0072698A">
        <w:rPr>
          <w:sz w:val="22"/>
        </w:rPr>
        <w:t>Mitjana</w:t>
      </w:r>
      <w:proofErr w:type="spellEnd"/>
      <w:r w:rsidR="00B13134">
        <w:rPr>
          <w:sz w:val="22"/>
        </w:rPr>
        <w:t xml:space="preserve"> </w:t>
      </w:r>
      <w:r w:rsidR="00FB6CFE">
        <w:rPr>
          <w:sz w:val="22"/>
        </w:rPr>
        <w:t>(Figura 4),</w:t>
      </w:r>
      <w:r w:rsidR="0072698A">
        <w:rPr>
          <w:sz w:val="22"/>
        </w:rPr>
        <w:t xml:space="preserve"> una para cada grupo. Se destinó una mañana a ir de excursión al parque natural de la </w:t>
      </w:r>
      <w:proofErr w:type="spellStart"/>
      <w:r w:rsidR="0072698A">
        <w:rPr>
          <w:sz w:val="22"/>
        </w:rPr>
        <w:t>Mitjana</w:t>
      </w:r>
      <w:proofErr w:type="spellEnd"/>
      <w:r w:rsidR="0072698A">
        <w:rPr>
          <w:sz w:val="22"/>
        </w:rPr>
        <w:t>; posteriormente, se dedicaron 3 sesiones de 1’5 horas cada una, a la experimentación con las Blue-</w:t>
      </w:r>
      <w:proofErr w:type="spellStart"/>
      <w:r w:rsidR="0072698A">
        <w:rPr>
          <w:sz w:val="22"/>
        </w:rPr>
        <w:t>Bot</w:t>
      </w:r>
      <w:proofErr w:type="spellEnd"/>
      <w:r w:rsidR="0072698A">
        <w:rPr>
          <w:sz w:val="22"/>
        </w:rPr>
        <w:t xml:space="preserve">. </w:t>
      </w:r>
      <w:r w:rsidR="00BC7434">
        <w:rPr>
          <w:sz w:val="22"/>
        </w:rPr>
        <w:t xml:space="preserve">Las 3 sesiones se realizaron de forma paralela y simultánea en dos aulas, con 25 estudiantes y 3 </w:t>
      </w:r>
      <w:r w:rsidR="00A35852">
        <w:rPr>
          <w:sz w:val="22"/>
        </w:rPr>
        <w:t>profesionales en</w:t>
      </w:r>
      <w:r w:rsidR="00BC7434">
        <w:rPr>
          <w:sz w:val="22"/>
        </w:rPr>
        <w:t xml:space="preserve"> cada una de ellas.</w:t>
      </w:r>
      <w:r w:rsidR="0072698A">
        <w:rPr>
          <w:sz w:val="22"/>
        </w:rPr>
        <w:t xml:space="preserve"> </w:t>
      </w:r>
    </w:p>
    <w:p w14:paraId="32A22669" w14:textId="013B86D9" w:rsidR="00B13134" w:rsidRDefault="007E4429" w:rsidP="00C053D5">
      <w:pPr>
        <w:spacing w:after="0" w:line="360" w:lineRule="auto"/>
        <w:jc w:val="center"/>
        <w:rPr>
          <w:sz w:val="22"/>
        </w:rPr>
      </w:pPr>
      <w:r w:rsidRPr="007E4429">
        <w:rPr>
          <w:noProof/>
          <w:sz w:val="22"/>
          <w:lang w:val="ca-ES" w:eastAsia="ca-ES"/>
        </w:rPr>
        <w:drawing>
          <wp:inline distT="0" distB="0" distL="0" distR="0" wp14:anchorId="03F3C727" wp14:editId="71EC1642">
            <wp:extent cx="2457450" cy="1674348"/>
            <wp:effectExtent l="19050" t="19050" r="19050" b="21590"/>
            <wp:docPr id="2" name="Imagen 2" descr="C:\Users\MARIA\Documents\CERTIFICATS\Article\Figur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Documents\CERTIFICATS\Article\Figura 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4190" cy="1678940"/>
                    </a:xfrm>
                    <a:prstGeom prst="rect">
                      <a:avLst/>
                    </a:prstGeom>
                    <a:noFill/>
                    <a:ln w="3175">
                      <a:solidFill>
                        <a:schemeClr val="tx1"/>
                      </a:solidFill>
                    </a:ln>
                  </pic:spPr>
                </pic:pic>
              </a:graphicData>
            </a:graphic>
          </wp:inline>
        </w:drawing>
      </w:r>
    </w:p>
    <w:p w14:paraId="4B0EFC88" w14:textId="593BC52B" w:rsidR="00FB6CFE" w:rsidRPr="00775B3A" w:rsidRDefault="00FB6CFE" w:rsidP="00775B3A">
      <w:pPr>
        <w:spacing w:after="0" w:line="360" w:lineRule="auto"/>
        <w:jc w:val="center"/>
        <w:rPr>
          <w:szCs w:val="18"/>
        </w:rPr>
      </w:pPr>
      <w:r w:rsidRPr="00B13134">
        <w:rPr>
          <w:szCs w:val="18"/>
        </w:rPr>
        <w:t xml:space="preserve">Figura </w:t>
      </w:r>
      <w:r>
        <w:rPr>
          <w:szCs w:val="18"/>
        </w:rPr>
        <w:t>4.</w:t>
      </w:r>
      <w:r w:rsidRPr="00B13134">
        <w:rPr>
          <w:szCs w:val="18"/>
        </w:rPr>
        <w:t xml:space="preserve"> </w:t>
      </w:r>
      <w:r>
        <w:rPr>
          <w:szCs w:val="18"/>
        </w:rPr>
        <w:t>Tapete</w:t>
      </w:r>
      <w:r w:rsidRPr="00B13134">
        <w:rPr>
          <w:szCs w:val="18"/>
        </w:rPr>
        <w:t xml:space="preserve"> con motivos del parque natural</w:t>
      </w:r>
      <w:r>
        <w:rPr>
          <w:szCs w:val="18"/>
        </w:rPr>
        <w:t>. Fuente: Propia</w:t>
      </w:r>
      <w:r w:rsidR="003029EC">
        <w:rPr>
          <w:szCs w:val="18"/>
        </w:rPr>
        <w:t>.</w:t>
      </w:r>
    </w:p>
    <w:p w14:paraId="11A8512E" w14:textId="7C625904" w:rsidR="00D869C3" w:rsidRPr="00F34F29" w:rsidRDefault="00FA77F3" w:rsidP="00C053D5">
      <w:pPr>
        <w:spacing w:after="0" w:line="360" w:lineRule="auto"/>
        <w:jc w:val="both"/>
        <w:rPr>
          <w:sz w:val="22"/>
        </w:rPr>
      </w:pPr>
      <w:r>
        <w:rPr>
          <w:sz w:val="22"/>
        </w:rPr>
        <w:t xml:space="preserve">Finalmente, en cuanto a las componentes de la idoneidad ecológica, </w:t>
      </w:r>
      <w:r w:rsidR="00E45E7C">
        <w:rPr>
          <w:sz w:val="22"/>
        </w:rPr>
        <w:t>destacamos que</w:t>
      </w:r>
      <w:r w:rsidR="00C722A1">
        <w:rPr>
          <w:sz w:val="22"/>
        </w:rPr>
        <w:t xml:space="preserve"> los contenidos que se trabajan, </w:t>
      </w:r>
      <w:r w:rsidR="00E45E7C">
        <w:rPr>
          <w:sz w:val="22"/>
        </w:rPr>
        <w:t>se relacionan: las Blue-</w:t>
      </w:r>
      <w:proofErr w:type="spellStart"/>
      <w:r w:rsidR="00E45E7C">
        <w:rPr>
          <w:sz w:val="22"/>
        </w:rPr>
        <w:t>Bot</w:t>
      </w:r>
      <w:proofErr w:type="spellEnd"/>
      <w:r w:rsidR="00E45E7C">
        <w:rPr>
          <w:sz w:val="22"/>
        </w:rPr>
        <w:t xml:space="preserve"> ofrecen la posibilidad de trabajar la orientación espacial y</w:t>
      </w:r>
      <w:r w:rsidR="00C722A1">
        <w:rPr>
          <w:sz w:val="22"/>
        </w:rPr>
        <w:t xml:space="preserve"> el pensamiento computacional</w:t>
      </w:r>
      <w:r w:rsidR="00654922">
        <w:rPr>
          <w:sz w:val="22"/>
        </w:rPr>
        <w:t xml:space="preserve"> (</w:t>
      </w:r>
      <w:proofErr w:type="spellStart"/>
      <w:r w:rsidR="00654922">
        <w:rPr>
          <w:sz w:val="22"/>
        </w:rPr>
        <w:t>Bers</w:t>
      </w:r>
      <w:proofErr w:type="spellEnd"/>
      <w:r w:rsidR="00DC28AA">
        <w:rPr>
          <w:sz w:val="22"/>
        </w:rPr>
        <w:t>,</w:t>
      </w:r>
      <w:r w:rsidR="00654922">
        <w:rPr>
          <w:sz w:val="22"/>
        </w:rPr>
        <w:t xml:space="preserve"> 2014; Santos &amp; </w:t>
      </w:r>
      <w:proofErr w:type="spellStart"/>
      <w:r w:rsidR="00654922">
        <w:rPr>
          <w:sz w:val="22"/>
        </w:rPr>
        <w:t>Osório</w:t>
      </w:r>
      <w:proofErr w:type="spellEnd"/>
      <w:r w:rsidR="00654922">
        <w:rPr>
          <w:sz w:val="22"/>
        </w:rPr>
        <w:t>, 2019)</w:t>
      </w:r>
      <w:r w:rsidR="00C722A1">
        <w:rPr>
          <w:sz w:val="22"/>
        </w:rPr>
        <w:t xml:space="preserve"> y</w:t>
      </w:r>
      <w:r w:rsidR="00E45E7C">
        <w:rPr>
          <w:sz w:val="22"/>
        </w:rPr>
        <w:t xml:space="preserve">, a su </w:t>
      </w:r>
      <w:r w:rsidR="00645D4F">
        <w:rPr>
          <w:sz w:val="22"/>
        </w:rPr>
        <w:t>vez</w:t>
      </w:r>
      <w:r w:rsidR="00E45E7C">
        <w:rPr>
          <w:sz w:val="22"/>
        </w:rPr>
        <w:t xml:space="preserve">, requieren de las </w:t>
      </w:r>
      <w:proofErr w:type="spellStart"/>
      <w:r w:rsidR="00E45E7C">
        <w:rPr>
          <w:sz w:val="22"/>
        </w:rPr>
        <w:t>microhabilidades</w:t>
      </w:r>
      <w:proofErr w:type="spellEnd"/>
      <w:r w:rsidR="00E45E7C">
        <w:rPr>
          <w:sz w:val="22"/>
        </w:rPr>
        <w:t xml:space="preserve"> definidas en el proyecto educativo, como la concentración (</w:t>
      </w:r>
      <w:proofErr w:type="spellStart"/>
      <w:r w:rsidR="00E45E7C">
        <w:rPr>
          <w:sz w:val="22"/>
        </w:rPr>
        <w:t>Pittí</w:t>
      </w:r>
      <w:proofErr w:type="spellEnd"/>
      <w:r w:rsidR="00E45E7C">
        <w:rPr>
          <w:sz w:val="22"/>
        </w:rPr>
        <w:t xml:space="preserve">, Curto </w:t>
      </w:r>
      <w:r w:rsidR="00C722A1">
        <w:rPr>
          <w:sz w:val="22"/>
        </w:rPr>
        <w:t>&amp;</w:t>
      </w:r>
      <w:r w:rsidR="00E45E7C">
        <w:rPr>
          <w:sz w:val="22"/>
        </w:rPr>
        <w:t xml:space="preserve"> Moreno, 2010). Además, se ha contemplado una excursión en un espacio natural que se tiene en cuenta en </w:t>
      </w:r>
      <w:r w:rsidR="00FE01DF">
        <w:rPr>
          <w:sz w:val="22"/>
        </w:rPr>
        <w:t xml:space="preserve">el tapete </w:t>
      </w:r>
      <w:r w:rsidR="00E45E7C">
        <w:rPr>
          <w:sz w:val="22"/>
        </w:rPr>
        <w:t xml:space="preserve">y, más importante aún, permite abordar el trabajo secuencial de la geometría. Asimismo, se han establecido conexiones dentro de las matemáticas, ya que también se trabaja el contaje y se conectan los procesos matemáticos de resolución de problemas (llegar al destino), de comunicación (explicar cómo o porqué) y de representación (trazar órdenes en el papel). </w:t>
      </w:r>
    </w:p>
    <w:p w14:paraId="013F0CAF" w14:textId="4FA9FF8D" w:rsidR="00AF3498" w:rsidRPr="00964975" w:rsidRDefault="0040774F" w:rsidP="00C053D5">
      <w:pPr>
        <w:pStyle w:val="APARTADOPRINCIPAL"/>
        <w:rPr>
          <w:sz w:val="22"/>
          <w:lang w:val="es-ES"/>
        </w:rPr>
      </w:pPr>
      <w:r w:rsidRPr="00964975">
        <w:rPr>
          <w:sz w:val="22"/>
          <w:lang w:val="es-ES"/>
        </w:rPr>
        <w:lastRenderedPageBreak/>
        <w:t>3.2</w:t>
      </w:r>
      <w:r w:rsidR="003D4F9D" w:rsidRPr="00964975">
        <w:rPr>
          <w:sz w:val="22"/>
          <w:lang w:val="es-ES"/>
        </w:rPr>
        <w:t xml:space="preserve"> </w:t>
      </w:r>
      <w:r w:rsidR="00F83390" w:rsidRPr="00964975">
        <w:rPr>
          <w:sz w:val="22"/>
          <w:lang w:val="es-ES"/>
        </w:rPr>
        <w:t>VALORACIÓN DE LAS IDONEIDADES PARCIALES</w:t>
      </w:r>
    </w:p>
    <w:p w14:paraId="6AD6472D" w14:textId="3DF36396" w:rsidR="00AF3498" w:rsidRDefault="00A26DFA" w:rsidP="00C053D5">
      <w:pPr>
        <w:spacing w:after="0" w:line="360" w:lineRule="auto"/>
        <w:jc w:val="both"/>
        <w:rPr>
          <w:sz w:val="22"/>
        </w:rPr>
      </w:pPr>
      <w:r w:rsidRPr="00A26DFA">
        <w:rPr>
          <w:sz w:val="22"/>
        </w:rPr>
        <w:t xml:space="preserve">Dado que se han puesto de manifiesto los </w:t>
      </w:r>
      <w:r>
        <w:rPr>
          <w:sz w:val="22"/>
        </w:rPr>
        <w:t xml:space="preserve">objetos matemáticos de la </w:t>
      </w:r>
      <w:r w:rsidR="005364F8">
        <w:rPr>
          <w:sz w:val="22"/>
        </w:rPr>
        <w:t>Tablas 2, 3, 4,</w:t>
      </w:r>
      <w:r w:rsidR="00F34F29">
        <w:rPr>
          <w:sz w:val="22"/>
        </w:rPr>
        <w:t xml:space="preserve"> 5</w:t>
      </w:r>
      <w:r w:rsidR="005364F8">
        <w:rPr>
          <w:sz w:val="22"/>
        </w:rPr>
        <w:t xml:space="preserve"> y 6</w:t>
      </w:r>
      <w:r>
        <w:rPr>
          <w:sz w:val="22"/>
        </w:rPr>
        <w:t xml:space="preserve"> </w:t>
      </w:r>
      <w:r w:rsidR="005364F8">
        <w:rPr>
          <w:sz w:val="22"/>
        </w:rPr>
        <w:t xml:space="preserve">y, </w:t>
      </w:r>
      <w:r w:rsidR="006B7672">
        <w:rPr>
          <w:sz w:val="22"/>
        </w:rPr>
        <w:t xml:space="preserve">que, en particular, se ha logrado que emergieran los procesos de la </w:t>
      </w:r>
      <w:r w:rsidR="006B7672" w:rsidRPr="00F34F29">
        <w:rPr>
          <w:sz w:val="22"/>
        </w:rPr>
        <w:t xml:space="preserve">Tabla </w:t>
      </w:r>
      <w:r w:rsidR="00F34F29">
        <w:rPr>
          <w:sz w:val="22"/>
        </w:rPr>
        <w:t>1</w:t>
      </w:r>
      <w:r w:rsidR="006B7672">
        <w:rPr>
          <w:sz w:val="22"/>
        </w:rPr>
        <w:t>, siendo la resolución de problemas el motor del proceso de enseñanza y aprendizaje</w:t>
      </w:r>
      <w:r w:rsidR="00B12F00">
        <w:rPr>
          <w:sz w:val="22"/>
        </w:rPr>
        <w:t>,</w:t>
      </w:r>
      <w:r w:rsidR="0040774F">
        <w:rPr>
          <w:sz w:val="22"/>
        </w:rPr>
        <w:t xml:space="preserve"> valoramos como </w:t>
      </w:r>
      <w:r w:rsidR="00672658">
        <w:rPr>
          <w:sz w:val="22"/>
        </w:rPr>
        <w:t>alto el</w:t>
      </w:r>
      <w:r w:rsidR="006B7672">
        <w:rPr>
          <w:sz w:val="22"/>
        </w:rPr>
        <w:t xml:space="preserve"> grado de idoneidad epistémica.</w:t>
      </w:r>
    </w:p>
    <w:p w14:paraId="39756CA1" w14:textId="237AEFF8" w:rsidR="006B7672" w:rsidRDefault="006B7672" w:rsidP="00C053D5">
      <w:pPr>
        <w:spacing w:after="0" w:line="360" w:lineRule="auto"/>
        <w:jc w:val="both"/>
        <w:rPr>
          <w:sz w:val="22"/>
        </w:rPr>
      </w:pPr>
      <w:r>
        <w:rPr>
          <w:sz w:val="22"/>
        </w:rPr>
        <w:t xml:space="preserve">De acuerdo con los resultados obtenidos, </w:t>
      </w:r>
      <w:r w:rsidR="00A06166">
        <w:rPr>
          <w:sz w:val="22"/>
        </w:rPr>
        <w:t>gran parte</w:t>
      </w:r>
      <w:r>
        <w:rPr>
          <w:sz w:val="22"/>
        </w:rPr>
        <w:t xml:space="preserve"> de los estudiantes ha demostrado entender la mayoría de las nociones espaciales y ha sabido representar las órdenes correctamente. Asimismo, la </w:t>
      </w:r>
      <w:r w:rsidR="00CE4E94">
        <w:rPr>
          <w:sz w:val="22"/>
        </w:rPr>
        <w:t>experimentación</w:t>
      </w:r>
      <w:r>
        <w:rPr>
          <w:sz w:val="22"/>
        </w:rPr>
        <w:t xml:space="preserve"> con la Blue-</w:t>
      </w:r>
      <w:proofErr w:type="spellStart"/>
      <w:r>
        <w:rPr>
          <w:sz w:val="22"/>
        </w:rPr>
        <w:t>Bot</w:t>
      </w:r>
      <w:proofErr w:type="spellEnd"/>
      <w:r>
        <w:rPr>
          <w:sz w:val="22"/>
        </w:rPr>
        <w:t xml:space="preserve"> ha ofrecido la posibilidad de trabajar a partir del ensayo-error (</w:t>
      </w:r>
      <w:proofErr w:type="gramStart"/>
      <w:r>
        <w:rPr>
          <w:sz w:val="22"/>
        </w:rPr>
        <w:t>Gallego</w:t>
      </w:r>
      <w:proofErr w:type="gramEnd"/>
      <w:r>
        <w:rPr>
          <w:sz w:val="22"/>
        </w:rPr>
        <w:t>, 2010), lo que ha favorecido el desarrollo de la autonomía</w:t>
      </w:r>
      <w:r w:rsidR="00F83390">
        <w:rPr>
          <w:sz w:val="22"/>
        </w:rPr>
        <w:t xml:space="preserve"> cognitiva de los niños. Además, se ha visto que, la experiencia, permite que </w:t>
      </w:r>
      <w:r w:rsidR="00A06166">
        <w:rPr>
          <w:sz w:val="22"/>
        </w:rPr>
        <w:t>éstos</w:t>
      </w:r>
      <w:r w:rsidR="00F83390">
        <w:rPr>
          <w:sz w:val="22"/>
        </w:rPr>
        <w:t xml:space="preserve"> se hagan preguntas, hagan predicciones y las comprueben. Por tanto, la idoneidad cognitiva es</w:t>
      </w:r>
      <w:r w:rsidR="00A06166">
        <w:rPr>
          <w:sz w:val="22"/>
        </w:rPr>
        <w:t xml:space="preserve"> </w:t>
      </w:r>
      <w:r w:rsidR="00F83390">
        <w:rPr>
          <w:sz w:val="22"/>
        </w:rPr>
        <w:t>adecuada.</w:t>
      </w:r>
    </w:p>
    <w:p w14:paraId="68D5356D" w14:textId="5816815B" w:rsidR="00D84E22" w:rsidRDefault="00D84E22" w:rsidP="00C053D5">
      <w:pPr>
        <w:spacing w:after="0" w:line="360" w:lineRule="auto"/>
        <w:jc w:val="both"/>
        <w:rPr>
          <w:sz w:val="22"/>
        </w:rPr>
      </w:pPr>
      <w:r>
        <w:rPr>
          <w:sz w:val="22"/>
        </w:rPr>
        <w:t>En cuanto a la idoneidad afectiva, el uso de las Blue-</w:t>
      </w:r>
      <w:proofErr w:type="spellStart"/>
      <w:r>
        <w:rPr>
          <w:sz w:val="22"/>
        </w:rPr>
        <w:t>Bots</w:t>
      </w:r>
      <w:proofErr w:type="spellEnd"/>
      <w:r>
        <w:rPr>
          <w:sz w:val="22"/>
        </w:rPr>
        <w:t xml:space="preserve"> ha incrementado la motivación de los estudiantes ante un proceso de enseñanza y aprendizaje dentro del aula, así como su predisposición en resolver situaciones nuevas. Esta </w:t>
      </w:r>
      <w:r w:rsidR="00A06166">
        <w:rPr>
          <w:sz w:val="22"/>
        </w:rPr>
        <w:t>práctica</w:t>
      </w:r>
      <w:r>
        <w:rPr>
          <w:sz w:val="22"/>
        </w:rPr>
        <w:t xml:space="preserve"> ha contribuido a </w:t>
      </w:r>
      <w:r w:rsidR="00C722A1">
        <w:rPr>
          <w:sz w:val="22"/>
        </w:rPr>
        <w:t>que</w:t>
      </w:r>
      <w:r>
        <w:rPr>
          <w:sz w:val="22"/>
        </w:rPr>
        <w:t xml:space="preserve"> aprendan a “gestionar su propio conocimiento, las habilidades y sus emociones para conseguir un objetivo a menudo más cercano a situaciones funcionales en contextos de vida cotidiana que a su uso académico” (Alsina, 2012, p.6), ya que las actividades planteadas de orientación espacial conectan, claramente, con su vida fuera del aula. Por tanto, la idoneidad afectiva </w:t>
      </w:r>
      <w:r w:rsidR="00B12F00">
        <w:rPr>
          <w:sz w:val="22"/>
        </w:rPr>
        <w:t>también es adecuada</w:t>
      </w:r>
      <w:r>
        <w:rPr>
          <w:sz w:val="22"/>
        </w:rPr>
        <w:t>.</w:t>
      </w:r>
    </w:p>
    <w:p w14:paraId="566F87BD" w14:textId="63D68986" w:rsidR="00F83390" w:rsidRDefault="00D84E22" w:rsidP="00C053D5">
      <w:pPr>
        <w:spacing w:after="0" w:line="360" w:lineRule="auto"/>
        <w:jc w:val="both"/>
        <w:rPr>
          <w:sz w:val="22"/>
        </w:rPr>
      </w:pPr>
      <w:r>
        <w:rPr>
          <w:sz w:val="22"/>
        </w:rPr>
        <w:t xml:space="preserve">Hay dos aspectos que hacen que el grado de idoneidad </w:t>
      </w:r>
      <w:proofErr w:type="spellStart"/>
      <w:r>
        <w:rPr>
          <w:sz w:val="22"/>
        </w:rPr>
        <w:t>interaccional</w:t>
      </w:r>
      <w:proofErr w:type="spellEnd"/>
      <w:r>
        <w:rPr>
          <w:sz w:val="22"/>
        </w:rPr>
        <w:t xml:space="preserve"> sea </w:t>
      </w:r>
      <w:r w:rsidR="00A06166">
        <w:rPr>
          <w:sz w:val="22"/>
        </w:rPr>
        <w:t>también elevado</w:t>
      </w:r>
      <w:r>
        <w:rPr>
          <w:sz w:val="22"/>
        </w:rPr>
        <w:t xml:space="preserve">: el primero, son las preguntas planteadas por el adulto o las aportaciones de los compañeros, pues les permite darse cuenta de dónde se han equivocado o buscar nuevas estrategias para resolver retos. Todo ello favorece la autorregulación de su propio aprendizaje y, en definitiva, hace que la evaluación sea más que formativa: formadora. El otro aspecto </w:t>
      </w:r>
      <w:r w:rsidR="0030054F">
        <w:rPr>
          <w:sz w:val="22"/>
        </w:rPr>
        <w:t xml:space="preserve">que enriquece tal idoneidad son las preguntas del docente, que se consideran buenas preguntas porque las respuestas, que pueden ser varias, requieren argumentación y contribuyen al aprendizaje de todos (Sullivan </w:t>
      </w:r>
      <w:r w:rsidR="00325B74">
        <w:rPr>
          <w:sz w:val="22"/>
        </w:rPr>
        <w:t>&amp;</w:t>
      </w:r>
      <w:r w:rsidR="0030054F">
        <w:rPr>
          <w:sz w:val="22"/>
        </w:rPr>
        <w:t xml:space="preserve"> </w:t>
      </w:r>
      <w:proofErr w:type="spellStart"/>
      <w:r w:rsidR="0030054F">
        <w:rPr>
          <w:sz w:val="22"/>
        </w:rPr>
        <w:t>Lilburn</w:t>
      </w:r>
      <w:proofErr w:type="spellEnd"/>
      <w:r w:rsidR="0030054F">
        <w:rPr>
          <w:sz w:val="22"/>
        </w:rPr>
        <w:t>, 2002).</w:t>
      </w:r>
    </w:p>
    <w:p w14:paraId="0FB74224" w14:textId="2FD06047" w:rsidR="0030054F" w:rsidRDefault="00B7104B" w:rsidP="00C053D5">
      <w:pPr>
        <w:spacing w:after="0" w:line="360" w:lineRule="auto"/>
        <w:jc w:val="both"/>
        <w:rPr>
          <w:sz w:val="22"/>
        </w:rPr>
      </w:pPr>
      <w:r>
        <w:rPr>
          <w:sz w:val="22"/>
        </w:rPr>
        <w:t>En la línea D</w:t>
      </w:r>
      <w:r w:rsidR="0030054F">
        <w:rPr>
          <w:sz w:val="22"/>
        </w:rPr>
        <w:t>el Mar (2006), la Blue-</w:t>
      </w:r>
      <w:proofErr w:type="spellStart"/>
      <w:r w:rsidR="0030054F">
        <w:rPr>
          <w:sz w:val="22"/>
        </w:rPr>
        <w:t>Bot</w:t>
      </w:r>
      <w:proofErr w:type="spellEnd"/>
      <w:r w:rsidR="0030054F">
        <w:rPr>
          <w:sz w:val="22"/>
        </w:rPr>
        <w:t xml:space="preserve"> es un recurso versátil y estéticamente atractivo que, además, promueve la aparición de distintos lenguajes. Sin embargo, se piensa que 5 o más est</w:t>
      </w:r>
      <w:r w:rsidR="00C85866">
        <w:rPr>
          <w:sz w:val="22"/>
        </w:rPr>
        <w:t>udiantes por robot es demasiado.</w:t>
      </w:r>
      <w:r w:rsidR="0030054F">
        <w:rPr>
          <w:sz w:val="22"/>
        </w:rPr>
        <w:t xml:space="preserve"> </w:t>
      </w:r>
      <w:r w:rsidR="00C85866">
        <w:rPr>
          <w:sz w:val="22"/>
        </w:rPr>
        <w:t>P</w:t>
      </w:r>
      <w:r w:rsidR="009026C5">
        <w:rPr>
          <w:sz w:val="22"/>
        </w:rPr>
        <w:t xml:space="preserve">ara que </w:t>
      </w:r>
      <w:r w:rsidR="009026C5">
        <w:rPr>
          <w:sz w:val="22"/>
        </w:rPr>
        <w:lastRenderedPageBreak/>
        <w:t xml:space="preserve">la idoneidad </w:t>
      </w:r>
      <w:proofErr w:type="spellStart"/>
      <w:r w:rsidR="009026C5">
        <w:rPr>
          <w:sz w:val="22"/>
        </w:rPr>
        <w:t>mediacional</w:t>
      </w:r>
      <w:proofErr w:type="spellEnd"/>
      <w:r w:rsidR="009026C5">
        <w:rPr>
          <w:sz w:val="22"/>
        </w:rPr>
        <w:t xml:space="preserve"> sea alta, </w:t>
      </w:r>
      <w:r w:rsidR="0030054F">
        <w:rPr>
          <w:sz w:val="22"/>
        </w:rPr>
        <w:t>se debe procurar que los niños no se impacienten demasiado al no poder manipular y se debe respetar las necesidades individuales y los ritmos de aprendizaje</w:t>
      </w:r>
      <w:r w:rsidR="00C85866">
        <w:rPr>
          <w:sz w:val="22"/>
        </w:rPr>
        <w:t xml:space="preserve"> en todos los sentidos, incluyendo a aquellos niños </w:t>
      </w:r>
      <w:r w:rsidR="007F467B">
        <w:rPr>
          <w:sz w:val="22"/>
        </w:rPr>
        <w:t>con un aprendizaje más rápido</w:t>
      </w:r>
      <w:r w:rsidR="00C94C58">
        <w:rPr>
          <w:sz w:val="22"/>
        </w:rPr>
        <w:t>, pues no se debe descuidar que pueden caer en el aburrimiento</w:t>
      </w:r>
      <w:r w:rsidR="0099183B">
        <w:rPr>
          <w:sz w:val="22"/>
        </w:rPr>
        <w:t xml:space="preserve"> y </w:t>
      </w:r>
      <w:r w:rsidR="00A06166">
        <w:rPr>
          <w:sz w:val="22"/>
        </w:rPr>
        <w:t>desmotivarse</w:t>
      </w:r>
      <w:r w:rsidR="00C94C58">
        <w:rPr>
          <w:sz w:val="22"/>
        </w:rPr>
        <w:t xml:space="preserve">. </w:t>
      </w:r>
    </w:p>
    <w:p w14:paraId="047128D0" w14:textId="77777777" w:rsidR="00C94C58" w:rsidRDefault="00A06166" w:rsidP="00C053D5">
      <w:pPr>
        <w:spacing w:after="0" w:line="360" w:lineRule="auto"/>
        <w:jc w:val="both"/>
        <w:rPr>
          <w:sz w:val="22"/>
        </w:rPr>
      </w:pPr>
      <w:r>
        <w:rPr>
          <w:sz w:val="22"/>
        </w:rPr>
        <w:t>Por lo que respeta a</w:t>
      </w:r>
      <w:r w:rsidR="00C94C58">
        <w:rPr>
          <w:sz w:val="22"/>
        </w:rPr>
        <w:t>l grado de idoneidad ecológica</w:t>
      </w:r>
      <w:r w:rsidR="002E3978">
        <w:rPr>
          <w:sz w:val="22"/>
        </w:rPr>
        <w:t xml:space="preserve"> es muy </w:t>
      </w:r>
      <w:r>
        <w:rPr>
          <w:sz w:val="22"/>
        </w:rPr>
        <w:t>adecuado</w:t>
      </w:r>
      <w:r w:rsidR="002E3978">
        <w:rPr>
          <w:sz w:val="22"/>
        </w:rPr>
        <w:t xml:space="preserve"> porque se consigue implantar un modelo STEAM de acuerdo con las directrices curriculares y el proyecto de centro, aumentando así las conexiones </w:t>
      </w:r>
      <w:proofErr w:type="spellStart"/>
      <w:r w:rsidR="002E3978">
        <w:rPr>
          <w:sz w:val="22"/>
        </w:rPr>
        <w:t>intra</w:t>
      </w:r>
      <w:proofErr w:type="spellEnd"/>
      <w:r w:rsidR="002E3978">
        <w:rPr>
          <w:sz w:val="22"/>
        </w:rPr>
        <w:t xml:space="preserve"> e inter disciplinares. Asimismo, de acuerdo con </w:t>
      </w:r>
      <w:proofErr w:type="spellStart"/>
      <w:r w:rsidR="002E3978">
        <w:rPr>
          <w:sz w:val="22"/>
        </w:rPr>
        <w:t>Yakman</w:t>
      </w:r>
      <w:proofErr w:type="spellEnd"/>
      <w:r w:rsidR="002E3978">
        <w:rPr>
          <w:sz w:val="22"/>
        </w:rPr>
        <w:t xml:space="preserve"> y Lee (2012), con este modelo y, especialmente, con la Blue-</w:t>
      </w:r>
      <w:proofErr w:type="spellStart"/>
      <w:r w:rsidR="002E3978">
        <w:rPr>
          <w:sz w:val="22"/>
        </w:rPr>
        <w:t>Bot</w:t>
      </w:r>
      <w:proofErr w:type="spellEnd"/>
      <w:r w:rsidR="002E3978">
        <w:rPr>
          <w:sz w:val="22"/>
        </w:rPr>
        <w:t>, se han puesto de manifiesto los valores sociales, sobre todo el respeto, porque los niños deben respetar su turno, esperando; en consecuencia, se trabaja el tiempo, un contenido importante en educación infantil.</w:t>
      </w:r>
    </w:p>
    <w:p w14:paraId="04375CDA" w14:textId="4DC213B5" w:rsidR="004A52AB" w:rsidRDefault="004A52AB" w:rsidP="00C053D5">
      <w:pPr>
        <w:spacing w:after="0" w:line="360" w:lineRule="auto"/>
        <w:jc w:val="both"/>
        <w:rPr>
          <w:sz w:val="22"/>
        </w:rPr>
      </w:pPr>
      <w:r>
        <w:rPr>
          <w:sz w:val="22"/>
        </w:rPr>
        <w:t xml:space="preserve">En definitiva, el grado de idoneidad didáctica de la propuesta implementada es alto </w:t>
      </w:r>
      <w:r w:rsidRPr="00FB6CFE">
        <w:rPr>
          <w:sz w:val="22"/>
        </w:rPr>
        <w:t xml:space="preserve">(Figura </w:t>
      </w:r>
      <w:r w:rsidR="00D318CC">
        <w:rPr>
          <w:sz w:val="22"/>
        </w:rPr>
        <w:t>5</w:t>
      </w:r>
      <w:r w:rsidRPr="00FB6CFE">
        <w:rPr>
          <w:sz w:val="22"/>
        </w:rPr>
        <w:t>)</w:t>
      </w:r>
      <w:r>
        <w:rPr>
          <w:sz w:val="22"/>
        </w:rPr>
        <w:t xml:space="preserve"> para los fines pretendidos. </w:t>
      </w:r>
    </w:p>
    <w:p w14:paraId="27D561EB" w14:textId="2FCA2358" w:rsidR="00FB4309" w:rsidRDefault="007E4429" w:rsidP="00C053D5">
      <w:pPr>
        <w:spacing w:after="0" w:line="360" w:lineRule="auto"/>
        <w:jc w:val="center"/>
        <w:rPr>
          <w:noProof/>
          <w:lang w:val="ca-ES" w:eastAsia="ca-ES"/>
        </w:rPr>
      </w:pPr>
      <w:r>
        <w:rPr>
          <w:noProof/>
          <w:lang w:val="ca-ES" w:eastAsia="ca-ES"/>
        </w:rPr>
        <w:drawing>
          <wp:inline distT="0" distB="0" distL="0" distR="0" wp14:anchorId="78BAA143" wp14:editId="484ABD24">
            <wp:extent cx="3967800" cy="2590800"/>
            <wp:effectExtent l="19050" t="19050" r="1397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 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72067" cy="2593586"/>
                    </a:xfrm>
                    <a:prstGeom prst="rect">
                      <a:avLst/>
                    </a:prstGeom>
                    <a:ln w="3175">
                      <a:solidFill>
                        <a:schemeClr val="tx1"/>
                      </a:solidFill>
                    </a:ln>
                  </pic:spPr>
                </pic:pic>
              </a:graphicData>
            </a:graphic>
          </wp:inline>
        </w:drawing>
      </w:r>
    </w:p>
    <w:p w14:paraId="58757338" w14:textId="216D4329" w:rsidR="004A52AB" w:rsidRDefault="00FB6CFE" w:rsidP="00A35852">
      <w:pPr>
        <w:spacing w:after="0" w:line="360" w:lineRule="auto"/>
        <w:jc w:val="center"/>
        <w:rPr>
          <w:sz w:val="22"/>
        </w:rPr>
      </w:pPr>
      <w:r w:rsidRPr="008B317A">
        <w:rPr>
          <w:szCs w:val="18"/>
        </w:rPr>
        <w:t xml:space="preserve">Figura </w:t>
      </w:r>
      <w:r w:rsidR="00D318CC">
        <w:rPr>
          <w:szCs w:val="18"/>
        </w:rPr>
        <w:t>5</w:t>
      </w:r>
      <w:r w:rsidRPr="008B317A">
        <w:rPr>
          <w:szCs w:val="18"/>
        </w:rPr>
        <w:t>. Hexágono de la idoneidad didáctica de la propuesta innovadora</w:t>
      </w:r>
      <w:r>
        <w:rPr>
          <w:szCs w:val="18"/>
        </w:rPr>
        <w:t xml:space="preserve">. Fuente: Elaboración propia a partir de las aportaciones de </w:t>
      </w:r>
      <w:proofErr w:type="spellStart"/>
      <w:r w:rsidR="00E87F58">
        <w:rPr>
          <w:szCs w:val="18"/>
        </w:rPr>
        <w:t>Godino</w:t>
      </w:r>
      <w:proofErr w:type="spellEnd"/>
      <w:r w:rsidR="00E87F58">
        <w:rPr>
          <w:szCs w:val="18"/>
        </w:rPr>
        <w:t xml:space="preserve"> (2013).</w:t>
      </w:r>
    </w:p>
    <w:p w14:paraId="2CD209AE" w14:textId="2677CA7F" w:rsidR="00F83390" w:rsidRPr="00D51E44" w:rsidRDefault="003D4F9D" w:rsidP="00C053D5">
      <w:pPr>
        <w:pStyle w:val="APARTADOPRINCIPAL"/>
        <w:rPr>
          <w:lang w:val="es-ES"/>
        </w:rPr>
      </w:pPr>
      <w:r>
        <w:rPr>
          <w:lang w:val="es-ES"/>
        </w:rPr>
        <w:t>4</w:t>
      </w:r>
      <w:r w:rsidR="00F83390" w:rsidRPr="00D51E44">
        <w:rPr>
          <w:lang w:val="es-ES"/>
        </w:rPr>
        <w:t>. CONCLUSIONES</w:t>
      </w:r>
    </w:p>
    <w:p w14:paraId="10CA25FD" w14:textId="3667DA97" w:rsidR="003566DC" w:rsidRDefault="008E00C4" w:rsidP="00C053D5">
      <w:pPr>
        <w:spacing w:after="0" w:line="360" w:lineRule="auto"/>
        <w:jc w:val="both"/>
        <w:rPr>
          <w:sz w:val="22"/>
        </w:rPr>
      </w:pPr>
      <w:r>
        <w:rPr>
          <w:sz w:val="22"/>
        </w:rPr>
        <w:t xml:space="preserve">La valoración de las idoneidades parciales nos lleva a </w:t>
      </w:r>
      <w:r w:rsidR="000C1A8E">
        <w:rPr>
          <w:sz w:val="22"/>
        </w:rPr>
        <w:t>las siguientes</w:t>
      </w:r>
      <w:r>
        <w:rPr>
          <w:sz w:val="22"/>
        </w:rPr>
        <w:t xml:space="preserve"> conclusiones </w:t>
      </w:r>
      <w:r w:rsidR="00F8530C">
        <w:rPr>
          <w:sz w:val="22"/>
        </w:rPr>
        <w:t xml:space="preserve">(Figura </w:t>
      </w:r>
      <w:r w:rsidR="00D318CC">
        <w:rPr>
          <w:sz w:val="22"/>
        </w:rPr>
        <w:t>6</w:t>
      </w:r>
      <w:r w:rsidR="00F8530C">
        <w:rPr>
          <w:sz w:val="22"/>
        </w:rPr>
        <w:t xml:space="preserve">) </w:t>
      </w:r>
      <w:r>
        <w:rPr>
          <w:sz w:val="22"/>
        </w:rPr>
        <w:t>del estudio: la primera, se debe a la interacción entre las facetas epistémica-ecológica-</w:t>
      </w:r>
      <w:proofErr w:type="spellStart"/>
      <w:r>
        <w:rPr>
          <w:sz w:val="22"/>
        </w:rPr>
        <w:t>mediacional</w:t>
      </w:r>
      <w:proofErr w:type="spellEnd"/>
      <w:r>
        <w:rPr>
          <w:sz w:val="22"/>
        </w:rPr>
        <w:t xml:space="preserve"> y es que la práctica realizada con los robots sociales permite la implantación de un modelo educativo STEAM con facilidad en un contexto escolar de alta complejidad y tradicional.</w:t>
      </w:r>
    </w:p>
    <w:p w14:paraId="36202338" w14:textId="3A24F270" w:rsidR="008E00C4" w:rsidRDefault="00821231" w:rsidP="00C053D5">
      <w:pPr>
        <w:spacing w:after="0" w:line="360" w:lineRule="auto"/>
        <w:jc w:val="both"/>
        <w:rPr>
          <w:sz w:val="22"/>
        </w:rPr>
      </w:pPr>
      <w:r>
        <w:rPr>
          <w:sz w:val="22"/>
        </w:rPr>
        <w:lastRenderedPageBreak/>
        <w:t xml:space="preserve">La segunda conclusión nace de la relación entre las facetas </w:t>
      </w:r>
      <w:proofErr w:type="spellStart"/>
      <w:r>
        <w:rPr>
          <w:sz w:val="22"/>
        </w:rPr>
        <w:t>mediacional</w:t>
      </w:r>
      <w:proofErr w:type="spellEnd"/>
      <w:r>
        <w:rPr>
          <w:sz w:val="22"/>
        </w:rPr>
        <w:t xml:space="preserve">, afectiva y cognitiva. </w:t>
      </w:r>
      <w:r w:rsidR="008E00C4">
        <w:rPr>
          <w:sz w:val="22"/>
        </w:rPr>
        <w:t>De acuerdo con Bazán y Aparicio (2006), las actitudes son aspectos importantes de la educación, ya que, ante un proceso de enseñanza y aprendizaje, los estudiantes pueden tener una reacción positiva o negativa que se puede reproducir y convertirse en una actitud que influirá en el ámbito cognitivo del niño. En efecto, el uso de las Blue-</w:t>
      </w:r>
      <w:proofErr w:type="spellStart"/>
      <w:r w:rsidR="008E00C4">
        <w:rPr>
          <w:sz w:val="22"/>
        </w:rPr>
        <w:t>Bots</w:t>
      </w:r>
      <w:proofErr w:type="spellEnd"/>
      <w:r w:rsidR="008E00C4">
        <w:rPr>
          <w:sz w:val="22"/>
        </w:rPr>
        <w:t xml:space="preserve"> motiva a los estudiantes y hace que éstos adopten </w:t>
      </w:r>
      <w:r w:rsidR="00CE0357">
        <w:rPr>
          <w:sz w:val="22"/>
        </w:rPr>
        <w:t>actitudes claves para el desarrollo del pensamiento computacional, como la</w:t>
      </w:r>
      <w:r w:rsidR="008E00C4">
        <w:rPr>
          <w:sz w:val="22"/>
        </w:rPr>
        <w:t xml:space="preserve"> perseverancia y </w:t>
      </w:r>
      <w:r w:rsidR="00CE0357">
        <w:rPr>
          <w:sz w:val="22"/>
        </w:rPr>
        <w:t xml:space="preserve">el </w:t>
      </w:r>
      <w:r w:rsidR="008E00C4">
        <w:rPr>
          <w:sz w:val="22"/>
        </w:rPr>
        <w:t>esfuerzo</w:t>
      </w:r>
      <w:r w:rsidR="00CE0357">
        <w:rPr>
          <w:sz w:val="22"/>
        </w:rPr>
        <w:t xml:space="preserve"> (Alsina &amp; Acosta, 2018)</w:t>
      </w:r>
      <w:r>
        <w:rPr>
          <w:sz w:val="22"/>
        </w:rPr>
        <w:t xml:space="preserve"> y, en consecuencia, aumenten sus aprendizajes.</w:t>
      </w:r>
    </w:p>
    <w:p w14:paraId="09F3D9B0" w14:textId="445BE894" w:rsidR="00821231" w:rsidRDefault="00821231" w:rsidP="00C053D5">
      <w:pPr>
        <w:spacing w:after="0" w:line="360" w:lineRule="auto"/>
        <w:jc w:val="both"/>
        <w:rPr>
          <w:sz w:val="22"/>
        </w:rPr>
      </w:pPr>
      <w:r>
        <w:rPr>
          <w:sz w:val="22"/>
        </w:rPr>
        <w:t xml:space="preserve">La tercera conclusión, promovida por las facetas </w:t>
      </w:r>
      <w:proofErr w:type="spellStart"/>
      <w:r>
        <w:rPr>
          <w:sz w:val="22"/>
        </w:rPr>
        <w:t>mediacional</w:t>
      </w:r>
      <w:proofErr w:type="spellEnd"/>
      <w:r>
        <w:rPr>
          <w:sz w:val="22"/>
        </w:rPr>
        <w:t>, afectiva, cognitiva y epistémica, es que el carácter motivador y atractivo del robot social y la ventaja que ofrece de trabajar a partir del ensayo-error, junto con la metodología de aula seguida, ayudan a desarrollar los procesos matemáticos ya en educación infantil; de hecho, se amplía y matiza la línea observada por Gallego (2010) ya que, en concreto, se fomenta la resolución de problemas, la comunicación matemática, el razonamiento matemático, el diseño de estrategias, la toma de decisiones y una buena actitud de investigación. Por tanto, se contribuye</w:t>
      </w:r>
      <w:r w:rsidR="007054BC">
        <w:rPr>
          <w:sz w:val="22"/>
        </w:rPr>
        <w:t>,</w:t>
      </w:r>
      <w:r>
        <w:rPr>
          <w:sz w:val="22"/>
        </w:rPr>
        <w:t xml:space="preserve"> </w:t>
      </w:r>
      <w:r w:rsidR="007054BC">
        <w:rPr>
          <w:sz w:val="22"/>
        </w:rPr>
        <w:t>en particular,</w:t>
      </w:r>
      <w:r>
        <w:rPr>
          <w:sz w:val="22"/>
        </w:rPr>
        <w:t xml:space="preserve"> al desarrollo de la competencia matem</w:t>
      </w:r>
      <w:r w:rsidR="007054BC">
        <w:rPr>
          <w:sz w:val="22"/>
        </w:rPr>
        <w:t xml:space="preserve">ática y </w:t>
      </w:r>
      <w:r>
        <w:rPr>
          <w:sz w:val="22"/>
        </w:rPr>
        <w:t>a las competencias del siglo XXI</w:t>
      </w:r>
      <w:r w:rsidR="007054BC">
        <w:rPr>
          <w:sz w:val="22"/>
        </w:rPr>
        <w:t>.</w:t>
      </w:r>
    </w:p>
    <w:p w14:paraId="6AF2ED35" w14:textId="2EB13493" w:rsidR="000C1A8E" w:rsidRDefault="000C1A8E" w:rsidP="00C053D5">
      <w:pPr>
        <w:spacing w:after="0" w:line="360" w:lineRule="auto"/>
        <w:jc w:val="both"/>
        <w:rPr>
          <w:sz w:val="22"/>
        </w:rPr>
      </w:pPr>
      <w:r>
        <w:rPr>
          <w:sz w:val="22"/>
        </w:rPr>
        <w:t>Finalmente, destacamos los siguientes aspectos: contemplar distintos modos de expresión (verbal, manipulativa y gráfica) permite hacer una evaluación de los aprendizajes de nuestros alumnos más profunda y real. Asimismo, es importante que el profesor interfiera oportunamente y sepa hacer buenas</w:t>
      </w:r>
      <w:r w:rsidR="00496295">
        <w:rPr>
          <w:sz w:val="22"/>
        </w:rPr>
        <w:t xml:space="preserve"> preguntas ante la dificultad, el error o </w:t>
      </w:r>
      <w:r>
        <w:rPr>
          <w:sz w:val="22"/>
        </w:rPr>
        <w:t>el éxito, para que haya autorregulación del aprendizaje y conseguir así una evaluación formadora, pues “constituye el motor de todo el proceso de construcción de conocimiento” (</w:t>
      </w:r>
      <w:proofErr w:type="spellStart"/>
      <w:r>
        <w:rPr>
          <w:sz w:val="22"/>
        </w:rPr>
        <w:t>Sanmartí</w:t>
      </w:r>
      <w:proofErr w:type="spellEnd"/>
      <w:r>
        <w:rPr>
          <w:sz w:val="22"/>
        </w:rPr>
        <w:t xml:space="preserve">, 2007, p.23). </w:t>
      </w:r>
      <w:r w:rsidR="002F0512">
        <w:rPr>
          <w:sz w:val="22"/>
        </w:rPr>
        <w:t>En segundo lugar, destacamos que el uso de la Blue-</w:t>
      </w:r>
      <w:proofErr w:type="spellStart"/>
      <w:r w:rsidR="002F0512">
        <w:rPr>
          <w:sz w:val="22"/>
        </w:rPr>
        <w:t>Bot</w:t>
      </w:r>
      <w:proofErr w:type="spellEnd"/>
      <w:r w:rsidR="002F0512">
        <w:rPr>
          <w:sz w:val="22"/>
        </w:rPr>
        <w:t xml:space="preserve"> contribuye notablemente a la adquisición de la transformación </w:t>
      </w:r>
      <w:r w:rsidR="002E6AFF">
        <w:rPr>
          <w:sz w:val="22"/>
        </w:rPr>
        <w:t>geo</w:t>
      </w:r>
      <w:r w:rsidR="002F0512">
        <w:rPr>
          <w:sz w:val="22"/>
        </w:rPr>
        <w:t>métrica del giro, en particular, a que los estudiantes de infantil entiendan que el giro no necesariamente tiene que ser completo. P</w:t>
      </w:r>
      <w:r>
        <w:rPr>
          <w:sz w:val="22"/>
        </w:rPr>
        <w:t xml:space="preserve">or último, creemos que la propuesta didáctica diseñada puede servir de modelo para maestros de educación infantil, siendo la trayectoria de aprendizaje vivencial-manipulativa-papel y, </w:t>
      </w:r>
      <w:r w:rsidR="0040774F">
        <w:rPr>
          <w:sz w:val="22"/>
        </w:rPr>
        <w:t xml:space="preserve">el tapete </w:t>
      </w:r>
      <w:r>
        <w:rPr>
          <w:sz w:val="22"/>
        </w:rPr>
        <w:t xml:space="preserve">que permita ejecutar un camino realizado vivencialmente, elementos fundamentales e indispensables. </w:t>
      </w:r>
    </w:p>
    <w:p w14:paraId="42B50B5E" w14:textId="4F3F47EA" w:rsidR="004E66B9" w:rsidRDefault="004E66B9" w:rsidP="004E66B9">
      <w:pPr>
        <w:spacing w:after="0" w:line="360" w:lineRule="auto"/>
        <w:jc w:val="center"/>
        <w:rPr>
          <w:sz w:val="22"/>
        </w:rPr>
      </w:pPr>
      <w:r>
        <w:rPr>
          <w:noProof/>
          <w:sz w:val="22"/>
          <w:lang w:val="ca-ES" w:eastAsia="ca-ES"/>
        </w:rPr>
        <w:lastRenderedPageBreak/>
        <w:drawing>
          <wp:inline distT="0" distB="0" distL="0" distR="0" wp14:anchorId="37D5010E" wp14:editId="01965194">
            <wp:extent cx="4400550" cy="2332747"/>
            <wp:effectExtent l="19050" t="19050" r="19050" b="107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 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09082" cy="2337270"/>
                    </a:xfrm>
                    <a:prstGeom prst="rect">
                      <a:avLst/>
                    </a:prstGeom>
                    <a:ln w="3175">
                      <a:solidFill>
                        <a:schemeClr val="tx1"/>
                      </a:solidFill>
                    </a:ln>
                  </pic:spPr>
                </pic:pic>
              </a:graphicData>
            </a:graphic>
          </wp:inline>
        </w:drawing>
      </w:r>
    </w:p>
    <w:p w14:paraId="292C7D0B" w14:textId="57F90874" w:rsidR="004E66B9" w:rsidRPr="004E66B9" w:rsidRDefault="004E66B9" w:rsidP="004E66B9">
      <w:pPr>
        <w:spacing w:after="0" w:line="360" w:lineRule="auto"/>
        <w:jc w:val="center"/>
        <w:rPr>
          <w:szCs w:val="18"/>
        </w:rPr>
      </w:pPr>
      <w:r w:rsidRPr="00F8530C">
        <w:rPr>
          <w:szCs w:val="18"/>
        </w:rPr>
        <w:t xml:space="preserve">Figura </w:t>
      </w:r>
      <w:r>
        <w:rPr>
          <w:szCs w:val="18"/>
        </w:rPr>
        <w:t>6</w:t>
      </w:r>
      <w:r w:rsidRPr="00F8530C">
        <w:rPr>
          <w:szCs w:val="18"/>
        </w:rPr>
        <w:t>. Conclusiones</w:t>
      </w:r>
      <w:r>
        <w:rPr>
          <w:szCs w:val="18"/>
        </w:rPr>
        <w:t>. Fuente: Elaboración propia.</w:t>
      </w:r>
    </w:p>
    <w:p w14:paraId="5F3AC158" w14:textId="4848BAA1" w:rsidR="00E501AE" w:rsidRDefault="00E501AE" w:rsidP="00C053D5">
      <w:pPr>
        <w:spacing w:after="0" w:line="360" w:lineRule="auto"/>
        <w:jc w:val="both"/>
        <w:rPr>
          <w:sz w:val="22"/>
        </w:rPr>
      </w:pPr>
      <w:r>
        <w:rPr>
          <w:sz w:val="22"/>
        </w:rPr>
        <w:t>En trabajos futuros pretendemos focalizar en aspectos de cada idoneidad que pensamos que pueden facilitar a los docentes de infantil la implementación de la trayectoria didáctica de esta investigación, así como seguir explorando nuevos diseños con otros contenidos matemáticos mediados por la robótica.</w:t>
      </w:r>
    </w:p>
    <w:p w14:paraId="0CF66264" w14:textId="01AAE62E" w:rsidR="00AF3498" w:rsidRPr="00D51E44" w:rsidRDefault="00AF3498" w:rsidP="00F724E1">
      <w:pPr>
        <w:pStyle w:val="APARTADOPRINCIPAL"/>
        <w:rPr>
          <w:lang w:val="es-ES"/>
        </w:rPr>
      </w:pPr>
      <w:r w:rsidRPr="00D51E44">
        <w:rPr>
          <w:lang w:val="es-ES"/>
        </w:rPr>
        <w:t>REFERENCIAS</w:t>
      </w:r>
      <w:r w:rsidR="0027749E" w:rsidRPr="00D51E44">
        <w:rPr>
          <w:lang w:val="es-ES"/>
        </w:rPr>
        <w:t xml:space="preserve"> </w:t>
      </w:r>
    </w:p>
    <w:p w14:paraId="63295EA2" w14:textId="4EA2A911" w:rsidR="00C96613" w:rsidRDefault="008E1FFF" w:rsidP="00C96613">
      <w:pPr>
        <w:pStyle w:val="Ttulo"/>
        <w:pBdr>
          <w:bottom w:val="none" w:sz="0" w:space="0" w:color="auto"/>
        </w:pBdr>
        <w:spacing w:after="0"/>
        <w:ind w:left="709" w:hanging="709"/>
        <w:jc w:val="both"/>
      </w:pPr>
      <w:r>
        <w:t>ALSINA, À</w:t>
      </w:r>
      <w:r w:rsidR="00EE16A8">
        <w:t xml:space="preserve">. (2012). </w:t>
      </w:r>
      <w:r w:rsidR="003A0BFF">
        <w:t xml:space="preserve">Más allá de los contenidos, los procesos matemáticos en educación Infantil. </w:t>
      </w:r>
      <w:proofErr w:type="spellStart"/>
      <w:r w:rsidR="002E6AFF">
        <w:rPr>
          <w:i/>
        </w:rPr>
        <w:t>Edma</w:t>
      </w:r>
      <w:proofErr w:type="spellEnd"/>
      <w:r w:rsidR="002E6AFF">
        <w:rPr>
          <w:i/>
        </w:rPr>
        <w:t xml:space="preserve"> 0</w:t>
      </w:r>
      <w:r w:rsidR="003A0BFF" w:rsidRPr="003A0BFF">
        <w:rPr>
          <w:i/>
        </w:rPr>
        <w:t>-6: Educación Matemática en la Infancia. 1</w:t>
      </w:r>
      <w:r w:rsidR="003A0BFF">
        <w:t>(1), 1-14.</w:t>
      </w:r>
      <w:r w:rsidR="00C96613">
        <w:t xml:space="preserve"> </w:t>
      </w:r>
    </w:p>
    <w:p w14:paraId="702944C2" w14:textId="742DA629" w:rsidR="007A610F" w:rsidRDefault="007A610F" w:rsidP="00C96613">
      <w:pPr>
        <w:spacing w:after="0" w:line="360" w:lineRule="auto"/>
        <w:ind w:left="709" w:hanging="709"/>
        <w:jc w:val="both"/>
        <w:rPr>
          <w:sz w:val="22"/>
        </w:rPr>
      </w:pPr>
      <w:r>
        <w:rPr>
          <w:sz w:val="22"/>
        </w:rPr>
        <w:t xml:space="preserve">ALSINA, À. (2014). Procesos matemáticos en Educación Infantil: 50 ideas clave. </w:t>
      </w:r>
      <w:r w:rsidRPr="007A610F">
        <w:rPr>
          <w:i/>
          <w:sz w:val="22"/>
        </w:rPr>
        <w:t>Números: Revista de la Didáctica de las Matemáticas</w:t>
      </w:r>
      <w:r>
        <w:rPr>
          <w:sz w:val="22"/>
        </w:rPr>
        <w:t>. 86, 5-28.</w:t>
      </w:r>
    </w:p>
    <w:p w14:paraId="4520518E" w14:textId="529C229A" w:rsidR="008E1FFF" w:rsidRDefault="008E1FFF" w:rsidP="00C96613">
      <w:pPr>
        <w:spacing w:after="0" w:line="360" w:lineRule="auto"/>
        <w:ind w:left="709" w:hanging="709"/>
        <w:jc w:val="both"/>
        <w:rPr>
          <w:sz w:val="22"/>
        </w:rPr>
      </w:pPr>
      <w:r>
        <w:rPr>
          <w:sz w:val="22"/>
        </w:rPr>
        <w:t xml:space="preserve">ALSINA, À. </w:t>
      </w:r>
      <w:r w:rsidR="009764D3">
        <w:rPr>
          <w:sz w:val="22"/>
        </w:rPr>
        <w:t xml:space="preserve">y </w:t>
      </w:r>
      <w:r>
        <w:rPr>
          <w:sz w:val="22"/>
        </w:rPr>
        <w:t xml:space="preserve">ACOSTA, Y. (2018). Iniciación al álgebra en Educación Infantil a través del pensamiento computacional: una experiencia sobre patrones con robots educativos programables. </w:t>
      </w:r>
      <w:r w:rsidRPr="008E1FFF">
        <w:rPr>
          <w:i/>
          <w:sz w:val="22"/>
        </w:rPr>
        <w:t>Unión: Revista Iberoamericana de Educación Matemática</w:t>
      </w:r>
      <w:r>
        <w:rPr>
          <w:sz w:val="22"/>
        </w:rPr>
        <w:t xml:space="preserve">, </w:t>
      </w:r>
      <w:r w:rsidRPr="008E1FFF">
        <w:rPr>
          <w:i/>
          <w:sz w:val="22"/>
        </w:rPr>
        <w:t>52</w:t>
      </w:r>
      <w:r>
        <w:rPr>
          <w:sz w:val="22"/>
        </w:rPr>
        <w:t xml:space="preserve">, 218-235. </w:t>
      </w:r>
    </w:p>
    <w:p w14:paraId="03E59339" w14:textId="1C397CBB" w:rsidR="00C96613" w:rsidRDefault="00C96613" w:rsidP="00C96613">
      <w:pPr>
        <w:spacing w:after="0" w:line="360" w:lineRule="auto"/>
        <w:ind w:left="709" w:hanging="709"/>
        <w:jc w:val="both"/>
        <w:rPr>
          <w:sz w:val="22"/>
        </w:rPr>
      </w:pPr>
      <w:r>
        <w:rPr>
          <w:sz w:val="22"/>
        </w:rPr>
        <w:t xml:space="preserve">ANTÓN, Á. y GÓMEZ, M. (2016). La geometría a través del arte en Educación Infantil. </w:t>
      </w:r>
      <w:r w:rsidRPr="00C96613">
        <w:rPr>
          <w:i/>
          <w:sz w:val="22"/>
        </w:rPr>
        <w:t xml:space="preserve">Enseñanza &amp; </w:t>
      </w:r>
      <w:proofErr w:type="spellStart"/>
      <w:r w:rsidRPr="00C96613">
        <w:rPr>
          <w:i/>
          <w:sz w:val="22"/>
        </w:rPr>
        <w:t>Teaching</w:t>
      </w:r>
      <w:proofErr w:type="spellEnd"/>
      <w:r>
        <w:rPr>
          <w:sz w:val="22"/>
        </w:rPr>
        <w:t xml:space="preserve">, </w:t>
      </w:r>
      <w:r w:rsidRPr="008E1FFF">
        <w:rPr>
          <w:i/>
          <w:sz w:val="22"/>
        </w:rPr>
        <w:t>34</w:t>
      </w:r>
      <w:r>
        <w:rPr>
          <w:sz w:val="22"/>
        </w:rPr>
        <w:t>(1), 93-117</w:t>
      </w:r>
      <w:r w:rsidR="00746AC2">
        <w:rPr>
          <w:sz w:val="22"/>
        </w:rPr>
        <w:t>.</w:t>
      </w:r>
    </w:p>
    <w:p w14:paraId="194DB4FF" w14:textId="77777777" w:rsidR="00C96613" w:rsidRDefault="00C96613" w:rsidP="00C96613">
      <w:pPr>
        <w:spacing w:after="0" w:line="360" w:lineRule="auto"/>
        <w:ind w:left="709" w:hanging="709"/>
        <w:jc w:val="both"/>
        <w:rPr>
          <w:sz w:val="22"/>
        </w:rPr>
      </w:pPr>
      <w:r>
        <w:rPr>
          <w:sz w:val="22"/>
        </w:rPr>
        <w:t xml:space="preserve">ARNAIZ, V. (2005). </w:t>
      </w:r>
      <w:proofErr w:type="spellStart"/>
      <w:r w:rsidRPr="00C96613">
        <w:rPr>
          <w:i/>
          <w:sz w:val="22"/>
        </w:rPr>
        <w:t>Jugant</w:t>
      </w:r>
      <w:proofErr w:type="spellEnd"/>
      <w:r w:rsidRPr="00C96613">
        <w:rPr>
          <w:i/>
          <w:sz w:val="22"/>
        </w:rPr>
        <w:t xml:space="preserve">, </w:t>
      </w:r>
      <w:proofErr w:type="spellStart"/>
      <w:r w:rsidRPr="00C96613">
        <w:rPr>
          <w:i/>
          <w:sz w:val="22"/>
        </w:rPr>
        <w:t>jugant</w:t>
      </w:r>
      <w:proofErr w:type="spellEnd"/>
      <w:r w:rsidRPr="00C96613">
        <w:rPr>
          <w:i/>
          <w:sz w:val="22"/>
        </w:rPr>
        <w:t>…</w:t>
      </w:r>
      <w:proofErr w:type="spellStart"/>
      <w:r w:rsidRPr="00C96613">
        <w:rPr>
          <w:i/>
          <w:sz w:val="22"/>
        </w:rPr>
        <w:t>L’ofici</w:t>
      </w:r>
      <w:proofErr w:type="spellEnd"/>
      <w:r w:rsidRPr="00C96613">
        <w:rPr>
          <w:i/>
          <w:sz w:val="22"/>
        </w:rPr>
        <w:t xml:space="preserve"> de </w:t>
      </w:r>
      <w:proofErr w:type="spellStart"/>
      <w:r w:rsidRPr="00C96613">
        <w:rPr>
          <w:i/>
          <w:sz w:val="22"/>
        </w:rPr>
        <w:t>créixer</w:t>
      </w:r>
      <w:proofErr w:type="spellEnd"/>
      <w:r>
        <w:rPr>
          <w:sz w:val="22"/>
        </w:rPr>
        <w:t xml:space="preserve">. Barcelona: </w:t>
      </w:r>
      <w:proofErr w:type="spellStart"/>
      <w:r>
        <w:rPr>
          <w:sz w:val="22"/>
        </w:rPr>
        <w:t>Graó</w:t>
      </w:r>
      <w:proofErr w:type="spellEnd"/>
      <w:r>
        <w:rPr>
          <w:sz w:val="22"/>
        </w:rPr>
        <w:t>.</w:t>
      </w:r>
    </w:p>
    <w:p w14:paraId="5956D8D4" w14:textId="1B297A7B" w:rsidR="00264799" w:rsidRDefault="005F57D1" w:rsidP="00264799">
      <w:pPr>
        <w:spacing w:after="0" w:line="360" w:lineRule="auto"/>
        <w:ind w:left="709" w:hanging="709"/>
        <w:jc w:val="both"/>
        <w:rPr>
          <w:sz w:val="22"/>
        </w:rPr>
      </w:pPr>
      <w:r>
        <w:rPr>
          <w:sz w:val="22"/>
        </w:rPr>
        <w:t xml:space="preserve">ARTIGUE, M. (2011). </w:t>
      </w:r>
      <w:proofErr w:type="spellStart"/>
      <w:r>
        <w:rPr>
          <w:sz w:val="22"/>
        </w:rPr>
        <w:t>L’in</w:t>
      </w:r>
      <w:r w:rsidR="00264799">
        <w:rPr>
          <w:sz w:val="22"/>
        </w:rPr>
        <w:t>génierie</w:t>
      </w:r>
      <w:proofErr w:type="spellEnd"/>
      <w:r w:rsidR="00264799">
        <w:rPr>
          <w:sz w:val="22"/>
        </w:rPr>
        <w:t xml:space="preserve"> </w:t>
      </w:r>
      <w:proofErr w:type="spellStart"/>
      <w:r w:rsidR="00264799">
        <w:rPr>
          <w:sz w:val="22"/>
        </w:rPr>
        <w:t>didactique</w:t>
      </w:r>
      <w:proofErr w:type="spellEnd"/>
      <w:r w:rsidR="00264799">
        <w:rPr>
          <w:sz w:val="22"/>
        </w:rPr>
        <w:t xml:space="preserve"> </w:t>
      </w:r>
      <w:proofErr w:type="spellStart"/>
      <w:r w:rsidR="00264799">
        <w:rPr>
          <w:sz w:val="22"/>
        </w:rPr>
        <w:t>comme</w:t>
      </w:r>
      <w:proofErr w:type="spellEnd"/>
      <w:r w:rsidR="00264799">
        <w:rPr>
          <w:sz w:val="22"/>
        </w:rPr>
        <w:t xml:space="preserve"> </w:t>
      </w:r>
      <w:proofErr w:type="spellStart"/>
      <w:r w:rsidR="00264799">
        <w:rPr>
          <w:sz w:val="22"/>
        </w:rPr>
        <w:t>thème</w:t>
      </w:r>
      <w:proofErr w:type="spellEnd"/>
      <w:r w:rsidR="00264799">
        <w:rPr>
          <w:sz w:val="22"/>
        </w:rPr>
        <w:t xml:space="preserve"> </w:t>
      </w:r>
      <w:proofErr w:type="spellStart"/>
      <w:r w:rsidR="00264799">
        <w:rPr>
          <w:sz w:val="22"/>
        </w:rPr>
        <w:t>d’étude</w:t>
      </w:r>
      <w:proofErr w:type="spellEnd"/>
      <w:r w:rsidR="00264799">
        <w:rPr>
          <w:sz w:val="22"/>
        </w:rPr>
        <w:t xml:space="preserve">. En C. </w:t>
      </w:r>
      <w:proofErr w:type="spellStart"/>
      <w:r w:rsidR="00264799">
        <w:rPr>
          <w:sz w:val="22"/>
        </w:rPr>
        <w:t>Margolinas</w:t>
      </w:r>
      <w:proofErr w:type="spellEnd"/>
      <w:r w:rsidR="00264799">
        <w:rPr>
          <w:sz w:val="22"/>
        </w:rPr>
        <w:t xml:space="preserve">, M. </w:t>
      </w:r>
      <w:proofErr w:type="spellStart"/>
      <w:r w:rsidR="00264799">
        <w:rPr>
          <w:sz w:val="22"/>
        </w:rPr>
        <w:t>Abboud-Blanchard</w:t>
      </w:r>
      <w:proofErr w:type="spellEnd"/>
      <w:r w:rsidR="00264799">
        <w:rPr>
          <w:sz w:val="22"/>
        </w:rPr>
        <w:t xml:space="preserve">, L. Bueno-Ravel, N. </w:t>
      </w:r>
      <w:proofErr w:type="spellStart"/>
      <w:r w:rsidR="00264799">
        <w:rPr>
          <w:sz w:val="22"/>
        </w:rPr>
        <w:t>Douek</w:t>
      </w:r>
      <w:proofErr w:type="spellEnd"/>
      <w:r w:rsidR="00264799">
        <w:rPr>
          <w:sz w:val="22"/>
        </w:rPr>
        <w:t xml:space="preserve">, A. </w:t>
      </w:r>
      <w:proofErr w:type="spellStart"/>
      <w:r w:rsidR="00264799">
        <w:rPr>
          <w:sz w:val="22"/>
        </w:rPr>
        <w:t>Fluckiger</w:t>
      </w:r>
      <w:proofErr w:type="spellEnd"/>
      <w:r w:rsidR="00264799">
        <w:rPr>
          <w:sz w:val="22"/>
        </w:rPr>
        <w:t xml:space="preserve">, P. </w:t>
      </w:r>
      <w:proofErr w:type="spellStart"/>
      <w:r w:rsidR="00264799">
        <w:rPr>
          <w:sz w:val="22"/>
        </w:rPr>
        <w:t>Gibel</w:t>
      </w:r>
      <w:proofErr w:type="spellEnd"/>
      <w:r w:rsidR="00264799">
        <w:rPr>
          <w:sz w:val="22"/>
        </w:rPr>
        <w:t xml:space="preserve">, F. </w:t>
      </w:r>
      <w:proofErr w:type="spellStart"/>
      <w:r w:rsidR="00264799">
        <w:rPr>
          <w:sz w:val="22"/>
        </w:rPr>
        <w:t>Vandebrouck</w:t>
      </w:r>
      <w:proofErr w:type="spellEnd"/>
      <w:r w:rsidR="00264799">
        <w:rPr>
          <w:sz w:val="22"/>
        </w:rPr>
        <w:t xml:space="preserve"> y F. </w:t>
      </w:r>
      <w:proofErr w:type="spellStart"/>
      <w:r w:rsidR="00264799">
        <w:rPr>
          <w:sz w:val="22"/>
        </w:rPr>
        <w:t>Wozniak</w:t>
      </w:r>
      <w:proofErr w:type="spellEnd"/>
      <w:r w:rsidR="00264799">
        <w:rPr>
          <w:sz w:val="22"/>
        </w:rPr>
        <w:t xml:space="preserve"> (Eds.), </w:t>
      </w:r>
      <w:r w:rsidR="00264799" w:rsidRPr="009406AE">
        <w:rPr>
          <w:i/>
          <w:sz w:val="22"/>
        </w:rPr>
        <w:t xml:space="preserve">En </w:t>
      </w:r>
      <w:proofErr w:type="spellStart"/>
      <w:r w:rsidR="00264799" w:rsidRPr="009406AE">
        <w:rPr>
          <w:i/>
          <w:sz w:val="22"/>
        </w:rPr>
        <w:t>amont</w:t>
      </w:r>
      <w:proofErr w:type="spellEnd"/>
      <w:r w:rsidR="00264799" w:rsidRPr="009406AE">
        <w:rPr>
          <w:i/>
          <w:sz w:val="22"/>
        </w:rPr>
        <w:t xml:space="preserve"> et en aval des </w:t>
      </w:r>
      <w:proofErr w:type="spellStart"/>
      <w:r w:rsidR="00264799" w:rsidRPr="009406AE">
        <w:rPr>
          <w:i/>
          <w:sz w:val="22"/>
        </w:rPr>
        <w:t>ingénieries</w:t>
      </w:r>
      <w:proofErr w:type="spellEnd"/>
      <w:r w:rsidR="00264799" w:rsidRPr="009406AE">
        <w:rPr>
          <w:i/>
          <w:sz w:val="22"/>
        </w:rPr>
        <w:t xml:space="preserve"> </w:t>
      </w:r>
      <w:proofErr w:type="spellStart"/>
      <w:r w:rsidR="00264799" w:rsidRPr="009406AE">
        <w:rPr>
          <w:i/>
          <w:sz w:val="22"/>
        </w:rPr>
        <w:t>didactiques</w:t>
      </w:r>
      <w:proofErr w:type="spellEnd"/>
      <w:r w:rsidR="00264799">
        <w:rPr>
          <w:sz w:val="22"/>
        </w:rPr>
        <w:t xml:space="preserve"> (pp.15-25). </w:t>
      </w:r>
      <w:proofErr w:type="spellStart"/>
      <w:r w:rsidR="00264799">
        <w:rPr>
          <w:sz w:val="22"/>
        </w:rPr>
        <w:t>Grenoble</w:t>
      </w:r>
      <w:proofErr w:type="spellEnd"/>
      <w:r w:rsidR="00264799">
        <w:rPr>
          <w:sz w:val="22"/>
        </w:rPr>
        <w:t xml:space="preserve">: La </w:t>
      </w:r>
      <w:proofErr w:type="spellStart"/>
      <w:r w:rsidR="00264799">
        <w:rPr>
          <w:sz w:val="22"/>
        </w:rPr>
        <w:t>Pensée</w:t>
      </w:r>
      <w:proofErr w:type="spellEnd"/>
      <w:r w:rsidR="00264799">
        <w:rPr>
          <w:sz w:val="22"/>
        </w:rPr>
        <w:t xml:space="preserve"> </w:t>
      </w:r>
      <w:proofErr w:type="spellStart"/>
      <w:r w:rsidR="00264799">
        <w:rPr>
          <w:sz w:val="22"/>
        </w:rPr>
        <w:t>Sauvage</w:t>
      </w:r>
      <w:proofErr w:type="spellEnd"/>
      <w:r w:rsidR="00264799">
        <w:rPr>
          <w:sz w:val="22"/>
        </w:rPr>
        <w:t>.</w:t>
      </w:r>
    </w:p>
    <w:p w14:paraId="55255275" w14:textId="0A8EEA91" w:rsidR="008A1E9F" w:rsidRPr="009406AE" w:rsidRDefault="008A1E9F" w:rsidP="00C96613">
      <w:pPr>
        <w:spacing w:after="0" w:line="360" w:lineRule="auto"/>
        <w:ind w:left="709" w:hanging="709"/>
        <w:jc w:val="both"/>
        <w:rPr>
          <w:sz w:val="22"/>
          <w:lang w:val="en-GB"/>
        </w:rPr>
      </w:pPr>
      <w:r>
        <w:rPr>
          <w:sz w:val="22"/>
        </w:rPr>
        <w:lastRenderedPageBreak/>
        <w:t xml:space="preserve">BAZÁN, J.L. y APARICIO, A.S. (2006). Las actitudes hacia la Matemática-Estadística dentro de un modelo de aprendizaje. </w:t>
      </w:r>
      <w:proofErr w:type="spellStart"/>
      <w:r w:rsidRPr="009406AE">
        <w:rPr>
          <w:i/>
          <w:sz w:val="22"/>
          <w:lang w:val="en-GB"/>
        </w:rPr>
        <w:t>Revista</w:t>
      </w:r>
      <w:proofErr w:type="spellEnd"/>
      <w:r w:rsidRPr="009406AE">
        <w:rPr>
          <w:i/>
          <w:sz w:val="22"/>
          <w:lang w:val="en-GB"/>
        </w:rPr>
        <w:t xml:space="preserve"> </w:t>
      </w:r>
      <w:proofErr w:type="spellStart"/>
      <w:r w:rsidRPr="009406AE">
        <w:rPr>
          <w:i/>
          <w:sz w:val="22"/>
          <w:lang w:val="en-GB"/>
        </w:rPr>
        <w:t>Educación</w:t>
      </w:r>
      <w:proofErr w:type="spellEnd"/>
      <w:r w:rsidRPr="009406AE">
        <w:rPr>
          <w:i/>
          <w:sz w:val="22"/>
          <w:lang w:val="en-GB"/>
        </w:rPr>
        <w:t>, 15</w:t>
      </w:r>
      <w:r w:rsidRPr="009406AE">
        <w:rPr>
          <w:sz w:val="22"/>
          <w:lang w:val="en-GB"/>
        </w:rPr>
        <w:t>(28), 1-14.</w:t>
      </w:r>
    </w:p>
    <w:p w14:paraId="376F61A7" w14:textId="30EDB298" w:rsidR="000A1516" w:rsidRPr="00143DCC" w:rsidRDefault="000A1516" w:rsidP="00C96613">
      <w:pPr>
        <w:spacing w:after="0" w:line="360" w:lineRule="auto"/>
        <w:ind w:left="709" w:hanging="709"/>
        <w:jc w:val="both"/>
        <w:rPr>
          <w:sz w:val="22"/>
          <w:lang w:val="en-GB"/>
        </w:rPr>
      </w:pPr>
      <w:r w:rsidRPr="009406AE">
        <w:rPr>
          <w:sz w:val="22"/>
          <w:lang w:val="en-GB"/>
        </w:rPr>
        <w:t>BERS, M.U.</w:t>
      </w:r>
      <w:r w:rsidR="00A34149">
        <w:rPr>
          <w:sz w:val="22"/>
          <w:lang w:val="en-GB"/>
        </w:rPr>
        <w:t xml:space="preserve"> </w:t>
      </w:r>
      <w:r w:rsidRPr="009406AE">
        <w:rPr>
          <w:sz w:val="22"/>
          <w:lang w:val="en-GB"/>
        </w:rPr>
        <w:t>(2014). T</w:t>
      </w:r>
      <w:r>
        <w:rPr>
          <w:sz w:val="22"/>
          <w:lang w:val="en-GB"/>
        </w:rPr>
        <w:t xml:space="preserve">angible kindergarten: Learning how to program robots in early childhood. </w:t>
      </w:r>
      <w:proofErr w:type="spellStart"/>
      <w:r w:rsidR="00A34149">
        <w:rPr>
          <w:sz w:val="22"/>
          <w:lang w:val="en-GB"/>
        </w:rPr>
        <w:t>En</w:t>
      </w:r>
      <w:proofErr w:type="spellEnd"/>
      <w:r w:rsidR="00A34149">
        <w:rPr>
          <w:sz w:val="22"/>
          <w:lang w:val="en-GB"/>
        </w:rPr>
        <w:t xml:space="preserve"> C.I. </w:t>
      </w:r>
      <w:proofErr w:type="spellStart"/>
      <w:r w:rsidR="00A34149">
        <w:rPr>
          <w:sz w:val="22"/>
          <w:lang w:val="en-GB"/>
        </w:rPr>
        <w:t>Sneider</w:t>
      </w:r>
      <w:proofErr w:type="spellEnd"/>
      <w:r w:rsidR="00A34149">
        <w:rPr>
          <w:sz w:val="22"/>
          <w:lang w:val="en-GB"/>
        </w:rPr>
        <w:t xml:space="preserve"> (Ed.), </w:t>
      </w:r>
      <w:r w:rsidR="00A34149" w:rsidRPr="009406AE">
        <w:rPr>
          <w:i/>
          <w:sz w:val="22"/>
          <w:lang w:val="en-GB"/>
        </w:rPr>
        <w:t>The Go-To Guide for Engineering Curricula PreK-5: Choosing and using the best instructional materials for your students</w:t>
      </w:r>
      <w:r w:rsidR="00A34149">
        <w:rPr>
          <w:sz w:val="22"/>
          <w:lang w:val="en-GB"/>
        </w:rPr>
        <w:t xml:space="preserve"> (pp. 133-145). </w:t>
      </w:r>
      <w:r w:rsidR="00A34149" w:rsidRPr="00143DCC">
        <w:rPr>
          <w:sz w:val="22"/>
          <w:lang w:val="en-GB"/>
        </w:rPr>
        <w:t>Thousand Oaks, CA: Corwin.</w:t>
      </w:r>
    </w:p>
    <w:p w14:paraId="408925FD" w14:textId="6CF39392" w:rsidR="00A86669" w:rsidRPr="00143DCC" w:rsidRDefault="00A86669" w:rsidP="00A86669">
      <w:pPr>
        <w:pStyle w:val="Ttulo"/>
        <w:pBdr>
          <w:bottom w:val="none" w:sz="0" w:space="0" w:color="auto"/>
        </w:pBdr>
        <w:spacing w:after="0"/>
        <w:ind w:left="709" w:hanging="709"/>
        <w:jc w:val="both"/>
        <w:rPr>
          <w:szCs w:val="22"/>
        </w:rPr>
      </w:pPr>
      <w:r w:rsidRPr="00B20D55">
        <w:rPr>
          <w:szCs w:val="22"/>
          <w:lang w:val="en-GB"/>
        </w:rPr>
        <w:t xml:space="preserve">BROUSSEAU, B. (1997). </w:t>
      </w:r>
      <w:r w:rsidRPr="00B20D55">
        <w:rPr>
          <w:i/>
          <w:szCs w:val="22"/>
          <w:lang w:val="en-GB"/>
        </w:rPr>
        <w:t>Theory of didactical situations in mathematics</w:t>
      </w:r>
      <w:r w:rsidRPr="00B20D55">
        <w:rPr>
          <w:szCs w:val="22"/>
          <w:lang w:val="en-GB"/>
        </w:rPr>
        <w:t xml:space="preserve">. </w:t>
      </w:r>
      <w:proofErr w:type="spellStart"/>
      <w:r w:rsidRPr="00143DCC">
        <w:rPr>
          <w:szCs w:val="22"/>
        </w:rPr>
        <w:t>Dordrecht</w:t>
      </w:r>
      <w:proofErr w:type="spellEnd"/>
      <w:r w:rsidRPr="00143DCC">
        <w:rPr>
          <w:szCs w:val="22"/>
        </w:rPr>
        <w:t xml:space="preserve">: </w:t>
      </w:r>
      <w:proofErr w:type="spellStart"/>
      <w:r w:rsidRPr="00143DCC">
        <w:rPr>
          <w:szCs w:val="22"/>
        </w:rPr>
        <w:t>Kluwer</w:t>
      </w:r>
      <w:proofErr w:type="spellEnd"/>
      <w:r w:rsidRPr="00143DCC">
        <w:rPr>
          <w:szCs w:val="22"/>
        </w:rPr>
        <w:t xml:space="preserve"> A. P.</w:t>
      </w:r>
    </w:p>
    <w:p w14:paraId="0F61484E" w14:textId="34F545F2" w:rsidR="00C96613" w:rsidRPr="00C96613" w:rsidRDefault="00C96613" w:rsidP="00C96613">
      <w:pPr>
        <w:spacing w:after="0" w:line="360" w:lineRule="auto"/>
        <w:ind w:left="709" w:hanging="709"/>
        <w:jc w:val="both"/>
        <w:rPr>
          <w:sz w:val="22"/>
        </w:rPr>
      </w:pPr>
      <w:r w:rsidRPr="00CB6D79">
        <w:rPr>
          <w:sz w:val="22"/>
        </w:rPr>
        <w:t xml:space="preserve">CANALS, M. A. (2009). </w:t>
      </w:r>
      <w:proofErr w:type="spellStart"/>
      <w:r w:rsidR="008E1FFF">
        <w:rPr>
          <w:i/>
          <w:sz w:val="22"/>
        </w:rPr>
        <w:t>Transformacions</w:t>
      </w:r>
      <w:proofErr w:type="spellEnd"/>
      <w:r w:rsidR="008E1FFF">
        <w:rPr>
          <w:i/>
          <w:sz w:val="22"/>
        </w:rPr>
        <w:t xml:space="preserve"> </w:t>
      </w:r>
      <w:proofErr w:type="spellStart"/>
      <w:r w:rsidR="008E1FFF">
        <w:rPr>
          <w:i/>
          <w:sz w:val="22"/>
        </w:rPr>
        <w:t>geomè</w:t>
      </w:r>
      <w:r w:rsidRPr="00FD4F0E">
        <w:rPr>
          <w:i/>
          <w:sz w:val="22"/>
        </w:rPr>
        <w:t>triques</w:t>
      </w:r>
      <w:proofErr w:type="spellEnd"/>
      <w:r>
        <w:rPr>
          <w:sz w:val="22"/>
        </w:rPr>
        <w:t xml:space="preserve">. Barcelona: </w:t>
      </w:r>
      <w:proofErr w:type="spellStart"/>
      <w:r>
        <w:rPr>
          <w:sz w:val="22"/>
        </w:rPr>
        <w:t>Associació</w:t>
      </w:r>
      <w:proofErr w:type="spellEnd"/>
      <w:r>
        <w:rPr>
          <w:sz w:val="22"/>
        </w:rPr>
        <w:t xml:space="preserve"> de Mestres Rosa </w:t>
      </w:r>
      <w:proofErr w:type="spellStart"/>
      <w:r>
        <w:rPr>
          <w:sz w:val="22"/>
        </w:rPr>
        <w:t>Sensat</w:t>
      </w:r>
      <w:proofErr w:type="spellEnd"/>
      <w:r>
        <w:rPr>
          <w:sz w:val="22"/>
        </w:rPr>
        <w:t>.</w:t>
      </w:r>
    </w:p>
    <w:p w14:paraId="5AD89691" w14:textId="76D4CD52" w:rsidR="009764D3" w:rsidRDefault="009764D3" w:rsidP="00CC242F">
      <w:pPr>
        <w:pStyle w:val="Ttulo"/>
        <w:pBdr>
          <w:bottom w:val="none" w:sz="0" w:space="0" w:color="auto"/>
        </w:pBdr>
        <w:ind w:left="709" w:hanging="709"/>
        <w:jc w:val="both"/>
        <w:rPr>
          <w:szCs w:val="22"/>
        </w:rPr>
      </w:pPr>
      <w:r>
        <w:rPr>
          <w:szCs w:val="22"/>
        </w:rPr>
        <w:t xml:space="preserve">CARRILLO, J. y MUÑOZ-CATALÁN, M.C. (2011). Análisis metodológico de las actas de la SEIEM (1997-2010) desde la perspectiva de los métodos cualitativos. Reflexión </w:t>
      </w:r>
      <w:proofErr w:type="spellStart"/>
      <w:r>
        <w:rPr>
          <w:szCs w:val="22"/>
        </w:rPr>
        <w:t>entorno</w:t>
      </w:r>
      <w:proofErr w:type="spellEnd"/>
      <w:r>
        <w:rPr>
          <w:szCs w:val="22"/>
        </w:rPr>
        <w:t xml:space="preserve"> a un caso. En M. Marín, G. Fernández, L. Blanco y M. </w:t>
      </w:r>
      <w:proofErr w:type="spellStart"/>
      <w:r>
        <w:rPr>
          <w:szCs w:val="22"/>
        </w:rPr>
        <w:t>Palarea</w:t>
      </w:r>
      <w:proofErr w:type="spellEnd"/>
      <w:r>
        <w:rPr>
          <w:szCs w:val="22"/>
        </w:rPr>
        <w:t xml:space="preserve"> (Eds.), </w:t>
      </w:r>
      <w:r w:rsidRPr="009406AE">
        <w:rPr>
          <w:i/>
          <w:szCs w:val="22"/>
        </w:rPr>
        <w:t>Investigación en Educación Matemática XV</w:t>
      </w:r>
      <w:r>
        <w:rPr>
          <w:szCs w:val="22"/>
        </w:rPr>
        <w:t xml:space="preserve"> (pp.77-98). Ciudad Real: SEIEM.</w:t>
      </w:r>
    </w:p>
    <w:p w14:paraId="221F95EE" w14:textId="6ED41FE5" w:rsidR="00CC242F" w:rsidRPr="00CC242F" w:rsidRDefault="00CC242F" w:rsidP="00CC242F">
      <w:pPr>
        <w:pStyle w:val="Ttulo"/>
        <w:pBdr>
          <w:bottom w:val="none" w:sz="0" w:space="0" w:color="auto"/>
        </w:pBdr>
        <w:ind w:left="709" w:hanging="709"/>
        <w:jc w:val="both"/>
        <w:rPr>
          <w:szCs w:val="22"/>
        </w:rPr>
      </w:pPr>
      <w:r>
        <w:rPr>
          <w:szCs w:val="22"/>
        </w:rPr>
        <w:t xml:space="preserve">DEL MAR, A. (2006). </w:t>
      </w:r>
      <w:r w:rsidRPr="00FD4F0E">
        <w:rPr>
          <w:i/>
          <w:szCs w:val="22"/>
        </w:rPr>
        <w:t>Planificación de actividades didácticas para la enseñanza y aprendizaje de la ciencia y tecnología a través de la Robótica Pedagógica con enfoque CTS.</w:t>
      </w:r>
      <w:r>
        <w:rPr>
          <w:szCs w:val="22"/>
        </w:rPr>
        <w:t xml:space="preserve"> (Trabajo Especial de Ascenso para optar a la categoría de profesor Asistente). Universidad católica Andrés Bello, Venezuela. Recuperado de: </w:t>
      </w:r>
      <w:hyperlink r:id="rId15" w:history="1">
        <w:r w:rsidRPr="00071DF6">
          <w:rPr>
            <w:rStyle w:val="Hipervnculo"/>
            <w:szCs w:val="22"/>
          </w:rPr>
          <w:t>http://biblioteca2.ucab.edu.ve/anexos/biblioteca/marc/texto/AAQ6345.pdf</w:t>
        </w:r>
      </w:hyperlink>
      <w:r>
        <w:rPr>
          <w:szCs w:val="22"/>
        </w:rPr>
        <w:t xml:space="preserve"> </w:t>
      </w:r>
    </w:p>
    <w:p w14:paraId="30C78AC7" w14:textId="77777777" w:rsidR="00FD4F0E" w:rsidRDefault="0087158B" w:rsidP="00FA0930">
      <w:pPr>
        <w:pStyle w:val="Ttulo"/>
        <w:pBdr>
          <w:bottom w:val="none" w:sz="0" w:space="0" w:color="auto"/>
        </w:pBdr>
        <w:ind w:left="709" w:hanging="709"/>
        <w:jc w:val="both"/>
        <w:rPr>
          <w:szCs w:val="22"/>
        </w:rPr>
      </w:pPr>
      <w:r>
        <w:rPr>
          <w:szCs w:val="22"/>
        </w:rPr>
        <w:t xml:space="preserve">GALLEGO, E. (2010). </w:t>
      </w:r>
      <w:r w:rsidRPr="0087158B">
        <w:rPr>
          <w:i/>
          <w:szCs w:val="22"/>
        </w:rPr>
        <w:t xml:space="preserve">Robótica Educativa con </w:t>
      </w:r>
      <w:proofErr w:type="spellStart"/>
      <w:r w:rsidRPr="0087158B">
        <w:rPr>
          <w:i/>
          <w:szCs w:val="22"/>
        </w:rPr>
        <w:t>Arduino</w:t>
      </w:r>
      <w:proofErr w:type="spellEnd"/>
      <w:r w:rsidRPr="0087158B">
        <w:rPr>
          <w:i/>
          <w:szCs w:val="22"/>
        </w:rPr>
        <w:t>. Una aproximación a la robótica bajo el hardware y software libre.</w:t>
      </w:r>
      <w:r>
        <w:rPr>
          <w:szCs w:val="22"/>
        </w:rPr>
        <w:t xml:space="preserve"> Recuperado de: </w:t>
      </w:r>
      <w:hyperlink r:id="rId16" w:history="1">
        <w:r w:rsidRPr="00851423">
          <w:rPr>
            <w:rStyle w:val="Hipervnculo"/>
            <w:szCs w:val="22"/>
          </w:rPr>
          <w:t>https://edoc.site/2-robotica-educativa-con-arduino-pdf-free.html</w:t>
        </w:r>
      </w:hyperlink>
      <w:r>
        <w:rPr>
          <w:szCs w:val="22"/>
        </w:rPr>
        <w:t xml:space="preserve"> </w:t>
      </w:r>
    </w:p>
    <w:p w14:paraId="139CFE24" w14:textId="49857872" w:rsidR="00D239F9" w:rsidRPr="007B707D" w:rsidRDefault="00D239F9" w:rsidP="00B15445">
      <w:pPr>
        <w:pStyle w:val="Ttulo"/>
        <w:pBdr>
          <w:bottom w:val="none" w:sz="0" w:space="0" w:color="auto"/>
        </w:pBdr>
        <w:ind w:left="709" w:hanging="709"/>
        <w:jc w:val="both"/>
        <w:rPr>
          <w:szCs w:val="22"/>
        </w:rPr>
      </w:pPr>
      <w:r>
        <w:rPr>
          <w:szCs w:val="22"/>
        </w:rPr>
        <w:t xml:space="preserve">GARCÍA-VALCÁRCEL, A. y CABALLERO-GONZÁLEZ, Y. (2019). </w:t>
      </w:r>
      <w:r w:rsidRPr="009406AE">
        <w:rPr>
          <w:szCs w:val="22"/>
          <w:lang w:val="en-GB"/>
        </w:rPr>
        <w:t xml:space="preserve">Robotics to develop computational thinking in early Childhood Education. </w:t>
      </w:r>
      <w:r w:rsidRPr="009406AE">
        <w:rPr>
          <w:i/>
          <w:szCs w:val="22"/>
        </w:rPr>
        <w:t xml:space="preserve">Comunicar, </w:t>
      </w:r>
      <w:r w:rsidR="00C23B78" w:rsidRPr="009406AE">
        <w:rPr>
          <w:i/>
          <w:szCs w:val="22"/>
        </w:rPr>
        <w:t>27</w:t>
      </w:r>
      <w:r w:rsidR="00C23B78" w:rsidRPr="009406AE">
        <w:rPr>
          <w:szCs w:val="22"/>
        </w:rPr>
        <w:t>(59), 63-72.</w:t>
      </w:r>
      <w:r w:rsidR="00D54F23" w:rsidRPr="009406AE">
        <w:rPr>
          <w:szCs w:val="22"/>
        </w:rPr>
        <w:t xml:space="preserve"> Recuperado de </w:t>
      </w:r>
      <w:hyperlink r:id="rId17" w:history="1">
        <w:r w:rsidR="00D54F23">
          <w:rPr>
            <w:rStyle w:val="Hipervnculo"/>
          </w:rPr>
          <w:t>http://eprints.rclis.org/34259/</w:t>
        </w:r>
      </w:hyperlink>
      <w:r w:rsidR="00D54F23">
        <w:t>.</w:t>
      </w:r>
    </w:p>
    <w:p w14:paraId="3D3B7602" w14:textId="6A64DE63" w:rsidR="007B707D" w:rsidRPr="009406AE" w:rsidRDefault="007B707D" w:rsidP="00B15445">
      <w:pPr>
        <w:pStyle w:val="Ttulo"/>
        <w:pBdr>
          <w:bottom w:val="none" w:sz="0" w:space="0" w:color="auto"/>
        </w:pBdr>
        <w:ind w:left="709" w:hanging="709"/>
        <w:jc w:val="both"/>
        <w:rPr>
          <w:szCs w:val="22"/>
          <w:lang w:val="en-GB"/>
        </w:rPr>
      </w:pPr>
      <w:r>
        <w:rPr>
          <w:szCs w:val="22"/>
        </w:rPr>
        <w:t xml:space="preserve">GAUDIELLO, I. y ZIBETTI, E. (2016). </w:t>
      </w:r>
      <w:r w:rsidRPr="009406AE">
        <w:rPr>
          <w:i/>
          <w:szCs w:val="22"/>
          <w:lang w:val="en-GB"/>
        </w:rPr>
        <w:t>Learning Robotics, with Robotics, by Robotics. Educational Robotics</w:t>
      </w:r>
      <w:r w:rsidR="00CB6D79" w:rsidRPr="009406AE">
        <w:rPr>
          <w:i/>
          <w:szCs w:val="22"/>
          <w:lang w:val="en-GB"/>
        </w:rPr>
        <w:t xml:space="preserve"> </w:t>
      </w:r>
      <w:r w:rsidR="00CB6D79">
        <w:rPr>
          <w:szCs w:val="22"/>
          <w:lang w:val="en-GB"/>
        </w:rPr>
        <w:t xml:space="preserve">(Vol. 3). London and Hoboken: ISTE </w:t>
      </w:r>
      <w:proofErr w:type="spellStart"/>
      <w:r w:rsidR="00CB6D79">
        <w:rPr>
          <w:szCs w:val="22"/>
          <w:lang w:val="en-GB"/>
        </w:rPr>
        <w:t>Ldt</w:t>
      </w:r>
      <w:proofErr w:type="spellEnd"/>
      <w:r w:rsidR="00CB6D79">
        <w:rPr>
          <w:szCs w:val="22"/>
          <w:lang w:val="en-GB"/>
        </w:rPr>
        <w:t xml:space="preserve"> and John Wiley &amp; Sons, Inc. </w:t>
      </w:r>
      <w:proofErr w:type="spellStart"/>
      <w:r w:rsidR="00CB6D79">
        <w:rPr>
          <w:szCs w:val="22"/>
          <w:lang w:val="en-GB"/>
        </w:rPr>
        <w:t>doi</w:t>
      </w:r>
      <w:proofErr w:type="spellEnd"/>
      <w:r w:rsidR="00CB6D79">
        <w:rPr>
          <w:szCs w:val="22"/>
          <w:lang w:val="en-GB"/>
        </w:rPr>
        <w:t xml:space="preserve">: </w:t>
      </w:r>
      <w:r w:rsidR="00CB6D79" w:rsidRPr="00CB6D79">
        <w:rPr>
          <w:szCs w:val="22"/>
          <w:lang w:val="en-GB"/>
        </w:rPr>
        <w:t>pdf/10.1002/9781119335740.fmatter</w:t>
      </w:r>
    </w:p>
    <w:p w14:paraId="7223BA6C" w14:textId="5428D335" w:rsidR="00B15445" w:rsidRDefault="0087158B" w:rsidP="00B15445">
      <w:pPr>
        <w:pStyle w:val="Ttulo"/>
        <w:pBdr>
          <w:bottom w:val="none" w:sz="0" w:space="0" w:color="auto"/>
        </w:pBdr>
        <w:ind w:left="709" w:hanging="709"/>
        <w:jc w:val="both"/>
        <w:rPr>
          <w:szCs w:val="22"/>
        </w:rPr>
      </w:pPr>
      <w:r>
        <w:rPr>
          <w:szCs w:val="22"/>
        </w:rPr>
        <w:lastRenderedPageBreak/>
        <w:t xml:space="preserve">GENERALITAT DE CATALUNYA. DEPARTAMENT D’ENSENYAMENT. (2016). Currículum i </w:t>
      </w:r>
      <w:proofErr w:type="spellStart"/>
      <w:r>
        <w:rPr>
          <w:szCs w:val="22"/>
        </w:rPr>
        <w:t>orientacions</w:t>
      </w:r>
      <w:proofErr w:type="spellEnd"/>
      <w:r>
        <w:rPr>
          <w:szCs w:val="22"/>
        </w:rPr>
        <w:t xml:space="preserve"> </w:t>
      </w:r>
      <w:proofErr w:type="spellStart"/>
      <w:r>
        <w:rPr>
          <w:szCs w:val="22"/>
        </w:rPr>
        <w:t>educació</w:t>
      </w:r>
      <w:proofErr w:type="spellEnd"/>
      <w:r>
        <w:rPr>
          <w:szCs w:val="22"/>
        </w:rPr>
        <w:t xml:space="preserve"> infantil: </w:t>
      </w:r>
      <w:proofErr w:type="spellStart"/>
      <w:r>
        <w:rPr>
          <w:szCs w:val="22"/>
        </w:rPr>
        <w:t>segon</w:t>
      </w:r>
      <w:proofErr w:type="spellEnd"/>
      <w:r>
        <w:rPr>
          <w:szCs w:val="22"/>
        </w:rPr>
        <w:t xml:space="preserve"> cicle. Recuperado de: </w:t>
      </w:r>
      <w:hyperlink r:id="rId18" w:history="1">
        <w:r w:rsidRPr="00851423">
          <w:rPr>
            <w:rStyle w:val="Hipervnculo"/>
            <w:szCs w:val="22"/>
          </w:rPr>
          <w:t>http://ensenyament.gencat.cat/web/.content/home/departament/publicacions/colleccions/curriculum/curriculum-infantil-2n-cicle.pdf</w:t>
        </w:r>
      </w:hyperlink>
      <w:r>
        <w:rPr>
          <w:szCs w:val="22"/>
        </w:rPr>
        <w:t xml:space="preserve">   </w:t>
      </w:r>
    </w:p>
    <w:p w14:paraId="5FB3C209" w14:textId="77777777" w:rsidR="00522557" w:rsidRPr="00522557" w:rsidRDefault="0087158B" w:rsidP="00522557">
      <w:pPr>
        <w:pStyle w:val="Ttulo"/>
        <w:pBdr>
          <w:bottom w:val="none" w:sz="0" w:space="0" w:color="auto"/>
        </w:pBdr>
        <w:spacing w:after="0"/>
        <w:ind w:left="709" w:hanging="709"/>
        <w:jc w:val="both"/>
        <w:rPr>
          <w:szCs w:val="22"/>
        </w:rPr>
      </w:pPr>
      <w:r>
        <w:rPr>
          <w:szCs w:val="22"/>
        </w:rPr>
        <w:t xml:space="preserve">GODINO, J. D. (2013). Indicadores de idoneidad didáctica de procesos de enseñanza y aprendizaje de las matemáticas. </w:t>
      </w:r>
      <w:r w:rsidRPr="0087158B">
        <w:rPr>
          <w:i/>
          <w:szCs w:val="22"/>
        </w:rPr>
        <w:t>Cuadernos de Investigación y Formación en Educación Matemática</w:t>
      </w:r>
      <w:r w:rsidR="008E1FFF">
        <w:rPr>
          <w:szCs w:val="22"/>
        </w:rPr>
        <w:t>,</w:t>
      </w:r>
      <w:r>
        <w:rPr>
          <w:szCs w:val="22"/>
        </w:rPr>
        <w:t xml:space="preserve"> </w:t>
      </w:r>
      <w:r w:rsidRPr="008E1FFF">
        <w:rPr>
          <w:i/>
          <w:szCs w:val="22"/>
        </w:rPr>
        <w:t>11</w:t>
      </w:r>
      <w:r>
        <w:rPr>
          <w:szCs w:val="22"/>
        </w:rPr>
        <w:t>, 111-132.</w:t>
      </w:r>
    </w:p>
    <w:p w14:paraId="0E27B667" w14:textId="77777777" w:rsidR="00522557" w:rsidRDefault="00522557" w:rsidP="0087158B">
      <w:pPr>
        <w:pStyle w:val="Ttulo"/>
        <w:pBdr>
          <w:bottom w:val="none" w:sz="0" w:space="0" w:color="auto"/>
        </w:pBdr>
        <w:spacing w:after="0"/>
        <w:ind w:left="709" w:hanging="709"/>
        <w:jc w:val="both"/>
        <w:rPr>
          <w:szCs w:val="22"/>
        </w:rPr>
      </w:pPr>
      <w:r>
        <w:rPr>
          <w:szCs w:val="22"/>
        </w:rPr>
        <w:t xml:space="preserve">GODINO, J.D. y BATANERO, C. (1994). Significado institucional y personal de los objetos matemáticos. </w:t>
      </w:r>
      <w:proofErr w:type="spellStart"/>
      <w:r w:rsidRPr="00522557">
        <w:rPr>
          <w:i/>
          <w:szCs w:val="22"/>
        </w:rPr>
        <w:t>Recherches</w:t>
      </w:r>
      <w:proofErr w:type="spellEnd"/>
      <w:r w:rsidRPr="00522557">
        <w:rPr>
          <w:i/>
          <w:szCs w:val="22"/>
        </w:rPr>
        <w:t xml:space="preserve"> en </w:t>
      </w:r>
      <w:proofErr w:type="spellStart"/>
      <w:r w:rsidRPr="00522557">
        <w:rPr>
          <w:i/>
          <w:szCs w:val="22"/>
        </w:rPr>
        <w:t>Didactique</w:t>
      </w:r>
      <w:proofErr w:type="spellEnd"/>
      <w:r w:rsidRPr="00522557">
        <w:rPr>
          <w:i/>
          <w:szCs w:val="22"/>
        </w:rPr>
        <w:t xml:space="preserve"> des </w:t>
      </w:r>
      <w:proofErr w:type="spellStart"/>
      <w:r w:rsidRPr="00522557">
        <w:rPr>
          <w:i/>
          <w:szCs w:val="22"/>
        </w:rPr>
        <w:t>Mathématiques</w:t>
      </w:r>
      <w:proofErr w:type="spellEnd"/>
      <w:r w:rsidRPr="00522557">
        <w:rPr>
          <w:i/>
          <w:szCs w:val="22"/>
        </w:rPr>
        <w:t>. 14</w:t>
      </w:r>
      <w:r>
        <w:rPr>
          <w:szCs w:val="22"/>
        </w:rPr>
        <w:t>(3), 325-335.</w:t>
      </w:r>
    </w:p>
    <w:p w14:paraId="248D4CCF" w14:textId="77777777" w:rsidR="00B30085" w:rsidRPr="00D51E44" w:rsidRDefault="00B30085" w:rsidP="00B30085">
      <w:pPr>
        <w:spacing w:after="0" w:line="360" w:lineRule="auto"/>
        <w:ind w:left="709" w:hanging="709"/>
        <w:jc w:val="both"/>
        <w:rPr>
          <w:rFonts w:eastAsia="Times New Roman" w:cs="Times New Roman"/>
          <w:sz w:val="22"/>
          <w:lang w:val="en-US" w:eastAsia="es-ES"/>
        </w:rPr>
      </w:pPr>
      <w:r w:rsidRPr="00B30085">
        <w:rPr>
          <w:rFonts w:eastAsia="Times New Roman" w:cs="Times New Roman"/>
          <w:sz w:val="22"/>
          <w:lang w:eastAsia="es-ES"/>
        </w:rPr>
        <w:t>G</w:t>
      </w:r>
      <w:r w:rsidR="00A24444">
        <w:rPr>
          <w:rFonts w:eastAsia="Times New Roman" w:cs="Times New Roman"/>
          <w:sz w:val="22"/>
          <w:lang w:eastAsia="es-ES"/>
        </w:rPr>
        <w:t>ODINO</w:t>
      </w:r>
      <w:r w:rsidRPr="00B30085">
        <w:rPr>
          <w:rFonts w:eastAsia="Times New Roman" w:cs="Times New Roman"/>
          <w:sz w:val="22"/>
          <w:lang w:eastAsia="es-ES"/>
        </w:rPr>
        <w:t>, J.D., B</w:t>
      </w:r>
      <w:r w:rsidR="00A24444">
        <w:rPr>
          <w:rFonts w:eastAsia="Times New Roman" w:cs="Times New Roman"/>
          <w:sz w:val="22"/>
          <w:lang w:eastAsia="es-ES"/>
        </w:rPr>
        <w:t>ATANERO</w:t>
      </w:r>
      <w:r w:rsidRPr="00B30085">
        <w:rPr>
          <w:rFonts w:eastAsia="Times New Roman" w:cs="Times New Roman"/>
          <w:sz w:val="22"/>
          <w:lang w:eastAsia="es-ES"/>
        </w:rPr>
        <w:t>, C., y F</w:t>
      </w:r>
      <w:r w:rsidR="00A24444">
        <w:rPr>
          <w:rFonts w:eastAsia="Times New Roman" w:cs="Times New Roman"/>
          <w:sz w:val="22"/>
          <w:lang w:eastAsia="es-ES"/>
        </w:rPr>
        <w:t>ONT,</w:t>
      </w:r>
      <w:r w:rsidRPr="00B30085">
        <w:rPr>
          <w:rFonts w:eastAsia="Times New Roman" w:cs="Times New Roman"/>
          <w:sz w:val="22"/>
          <w:lang w:eastAsia="es-ES"/>
        </w:rPr>
        <w:t xml:space="preserve"> V. (2007). </w:t>
      </w:r>
      <w:r w:rsidRPr="00D51E44">
        <w:rPr>
          <w:rFonts w:eastAsia="Times New Roman" w:cs="Times New Roman"/>
          <w:sz w:val="22"/>
          <w:lang w:val="en-US" w:eastAsia="es-ES"/>
        </w:rPr>
        <w:t xml:space="preserve">The onto-semiotic approach to research in mathematics education. </w:t>
      </w:r>
      <w:r w:rsidRPr="00D51E44">
        <w:rPr>
          <w:rFonts w:eastAsia="Times New Roman" w:cs="Times New Roman"/>
          <w:i/>
          <w:sz w:val="22"/>
          <w:lang w:val="en-US" w:eastAsia="es-ES"/>
        </w:rPr>
        <w:t>The International Journal on Mathematics Education</w:t>
      </w:r>
      <w:r w:rsidRPr="00D51E44">
        <w:rPr>
          <w:rFonts w:eastAsia="Times New Roman" w:cs="Times New Roman"/>
          <w:sz w:val="22"/>
          <w:lang w:val="en-US" w:eastAsia="es-ES"/>
        </w:rPr>
        <w:t>, 39(1-2), 127-135.</w:t>
      </w:r>
    </w:p>
    <w:p w14:paraId="44493197" w14:textId="156C517F" w:rsidR="008820D1" w:rsidRPr="009406AE" w:rsidRDefault="008820D1" w:rsidP="00B30085">
      <w:pPr>
        <w:pStyle w:val="Ttulo"/>
        <w:pBdr>
          <w:bottom w:val="none" w:sz="0" w:space="0" w:color="auto"/>
        </w:pBdr>
        <w:spacing w:after="0"/>
        <w:ind w:left="709" w:hanging="709"/>
        <w:jc w:val="both"/>
        <w:rPr>
          <w:szCs w:val="22"/>
        </w:rPr>
      </w:pPr>
      <w:r w:rsidRPr="007C5F3A">
        <w:rPr>
          <w:szCs w:val="22"/>
          <w:lang w:val="en-GB"/>
        </w:rPr>
        <w:t>GODINO, J.D., BENCOMO, D.,</w:t>
      </w:r>
      <w:r w:rsidRPr="009406AE">
        <w:rPr>
          <w:szCs w:val="22"/>
          <w:lang w:val="en-GB"/>
        </w:rPr>
        <w:t xml:space="preserve"> FONT, V. y WILHELMI, M.R. (2007). </w:t>
      </w:r>
      <w:r>
        <w:rPr>
          <w:szCs w:val="22"/>
        </w:rPr>
        <w:t xml:space="preserve">Análisis y valoración de la idoneidad didáctica de procesos de estudio de las matemáticas. </w:t>
      </w:r>
      <w:r w:rsidRPr="009406AE">
        <w:rPr>
          <w:i/>
          <w:szCs w:val="22"/>
        </w:rPr>
        <w:t>Paradigma, 27</w:t>
      </w:r>
      <w:r>
        <w:rPr>
          <w:szCs w:val="22"/>
        </w:rPr>
        <w:t>(2), 221-252.</w:t>
      </w:r>
    </w:p>
    <w:p w14:paraId="153DD8BF" w14:textId="65C35871" w:rsidR="00264799" w:rsidRPr="009406AE" w:rsidRDefault="00264799" w:rsidP="00B30085">
      <w:pPr>
        <w:pStyle w:val="Ttulo"/>
        <w:pBdr>
          <w:bottom w:val="none" w:sz="0" w:space="0" w:color="auto"/>
        </w:pBdr>
        <w:spacing w:after="0"/>
        <w:ind w:left="709" w:hanging="709"/>
        <w:jc w:val="both"/>
        <w:rPr>
          <w:szCs w:val="22"/>
        </w:rPr>
      </w:pPr>
      <w:r w:rsidRPr="009406AE">
        <w:rPr>
          <w:szCs w:val="22"/>
        </w:rPr>
        <w:t xml:space="preserve">GODINO, J.D., RIVAS, </w:t>
      </w:r>
      <w:r w:rsidR="007C5F3A">
        <w:rPr>
          <w:szCs w:val="22"/>
        </w:rPr>
        <w:t>H</w:t>
      </w:r>
      <w:r w:rsidRPr="009406AE">
        <w:rPr>
          <w:szCs w:val="22"/>
        </w:rPr>
        <w:t>.,</w:t>
      </w:r>
      <w:r w:rsidRPr="008820D1">
        <w:rPr>
          <w:szCs w:val="22"/>
        </w:rPr>
        <w:t xml:space="preserve"> ARTEAGA, P., LASA, A. y WILHELMI, M.R. (2014). </w:t>
      </w:r>
      <w:r>
        <w:rPr>
          <w:szCs w:val="22"/>
        </w:rPr>
        <w:t xml:space="preserve">Ingeniería didáctica basada en el enfoque ontológico-semiótico del conocimiento y de la instrucción matemáticos. </w:t>
      </w:r>
      <w:proofErr w:type="spellStart"/>
      <w:r w:rsidRPr="009406AE">
        <w:rPr>
          <w:i/>
          <w:szCs w:val="22"/>
        </w:rPr>
        <w:t>Recherches</w:t>
      </w:r>
      <w:proofErr w:type="spellEnd"/>
      <w:r w:rsidRPr="009406AE">
        <w:rPr>
          <w:i/>
          <w:szCs w:val="22"/>
        </w:rPr>
        <w:t xml:space="preserve"> en </w:t>
      </w:r>
      <w:proofErr w:type="spellStart"/>
      <w:r w:rsidRPr="009406AE">
        <w:rPr>
          <w:i/>
          <w:szCs w:val="22"/>
        </w:rPr>
        <w:t>Didactique</w:t>
      </w:r>
      <w:proofErr w:type="spellEnd"/>
      <w:r w:rsidRPr="009406AE">
        <w:rPr>
          <w:i/>
          <w:szCs w:val="22"/>
        </w:rPr>
        <w:t xml:space="preserve"> des </w:t>
      </w:r>
      <w:proofErr w:type="spellStart"/>
      <w:r w:rsidRPr="009406AE">
        <w:rPr>
          <w:i/>
          <w:szCs w:val="22"/>
        </w:rPr>
        <w:t>Mathématiques</w:t>
      </w:r>
      <w:proofErr w:type="spellEnd"/>
      <w:r>
        <w:rPr>
          <w:szCs w:val="22"/>
        </w:rPr>
        <w:t>, 34(2-3), 167-200.</w:t>
      </w:r>
    </w:p>
    <w:p w14:paraId="5BC86E4D" w14:textId="49852DE0" w:rsidR="00F5174D" w:rsidRDefault="00F5174D" w:rsidP="00B30085">
      <w:pPr>
        <w:pStyle w:val="Ttulo"/>
        <w:pBdr>
          <w:bottom w:val="none" w:sz="0" w:space="0" w:color="auto"/>
        </w:pBdr>
        <w:spacing w:after="0"/>
        <w:ind w:left="709" w:hanging="709"/>
        <w:jc w:val="both"/>
        <w:rPr>
          <w:szCs w:val="22"/>
        </w:rPr>
      </w:pPr>
      <w:r w:rsidRPr="009406AE">
        <w:rPr>
          <w:szCs w:val="22"/>
        </w:rPr>
        <w:t xml:space="preserve">GONZATO, M., FERNÁNDEZ, T., y GODINO, J.D. (2011). </w:t>
      </w:r>
      <w:r>
        <w:rPr>
          <w:szCs w:val="22"/>
        </w:rPr>
        <w:t xml:space="preserve">Tareas para el desarrollo de habilidades de visualización y orientación espacial. </w:t>
      </w:r>
      <w:r w:rsidRPr="00F5174D">
        <w:rPr>
          <w:i/>
          <w:szCs w:val="22"/>
        </w:rPr>
        <w:t>Números: revista de la Didáctica de las Matemáticas, 77</w:t>
      </w:r>
      <w:r>
        <w:rPr>
          <w:szCs w:val="22"/>
        </w:rPr>
        <w:t>, 99-117</w:t>
      </w:r>
    </w:p>
    <w:p w14:paraId="333C564B" w14:textId="77777777" w:rsidR="002D0064" w:rsidRPr="00143DCC" w:rsidRDefault="002D0064" w:rsidP="0087158B">
      <w:pPr>
        <w:pStyle w:val="Ttulo"/>
        <w:pBdr>
          <w:bottom w:val="none" w:sz="0" w:space="0" w:color="auto"/>
        </w:pBdr>
        <w:spacing w:after="0"/>
        <w:ind w:left="709" w:hanging="709"/>
        <w:jc w:val="both"/>
        <w:rPr>
          <w:szCs w:val="22"/>
          <w:lang w:val="en-GB"/>
        </w:rPr>
      </w:pPr>
      <w:r>
        <w:rPr>
          <w:szCs w:val="22"/>
        </w:rPr>
        <w:t xml:space="preserve">HERNÁNDEZ, R., FERNÁNDEZ, C. y BAPTISTA, P. (2014). </w:t>
      </w:r>
      <w:r w:rsidRPr="002D0064">
        <w:rPr>
          <w:i/>
          <w:szCs w:val="22"/>
        </w:rPr>
        <w:t>Metodología de la investigación</w:t>
      </w:r>
      <w:r>
        <w:rPr>
          <w:szCs w:val="22"/>
        </w:rPr>
        <w:t xml:space="preserve">. (6ª ed.). </w:t>
      </w:r>
      <w:r w:rsidRPr="00143DCC">
        <w:rPr>
          <w:szCs w:val="22"/>
          <w:lang w:val="en-GB"/>
        </w:rPr>
        <w:t xml:space="preserve">México: </w:t>
      </w:r>
      <w:proofErr w:type="spellStart"/>
      <w:r w:rsidRPr="00143DCC">
        <w:rPr>
          <w:szCs w:val="22"/>
          <w:lang w:val="en-GB"/>
        </w:rPr>
        <w:t>McGrawHill</w:t>
      </w:r>
      <w:proofErr w:type="spellEnd"/>
      <w:r w:rsidRPr="00143DCC">
        <w:rPr>
          <w:szCs w:val="22"/>
          <w:lang w:val="en-GB"/>
        </w:rPr>
        <w:t>.</w:t>
      </w:r>
    </w:p>
    <w:p w14:paraId="05E1639B" w14:textId="14F241BB" w:rsidR="00A86669" w:rsidRPr="00A86669" w:rsidRDefault="00A86669" w:rsidP="00A86669">
      <w:pPr>
        <w:spacing w:after="0" w:line="360" w:lineRule="auto"/>
        <w:ind w:left="709" w:hanging="709"/>
        <w:contextualSpacing/>
        <w:jc w:val="both"/>
        <w:rPr>
          <w:sz w:val="22"/>
          <w:lang w:val="en-GB"/>
        </w:rPr>
      </w:pPr>
      <w:r w:rsidRPr="00143DCC">
        <w:rPr>
          <w:sz w:val="22"/>
          <w:lang w:val="en-GB"/>
        </w:rPr>
        <w:t xml:space="preserve">HEUVEL-PANHUIZEN, M. y WIJERS, M. (2005). </w:t>
      </w:r>
      <w:r w:rsidRPr="00A86669">
        <w:rPr>
          <w:sz w:val="22"/>
          <w:lang w:val="en-GB"/>
        </w:rPr>
        <w:t xml:space="preserve">Mathematics standards and curricula in the Netherlands. </w:t>
      </w:r>
      <w:r w:rsidRPr="00A86669">
        <w:rPr>
          <w:i/>
          <w:sz w:val="22"/>
          <w:lang w:val="en-GB"/>
        </w:rPr>
        <w:t>ZDM. The International Journal on Mathematics Education, 37</w:t>
      </w:r>
      <w:r w:rsidRPr="00A86669">
        <w:rPr>
          <w:sz w:val="22"/>
          <w:lang w:val="en-GB"/>
        </w:rPr>
        <w:t>(4), 287-307.</w:t>
      </w:r>
    </w:p>
    <w:p w14:paraId="2CC73850" w14:textId="48F8A511" w:rsidR="00815F64" w:rsidRDefault="00815F64" w:rsidP="0087158B">
      <w:pPr>
        <w:pStyle w:val="Ttulo"/>
        <w:pBdr>
          <w:bottom w:val="none" w:sz="0" w:space="0" w:color="auto"/>
        </w:pBdr>
        <w:spacing w:after="0"/>
        <w:ind w:left="709" w:hanging="709"/>
        <w:jc w:val="both"/>
        <w:rPr>
          <w:szCs w:val="22"/>
        </w:rPr>
      </w:pPr>
      <w:r w:rsidRPr="00143DCC">
        <w:rPr>
          <w:szCs w:val="22"/>
          <w:lang w:val="en-GB"/>
        </w:rPr>
        <w:t xml:space="preserve">MINISTERIO DE EDUCACIÓN (2007). </w:t>
      </w:r>
      <w:r w:rsidRPr="00AD53F8">
        <w:rPr>
          <w:i/>
          <w:szCs w:val="22"/>
        </w:rPr>
        <w:t>Orden ECI/3960/2007, de 19 de diciembre, por la que se establece el currículo y se regula la ordenación de la Educación Infantil.</w:t>
      </w:r>
      <w:r w:rsidR="004F0AB4">
        <w:rPr>
          <w:szCs w:val="22"/>
        </w:rPr>
        <w:t xml:space="preserve"> Madrid: BOE-A-</w:t>
      </w:r>
      <w:r w:rsidR="00AD53F8">
        <w:rPr>
          <w:szCs w:val="22"/>
        </w:rPr>
        <w:t>2008.</w:t>
      </w:r>
      <w:r w:rsidR="004F0AB4">
        <w:rPr>
          <w:szCs w:val="22"/>
        </w:rPr>
        <w:t xml:space="preserve"> </w:t>
      </w:r>
      <w:r w:rsidR="00084472">
        <w:rPr>
          <w:szCs w:val="22"/>
        </w:rPr>
        <w:t xml:space="preserve"> Recuperado de: </w:t>
      </w:r>
      <w:hyperlink r:id="rId19" w:history="1">
        <w:r w:rsidR="00084472" w:rsidRPr="00851423">
          <w:rPr>
            <w:rStyle w:val="Hipervnculo"/>
            <w:szCs w:val="22"/>
          </w:rPr>
          <w:t>https://www.boe.es/buscar/doc.php?id=BOE-A-2008-222</w:t>
        </w:r>
      </w:hyperlink>
      <w:r w:rsidR="00084472">
        <w:rPr>
          <w:szCs w:val="22"/>
        </w:rPr>
        <w:t xml:space="preserve"> </w:t>
      </w:r>
    </w:p>
    <w:p w14:paraId="71C83053" w14:textId="77777777" w:rsidR="004F0AB4" w:rsidRPr="00672658" w:rsidRDefault="00C04285" w:rsidP="004F0AB4">
      <w:pPr>
        <w:pStyle w:val="Ttulo"/>
        <w:pBdr>
          <w:bottom w:val="none" w:sz="0" w:space="0" w:color="auto"/>
        </w:pBdr>
        <w:spacing w:after="0"/>
        <w:ind w:left="709" w:hanging="709"/>
        <w:jc w:val="both"/>
        <w:rPr>
          <w:szCs w:val="22"/>
          <w:lang w:val="en-US"/>
        </w:rPr>
      </w:pPr>
      <w:r w:rsidRPr="00D51E44">
        <w:rPr>
          <w:szCs w:val="22"/>
          <w:lang w:val="en-US"/>
        </w:rPr>
        <w:lastRenderedPageBreak/>
        <w:t xml:space="preserve">NATIONAL ASSOCIATION FOR THE EDUCATION OF YOUNG CHILDREN (NAEYC) y NATIONAL COUNCIL OF TEACHERS OF MATHEMATICS (NCTM). </w:t>
      </w:r>
      <w:r w:rsidRPr="00672658">
        <w:rPr>
          <w:szCs w:val="22"/>
          <w:lang w:val="en-US"/>
        </w:rPr>
        <w:t xml:space="preserve">(2013). </w:t>
      </w:r>
      <w:proofErr w:type="spellStart"/>
      <w:r w:rsidRPr="00672658">
        <w:rPr>
          <w:i/>
          <w:szCs w:val="22"/>
          <w:lang w:val="en-US"/>
        </w:rPr>
        <w:t>Edma</w:t>
      </w:r>
      <w:proofErr w:type="spellEnd"/>
      <w:r w:rsidRPr="00672658">
        <w:rPr>
          <w:i/>
          <w:szCs w:val="22"/>
          <w:lang w:val="en-US"/>
        </w:rPr>
        <w:t xml:space="preserve"> 0-6: </w:t>
      </w:r>
      <w:proofErr w:type="spellStart"/>
      <w:r w:rsidRPr="00672658">
        <w:rPr>
          <w:i/>
          <w:szCs w:val="22"/>
          <w:lang w:val="en-US"/>
        </w:rPr>
        <w:t>Educación</w:t>
      </w:r>
      <w:proofErr w:type="spellEnd"/>
      <w:r w:rsidRPr="00672658">
        <w:rPr>
          <w:i/>
          <w:szCs w:val="22"/>
          <w:lang w:val="en-US"/>
        </w:rPr>
        <w:t xml:space="preserve"> </w:t>
      </w:r>
      <w:proofErr w:type="spellStart"/>
      <w:r w:rsidRPr="00672658">
        <w:rPr>
          <w:i/>
          <w:szCs w:val="22"/>
          <w:lang w:val="en-US"/>
        </w:rPr>
        <w:t>Matemática</w:t>
      </w:r>
      <w:proofErr w:type="spellEnd"/>
      <w:r w:rsidRPr="00672658">
        <w:rPr>
          <w:i/>
          <w:szCs w:val="22"/>
          <w:lang w:val="en-US"/>
        </w:rPr>
        <w:t xml:space="preserve"> </w:t>
      </w:r>
      <w:proofErr w:type="spellStart"/>
      <w:r w:rsidRPr="00672658">
        <w:rPr>
          <w:i/>
          <w:szCs w:val="22"/>
          <w:lang w:val="en-US"/>
        </w:rPr>
        <w:t>en</w:t>
      </w:r>
      <w:proofErr w:type="spellEnd"/>
      <w:r w:rsidRPr="00672658">
        <w:rPr>
          <w:i/>
          <w:szCs w:val="22"/>
          <w:lang w:val="en-US"/>
        </w:rPr>
        <w:t xml:space="preserve"> la </w:t>
      </w:r>
      <w:proofErr w:type="spellStart"/>
      <w:r w:rsidRPr="00672658">
        <w:rPr>
          <w:i/>
          <w:szCs w:val="22"/>
          <w:lang w:val="en-US"/>
        </w:rPr>
        <w:t>Infancia</w:t>
      </w:r>
      <w:proofErr w:type="spellEnd"/>
      <w:r w:rsidRPr="00672658">
        <w:rPr>
          <w:szCs w:val="22"/>
          <w:lang w:val="en-US"/>
        </w:rPr>
        <w:t>. 2(1), 1-23.</w:t>
      </w:r>
    </w:p>
    <w:p w14:paraId="27F2C322" w14:textId="71B9023E" w:rsidR="004F0AB4" w:rsidRPr="00D51E44" w:rsidRDefault="004F0AB4" w:rsidP="0087158B">
      <w:pPr>
        <w:pStyle w:val="Ttulo"/>
        <w:pBdr>
          <w:bottom w:val="none" w:sz="0" w:space="0" w:color="auto"/>
        </w:pBdr>
        <w:spacing w:after="0"/>
        <w:ind w:left="709" w:hanging="709"/>
        <w:jc w:val="both"/>
        <w:rPr>
          <w:szCs w:val="22"/>
          <w:lang w:val="en-US"/>
        </w:rPr>
      </w:pPr>
      <w:r w:rsidRPr="00672658">
        <w:rPr>
          <w:szCs w:val="22"/>
          <w:lang w:val="en-US"/>
        </w:rPr>
        <w:t xml:space="preserve">NATIONAL COUNCIL OF TEACHERS OF MATHEMATICS (NCTM). (2000). </w:t>
      </w:r>
      <w:r w:rsidRPr="00672658">
        <w:rPr>
          <w:i/>
          <w:szCs w:val="22"/>
          <w:lang w:val="en-US"/>
        </w:rPr>
        <w:t>Principles and standards for school mathematics</w:t>
      </w:r>
      <w:r w:rsidRPr="00672658">
        <w:rPr>
          <w:szCs w:val="22"/>
          <w:lang w:val="en-US"/>
        </w:rPr>
        <w:t xml:space="preserve">. </w:t>
      </w:r>
      <w:r w:rsidR="005E541C">
        <w:rPr>
          <w:szCs w:val="22"/>
          <w:lang w:val="en-US"/>
        </w:rPr>
        <w:t>Reston, VA</w:t>
      </w:r>
      <w:r w:rsidR="004249C1" w:rsidRPr="00D51E44">
        <w:rPr>
          <w:szCs w:val="22"/>
          <w:lang w:val="en-US"/>
        </w:rPr>
        <w:t xml:space="preserve">: </w:t>
      </w:r>
      <w:r w:rsidR="005E541C">
        <w:rPr>
          <w:szCs w:val="22"/>
          <w:lang w:val="en-US"/>
        </w:rPr>
        <w:t>National Council of teachers of mathematics</w:t>
      </w:r>
      <w:r w:rsidR="004249C1" w:rsidRPr="00D51E44">
        <w:rPr>
          <w:szCs w:val="22"/>
          <w:lang w:val="en-US"/>
        </w:rPr>
        <w:t>.</w:t>
      </w:r>
    </w:p>
    <w:p w14:paraId="2734C73F" w14:textId="77777777" w:rsidR="0087158B" w:rsidRPr="00D51E44" w:rsidRDefault="0087158B" w:rsidP="0087158B">
      <w:pPr>
        <w:pStyle w:val="Ttulo"/>
        <w:pBdr>
          <w:bottom w:val="none" w:sz="0" w:space="0" w:color="auto"/>
        </w:pBdr>
        <w:spacing w:after="0"/>
        <w:ind w:left="709" w:hanging="709"/>
        <w:jc w:val="both"/>
        <w:rPr>
          <w:szCs w:val="22"/>
          <w:lang w:val="en-US"/>
        </w:rPr>
      </w:pPr>
      <w:r w:rsidRPr="00D51E44">
        <w:rPr>
          <w:szCs w:val="22"/>
          <w:lang w:val="en-US"/>
        </w:rPr>
        <w:t xml:space="preserve">PAPERT, S. (1985). Different visions of logo. </w:t>
      </w:r>
      <w:r w:rsidRPr="00D51E44">
        <w:rPr>
          <w:i/>
          <w:szCs w:val="22"/>
          <w:lang w:val="en-US"/>
        </w:rPr>
        <w:t>Computers in the Schools</w:t>
      </w:r>
      <w:r w:rsidRPr="00D51E44">
        <w:rPr>
          <w:szCs w:val="22"/>
          <w:lang w:val="en-US"/>
        </w:rPr>
        <w:t xml:space="preserve">. </w:t>
      </w:r>
      <w:r w:rsidRPr="00D51E44">
        <w:rPr>
          <w:i/>
          <w:szCs w:val="22"/>
          <w:lang w:val="en-US"/>
        </w:rPr>
        <w:t>Interdisciplinary Journal of Practice, Theory</w:t>
      </w:r>
      <w:r w:rsidR="00A41812" w:rsidRPr="00D51E44">
        <w:rPr>
          <w:i/>
          <w:szCs w:val="22"/>
          <w:lang w:val="en-US"/>
        </w:rPr>
        <w:t>,</w:t>
      </w:r>
      <w:r w:rsidRPr="00D51E44">
        <w:rPr>
          <w:i/>
          <w:szCs w:val="22"/>
          <w:lang w:val="en-US"/>
        </w:rPr>
        <w:t xml:space="preserve"> and Applied Research</w:t>
      </w:r>
      <w:r w:rsidRPr="00D51E44">
        <w:rPr>
          <w:szCs w:val="22"/>
          <w:lang w:val="en-US"/>
        </w:rPr>
        <w:t xml:space="preserve">, </w:t>
      </w:r>
      <w:r w:rsidRPr="00D51E44">
        <w:rPr>
          <w:i/>
          <w:szCs w:val="22"/>
          <w:lang w:val="en-US"/>
        </w:rPr>
        <w:t>2</w:t>
      </w:r>
      <w:r w:rsidRPr="00D51E44">
        <w:rPr>
          <w:szCs w:val="22"/>
          <w:lang w:val="en-US"/>
        </w:rPr>
        <w:t xml:space="preserve"> (2-3), 3-8.</w:t>
      </w:r>
    </w:p>
    <w:p w14:paraId="2ECC71D6" w14:textId="77777777" w:rsidR="0087158B" w:rsidRDefault="0087158B" w:rsidP="0087158B">
      <w:pPr>
        <w:pStyle w:val="Ttulo"/>
        <w:pBdr>
          <w:bottom w:val="none" w:sz="0" w:space="0" w:color="auto"/>
        </w:pBdr>
        <w:spacing w:after="0"/>
        <w:ind w:left="709" w:hanging="709"/>
        <w:jc w:val="both"/>
        <w:rPr>
          <w:szCs w:val="22"/>
        </w:rPr>
      </w:pPr>
      <w:r w:rsidRPr="009406AE">
        <w:rPr>
          <w:szCs w:val="22"/>
          <w:lang w:val="en-GB"/>
        </w:rPr>
        <w:t xml:space="preserve">PITTÍ, K., CURTO, B., y MORENO, V. (2010). </w:t>
      </w:r>
      <w:r>
        <w:rPr>
          <w:szCs w:val="22"/>
        </w:rPr>
        <w:t xml:space="preserve">Experiencias construccionistas con robótica educativa en el centro internacional de tecnologías avanzadas. </w:t>
      </w:r>
      <w:r w:rsidR="00DE0482" w:rsidRPr="00DE0482">
        <w:rPr>
          <w:i/>
          <w:szCs w:val="22"/>
        </w:rPr>
        <w:t>Revista Electrónica</w:t>
      </w:r>
      <w:r w:rsidR="00DE0482">
        <w:rPr>
          <w:szCs w:val="22"/>
        </w:rPr>
        <w:t xml:space="preserve"> </w:t>
      </w:r>
      <w:r w:rsidRPr="0087158B">
        <w:rPr>
          <w:i/>
          <w:szCs w:val="22"/>
        </w:rPr>
        <w:t>Teoría de la Educación. Educación y Cultura en la Sociedad de la Información</w:t>
      </w:r>
      <w:r>
        <w:rPr>
          <w:szCs w:val="22"/>
        </w:rPr>
        <w:t xml:space="preserve">, </w:t>
      </w:r>
      <w:r w:rsidRPr="008E1FFF">
        <w:rPr>
          <w:i/>
          <w:szCs w:val="22"/>
        </w:rPr>
        <w:t>11</w:t>
      </w:r>
      <w:r>
        <w:rPr>
          <w:szCs w:val="22"/>
        </w:rPr>
        <w:t>(3), 310-329.</w:t>
      </w:r>
    </w:p>
    <w:p w14:paraId="7437F030" w14:textId="70B02C03" w:rsidR="00A62B36" w:rsidRDefault="00A62B36" w:rsidP="0087158B">
      <w:pPr>
        <w:pStyle w:val="Ttulo"/>
        <w:pBdr>
          <w:bottom w:val="none" w:sz="0" w:space="0" w:color="auto"/>
        </w:pBdr>
        <w:spacing w:after="0"/>
        <w:ind w:left="709" w:hanging="709"/>
        <w:jc w:val="both"/>
        <w:rPr>
          <w:szCs w:val="22"/>
        </w:rPr>
      </w:pPr>
      <w:r>
        <w:rPr>
          <w:szCs w:val="22"/>
        </w:rPr>
        <w:t xml:space="preserve">SANMARTÍ, N. (2007). </w:t>
      </w:r>
      <w:r w:rsidRPr="00A62B36">
        <w:rPr>
          <w:i/>
          <w:szCs w:val="22"/>
        </w:rPr>
        <w:t>10 ideas clave. Evaluar para aprender</w:t>
      </w:r>
      <w:r>
        <w:rPr>
          <w:szCs w:val="22"/>
        </w:rPr>
        <w:t xml:space="preserve">. Barcelona: </w:t>
      </w:r>
      <w:proofErr w:type="spellStart"/>
      <w:r>
        <w:rPr>
          <w:szCs w:val="22"/>
        </w:rPr>
        <w:t>Graó</w:t>
      </w:r>
      <w:proofErr w:type="spellEnd"/>
      <w:r>
        <w:rPr>
          <w:szCs w:val="22"/>
        </w:rPr>
        <w:t>.</w:t>
      </w:r>
    </w:p>
    <w:p w14:paraId="4AC23972" w14:textId="428346EB" w:rsidR="00A34149" w:rsidRDefault="00A34149" w:rsidP="0087158B">
      <w:pPr>
        <w:pStyle w:val="Ttulo"/>
        <w:pBdr>
          <w:bottom w:val="none" w:sz="0" w:space="0" w:color="auto"/>
        </w:pBdr>
        <w:spacing w:after="0"/>
        <w:ind w:left="709" w:hanging="709"/>
        <w:jc w:val="both"/>
        <w:rPr>
          <w:szCs w:val="22"/>
        </w:rPr>
      </w:pPr>
      <w:r>
        <w:rPr>
          <w:szCs w:val="22"/>
        </w:rPr>
        <w:t xml:space="preserve">SANTOS, M. y OSÓRIO, A. (2019). Aprender a programar en Educación Infantil: análisis con la escala de participación. </w:t>
      </w:r>
      <w:r w:rsidRPr="009406AE">
        <w:rPr>
          <w:i/>
          <w:szCs w:val="22"/>
        </w:rPr>
        <w:t>Pixel-Bit. Revista de Medios y Educación, 55</w:t>
      </w:r>
      <w:r>
        <w:rPr>
          <w:szCs w:val="22"/>
        </w:rPr>
        <w:t xml:space="preserve">, 133-156.  </w:t>
      </w:r>
      <w:r w:rsidR="0051082F">
        <w:rPr>
          <w:szCs w:val="22"/>
        </w:rPr>
        <w:t>d</w:t>
      </w:r>
      <w:r w:rsidRPr="00A34149">
        <w:rPr>
          <w:szCs w:val="22"/>
        </w:rPr>
        <w:t>oi</w:t>
      </w:r>
      <w:r w:rsidR="0051082F">
        <w:rPr>
          <w:szCs w:val="22"/>
        </w:rPr>
        <w:t>:</w:t>
      </w:r>
      <w:r w:rsidRPr="00A34149">
        <w:rPr>
          <w:szCs w:val="22"/>
        </w:rPr>
        <w:t>10.12795/</w:t>
      </w:r>
      <w:proofErr w:type="gramStart"/>
      <w:r w:rsidRPr="00A34149">
        <w:rPr>
          <w:szCs w:val="22"/>
        </w:rPr>
        <w:t>pixelbit.2019.i</w:t>
      </w:r>
      <w:proofErr w:type="gramEnd"/>
      <w:r w:rsidRPr="00A34149">
        <w:rPr>
          <w:szCs w:val="22"/>
        </w:rPr>
        <w:t>55.08</w:t>
      </w:r>
    </w:p>
    <w:p w14:paraId="02F9CDF5" w14:textId="138BB9EA" w:rsidR="00A86669" w:rsidRPr="00A86669" w:rsidRDefault="00A86669" w:rsidP="00A86669">
      <w:pPr>
        <w:spacing w:after="0" w:line="360" w:lineRule="auto"/>
        <w:ind w:left="709" w:hanging="709"/>
        <w:contextualSpacing/>
        <w:jc w:val="both"/>
        <w:rPr>
          <w:rFonts w:eastAsia="Calibri" w:cs="Times New Roman"/>
          <w:sz w:val="22"/>
          <w:lang w:val="en-GB"/>
        </w:rPr>
      </w:pPr>
      <w:r w:rsidRPr="00A86669">
        <w:rPr>
          <w:rFonts w:eastAsia="Calibri" w:cs="Times New Roman"/>
          <w:sz w:val="22"/>
          <w:lang w:val="en-GB"/>
        </w:rPr>
        <w:t xml:space="preserve">SKOVSMOSE, O. (1994). </w:t>
      </w:r>
      <w:r w:rsidRPr="00A86669">
        <w:rPr>
          <w:rFonts w:eastAsia="Calibri" w:cs="Times New Roman"/>
          <w:i/>
          <w:sz w:val="22"/>
          <w:lang w:val="en-GB"/>
        </w:rPr>
        <w:t>Towards a philosophy of critical mathematics education</w:t>
      </w:r>
      <w:r w:rsidRPr="00A86669">
        <w:rPr>
          <w:rFonts w:eastAsia="Calibri" w:cs="Times New Roman"/>
          <w:sz w:val="22"/>
          <w:lang w:val="en-GB"/>
        </w:rPr>
        <w:t>. Dordrecht: Kluwer.</w:t>
      </w:r>
    </w:p>
    <w:p w14:paraId="21064C4A" w14:textId="547AB836" w:rsidR="005E3D4C" w:rsidRPr="009406AE" w:rsidRDefault="005E3D4C" w:rsidP="0087158B">
      <w:pPr>
        <w:pStyle w:val="Ttulo"/>
        <w:pBdr>
          <w:bottom w:val="none" w:sz="0" w:space="0" w:color="auto"/>
        </w:pBdr>
        <w:spacing w:after="0"/>
        <w:ind w:left="709" w:hanging="709"/>
        <w:jc w:val="both"/>
        <w:rPr>
          <w:szCs w:val="22"/>
          <w:lang w:val="en-GB"/>
        </w:rPr>
      </w:pPr>
      <w:r w:rsidRPr="00143DCC">
        <w:rPr>
          <w:szCs w:val="22"/>
          <w:lang w:val="en-GB"/>
        </w:rPr>
        <w:t xml:space="preserve">SULLIVAN, P. y LILBURN, P. (2002). </w:t>
      </w:r>
      <w:r w:rsidRPr="00D51E44">
        <w:rPr>
          <w:i/>
          <w:szCs w:val="22"/>
          <w:lang w:val="en-US"/>
        </w:rPr>
        <w:t xml:space="preserve">Good questions for </w:t>
      </w:r>
      <w:proofErr w:type="spellStart"/>
      <w:r w:rsidRPr="00D51E44">
        <w:rPr>
          <w:i/>
          <w:szCs w:val="22"/>
          <w:lang w:val="en-US"/>
        </w:rPr>
        <w:t>Maths</w:t>
      </w:r>
      <w:proofErr w:type="spellEnd"/>
      <w:r w:rsidRPr="00D51E44">
        <w:rPr>
          <w:i/>
          <w:szCs w:val="22"/>
          <w:lang w:val="en-US"/>
        </w:rPr>
        <w:t xml:space="preserve"> Teaching: why ask them and what to ask, K-6</w:t>
      </w:r>
      <w:r w:rsidRPr="00D51E44">
        <w:rPr>
          <w:szCs w:val="22"/>
          <w:lang w:val="en-US"/>
        </w:rPr>
        <w:t xml:space="preserve">. </w:t>
      </w:r>
      <w:r w:rsidRPr="009406AE">
        <w:rPr>
          <w:szCs w:val="22"/>
          <w:lang w:val="en-GB"/>
        </w:rPr>
        <w:t>Australia: Oxford University Press.</w:t>
      </w:r>
    </w:p>
    <w:p w14:paraId="0C8B1366" w14:textId="5B75C923" w:rsidR="00CB6D79" w:rsidRPr="007E2768" w:rsidRDefault="00CB6D79" w:rsidP="0087158B">
      <w:pPr>
        <w:pStyle w:val="Ttulo"/>
        <w:pBdr>
          <w:bottom w:val="none" w:sz="0" w:space="0" w:color="auto"/>
        </w:pBdr>
        <w:spacing w:after="0"/>
        <w:ind w:left="709" w:hanging="709"/>
        <w:jc w:val="both"/>
        <w:rPr>
          <w:szCs w:val="22"/>
        </w:rPr>
      </w:pPr>
      <w:r w:rsidRPr="009406AE">
        <w:rPr>
          <w:szCs w:val="22"/>
          <w:lang w:val="en-GB"/>
        </w:rPr>
        <w:t>WING, J. M. (2006). C</w:t>
      </w:r>
      <w:r>
        <w:rPr>
          <w:szCs w:val="22"/>
          <w:lang w:val="en-GB"/>
        </w:rPr>
        <w:t xml:space="preserve">omputational Thinking. </w:t>
      </w:r>
      <w:r w:rsidRPr="009406AE">
        <w:rPr>
          <w:i/>
          <w:szCs w:val="22"/>
          <w:lang w:val="en-GB"/>
        </w:rPr>
        <w:t>Communications of the ACM</w:t>
      </w:r>
      <w:r>
        <w:rPr>
          <w:szCs w:val="22"/>
          <w:lang w:val="en-GB"/>
        </w:rPr>
        <w:t xml:space="preserve">, 49(3), 33-35. </w:t>
      </w:r>
      <w:r w:rsidRPr="009406AE">
        <w:rPr>
          <w:szCs w:val="22"/>
        </w:rPr>
        <w:t xml:space="preserve">Recuperado de </w:t>
      </w:r>
      <w:hyperlink r:id="rId20" w:history="1">
        <w:r w:rsidRPr="007E2768">
          <w:rPr>
            <w:rStyle w:val="Hipervnculo"/>
          </w:rPr>
          <w:t>https://www.cs.cmu.edu/~15110-s13/Wing06-ct.pdf</w:t>
        </w:r>
      </w:hyperlink>
    </w:p>
    <w:p w14:paraId="618D4D2E" w14:textId="373B3181" w:rsidR="00916A8A" w:rsidRPr="00916A8A" w:rsidRDefault="00916A8A" w:rsidP="00916A8A">
      <w:pPr>
        <w:pStyle w:val="Ttulo"/>
        <w:pBdr>
          <w:bottom w:val="none" w:sz="0" w:space="0" w:color="auto"/>
        </w:pBdr>
        <w:spacing w:after="0"/>
        <w:ind w:left="709" w:hanging="709"/>
        <w:jc w:val="both"/>
        <w:rPr>
          <w:szCs w:val="22"/>
          <w:lang w:val="en-GB"/>
        </w:rPr>
      </w:pPr>
      <w:r w:rsidRPr="00DD224B">
        <w:rPr>
          <w:szCs w:val="22"/>
          <w:lang w:val="en-GB"/>
        </w:rPr>
        <w:t xml:space="preserve">YAKMAN, G. (2008). STEAM Education: an overview of creating a model of integrative education. </w:t>
      </w:r>
      <w:proofErr w:type="spellStart"/>
      <w:r>
        <w:rPr>
          <w:i/>
          <w:szCs w:val="22"/>
          <w:lang w:val="en-GB"/>
        </w:rPr>
        <w:t>En</w:t>
      </w:r>
      <w:proofErr w:type="spellEnd"/>
      <w:r>
        <w:rPr>
          <w:i/>
          <w:szCs w:val="22"/>
          <w:lang w:val="en-GB"/>
        </w:rPr>
        <w:t xml:space="preserve"> Pupils’ Attitudes Towards Technology (PATT-15) Conference. </w:t>
      </w:r>
      <w:r>
        <w:rPr>
          <w:szCs w:val="22"/>
          <w:lang w:val="en-GB"/>
        </w:rPr>
        <w:t>Salt Lake City, USA.</w:t>
      </w:r>
    </w:p>
    <w:p w14:paraId="09A96743" w14:textId="6C89123B" w:rsidR="005E3D4C" w:rsidRPr="00D51E44" w:rsidRDefault="005E3D4C" w:rsidP="0087158B">
      <w:pPr>
        <w:pStyle w:val="Ttulo"/>
        <w:pBdr>
          <w:bottom w:val="none" w:sz="0" w:space="0" w:color="auto"/>
        </w:pBdr>
        <w:spacing w:after="0"/>
        <w:ind w:left="709" w:hanging="709"/>
        <w:jc w:val="both"/>
        <w:rPr>
          <w:szCs w:val="22"/>
          <w:lang w:val="en-US"/>
        </w:rPr>
      </w:pPr>
      <w:r w:rsidRPr="004E19AA">
        <w:rPr>
          <w:szCs w:val="22"/>
        </w:rPr>
        <w:t xml:space="preserve">YAKMAN, G. y LEE, H. (2012). </w:t>
      </w:r>
      <w:r w:rsidRPr="00D51E44">
        <w:rPr>
          <w:szCs w:val="22"/>
          <w:lang w:val="en-US"/>
        </w:rPr>
        <w:t xml:space="preserve">Exploring the exemplary STEAM education in the U.S. as a practical educational framework for Korea. </w:t>
      </w:r>
      <w:r w:rsidRPr="00D51E44">
        <w:rPr>
          <w:i/>
          <w:szCs w:val="22"/>
          <w:lang w:val="en-US"/>
        </w:rPr>
        <w:t xml:space="preserve">Journal of the </w:t>
      </w:r>
      <w:proofErr w:type="spellStart"/>
      <w:r w:rsidRPr="00D51E44">
        <w:rPr>
          <w:i/>
          <w:szCs w:val="22"/>
          <w:lang w:val="en-US"/>
        </w:rPr>
        <w:t>korean</w:t>
      </w:r>
      <w:proofErr w:type="spellEnd"/>
      <w:r w:rsidRPr="00D51E44">
        <w:rPr>
          <w:i/>
          <w:szCs w:val="22"/>
          <w:lang w:val="en-US"/>
        </w:rPr>
        <w:t xml:space="preserve"> Association for Science Education. 32</w:t>
      </w:r>
      <w:r w:rsidRPr="00D51E44">
        <w:rPr>
          <w:szCs w:val="22"/>
          <w:lang w:val="en-US"/>
        </w:rPr>
        <w:t>(6), 1072-1086.</w:t>
      </w:r>
    </w:p>
    <w:p w14:paraId="5258CDCC" w14:textId="77777777" w:rsidR="00FA0930" w:rsidRDefault="00FA0930" w:rsidP="00FA0930">
      <w:pPr>
        <w:pStyle w:val="TEXTOSARTICULOS"/>
        <w:ind w:left="709" w:hanging="709"/>
        <w:jc w:val="both"/>
      </w:pPr>
    </w:p>
    <w:p w14:paraId="33DBDDD5" w14:textId="77777777" w:rsidR="00FC1682" w:rsidRPr="00FC1682" w:rsidRDefault="00FC1682" w:rsidP="00FC1682">
      <w:pPr>
        <w:rPr>
          <w:lang w:val="en-GB"/>
        </w:rPr>
      </w:pPr>
    </w:p>
    <w:p w14:paraId="14D9FC3D" w14:textId="77777777" w:rsidR="00FC1682" w:rsidRPr="00FC1682" w:rsidRDefault="00FC1682" w:rsidP="00FC1682">
      <w:pPr>
        <w:rPr>
          <w:lang w:val="en-GB"/>
        </w:rPr>
      </w:pPr>
    </w:p>
    <w:p w14:paraId="09AE6B0F" w14:textId="77777777" w:rsidR="00FC1682" w:rsidRPr="00FC1682" w:rsidRDefault="00FC1682" w:rsidP="00FC1682">
      <w:pPr>
        <w:rPr>
          <w:lang w:val="en-GB"/>
        </w:rPr>
      </w:pPr>
    </w:p>
    <w:p w14:paraId="034DC916" w14:textId="77777777" w:rsidR="00FC1682" w:rsidRPr="00FC1682" w:rsidRDefault="00FC1682" w:rsidP="00FC1682">
      <w:pPr>
        <w:rPr>
          <w:lang w:val="en-GB"/>
        </w:rPr>
      </w:pPr>
    </w:p>
    <w:p w14:paraId="5A281207" w14:textId="77777777" w:rsidR="00FC1682" w:rsidRPr="00FC1682" w:rsidRDefault="00FC1682" w:rsidP="00FC1682">
      <w:pPr>
        <w:rPr>
          <w:lang w:val="en-GB"/>
        </w:rPr>
      </w:pPr>
    </w:p>
    <w:p w14:paraId="4E4889DC" w14:textId="77777777" w:rsidR="00FC1682" w:rsidRPr="00FC1682" w:rsidRDefault="00FC1682" w:rsidP="00FC1682">
      <w:pPr>
        <w:rPr>
          <w:lang w:val="en-GB"/>
        </w:rPr>
      </w:pPr>
    </w:p>
    <w:p w14:paraId="4FDD9C4E" w14:textId="77777777" w:rsidR="00FC1682" w:rsidRPr="00FC1682" w:rsidRDefault="00FC1682" w:rsidP="00FC1682">
      <w:pPr>
        <w:rPr>
          <w:lang w:val="en-GB"/>
        </w:rPr>
      </w:pPr>
    </w:p>
    <w:p w14:paraId="03C23EF2" w14:textId="77777777" w:rsidR="00FC1682" w:rsidRPr="00FC1682" w:rsidRDefault="00FC1682" w:rsidP="00FC1682">
      <w:pPr>
        <w:rPr>
          <w:lang w:val="en-GB"/>
        </w:rPr>
      </w:pPr>
    </w:p>
    <w:p w14:paraId="4DF57EE3" w14:textId="77777777" w:rsidR="00FC1682" w:rsidRDefault="00FC1682" w:rsidP="00FC1682">
      <w:pPr>
        <w:rPr>
          <w:lang w:val="en-GB"/>
        </w:rPr>
      </w:pPr>
    </w:p>
    <w:p w14:paraId="5E11B469" w14:textId="77777777" w:rsidR="00AF3498" w:rsidRPr="00FC1682" w:rsidRDefault="00AF3498" w:rsidP="00FC1682">
      <w:pPr>
        <w:tabs>
          <w:tab w:val="left" w:pos="5071"/>
        </w:tabs>
        <w:rPr>
          <w:lang w:val="en-GB"/>
        </w:rPr>
      </w:pPr>
    </w:p>
    <w:sectPr w:rsidR="00AF3498" w:rsidRPr="00FC1682" w:rsidSect="00A62618">
      <w:headerReference w:type="even" r:id="rId21"/>
      <w:headerReference w:type="default" r:id="rId22"/>
      <w:footerReference w:type="even" r:id="rId23"/>
      <w:footerReference w:type="default" r:id="rId24"/>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6AAE9" w14:textId="77777777" w:rsidR="00685D27" w:rsidRDefault="00685D27" w:rsidP="00A945C2">
      <w:pPr>
        <w:spacing w:after="0" w:line="240" w:lineRule="auto"/>
      </w:pPr>
      <w:r>
        <w:separator/>
      </w:r>
    </w:p>
  </w:endnote>
  <w:endnote w:type="continuationSeparator" w:id="0">
    <w:p w14:paraId="02DBD36E" w14:textId="77777777" w:rsidR="00685D27" w:rsidRDefault="00685D27" w:rsidP="00A9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262452740"/>
      <w:docPartObj>
        <w:docPartGallery w:val="Page Numbers (Bottom of Page)"/>
        <w:docPartUnique/>
      </w:docPartObj>
    </w:sdtPr>
    <w:sdtEndPr/>
    <w:sdtContent>
      <w:p w14:paraId="47C8CCBE" w14:textId="2890B71D" w:rsidR="00FC1682" w:rsidRPr="00FC1682" w:rsidRDefault="00FC1682" w:rsidP="00FC1682">
        <w:pPr>
          <w:pStyle w:val="Piedepgina"/>
          <w:pBdr>
            <w:top w:val="single" w:sz="4" w:space="1" w:color="auto"/>
          </w:pBdr>
          <w:jc w:val="center"/>
          <w:rPr>
            <w:sz w:val="22"/>
          </w:rPr>
        </w:pPr>
        <w:r w:rsidRPr="00FC1682">
          <w:rPr>
            <w:sz w:val="22"/>
          </w:rPr>
          <w:fldChar w:fldCharType="begin"/>
        </w:r>
        <w:r w:rsidRPr="00FC1682">
          <w:rPr>
            <w:sz w:val="22"/>
          </w:rPr>
          <w:instrText>PAGE   \* MERGEFORMAT</w:instrText>
        </w:r>
        <w:r w:rsidRPr="00FC1682">
          <w:rPr>
            <w:sz w:val="22"/>
          </w:rPr>
          <w:fldChar w:fldCharType="separate"/>
        </w:r>
        <w:r w:rsidR="00657490">
          <w:rPr>
            <w:noProof/>
            <w:sz w:val="22"/>
          </w:rPr>
          <w:t>20</w:t>
        </w:r>
        <w:r w:rsidRPr="00FC1682">
          <w:rPr>
            <w:sz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B920A" w14:textId="77777777" w:rsidR="00FC1682" w:rsidRDefault="00FC1682" w:rsidP="0027749E">
    <w:pPr>
      <w:pStyle w:val="Ttulo4"/>
      <w:rPr>
        <w:lang w:val="en-US"/>
      </w:rPr>
    </w:pPr>
  </w:p>
  <w:p w14:paraId="0FFE748F" w14:textId="77777777" w:rsidR="00FC1682" w:rsidRDefault="00FC1682" w:rsidP="00FC1682">
    <w:pPr>
      <w:pStyle w:val="Piedepgina"/>
      <w:ind w:right="-2" w:firstLine="357"/>
      <w:jc w:val="right"/>
      <w:rPr>
        <w:szCs w:val="18"/>
        <w:lang w:val="en-US"/>
      </w:rPr>
    </w:pPr>
    <w:proofErr w:type="spellStart"/>
    <w:r w:rsidRPr="00776538">
      <w:rPr>
        <w:szCs w:val="18"/>
        <w:lang w:val="en-US"/>
      </w:rPr>
      <w:t>edmetic</w:t>
    </w:r>
    <w:proofErr w:type="spellEnd"/>
    <w:r w:rsidRPr="00776538">
      <w:rPr>
        <w:szCs w:val="18"/>
        <w:lang w:val="en-US"/>
      </w:rPr>
      <w:t xml:space="preserve">, </w:t>
    </w:r>
    <w:r>
      <w:rPr>
        <w:szCs w:val="18"/>
        <w:lang w:val="en-US"/>
      </w:rPr>
      <w:t>X(X</w:t>
    </w:r>
    <w:r w:rsidRPr="00776538">
      <w:rPr>
        <w:szCs w:val="18"/>
        <w:lang w:val="en-US"/>
      </w:rPr>
      <w:t>), 201</w:t>
    </w:r>
    <w:r>
      <w:rPr>
        <w:szCs w:val="18"/>
        <w:lang w:val="en-US"/>
      </w:rPr>
      <w:t>X</w:t>
    </w:r>
    <w:r w:rsidRPr="00776538">
      <w:rPr>
        <w:szCs w:val="18"/>
        <w:lang w:val="en-US"/>
      </w:rPr>
      <w:t xml:space="preserve">, E-ISSN: </w:t>
    </w:r>
    <w:r>
      <w:rPr>
        <w:szCs w:val="18"/>
        <w:lang w:val="en-US"/>
      </w:rPr>
      <w:t>2254</w:t>
    </w:r>
    <w:r w:rsidRPr="00776538">
      <w:rPr>
        <w:szCs w:val="18"/>
        <w:lang w:val="en-US"/>
      </w:rPr>
      <w:t>-</w:t>
    </w:r>
    <w:r>
      <w:rPr>
        <w:szCs w:val="18"/>
        <w:lang w:val="en-US"/>
      </w:rPr>
      <w:t>0059</w:t>
    </w:r>
    <w:r w:rsidRPr="00776538">
      <w:rPr>
        <w:szCs w:val="18"/>
        <w:lang w:val="en-US"/>
      </w:rPr>
      <w:t>; pp.</w:t>
    </w:r>
    <w:r>
      <w:rPr>
        <w:szCs w:val="18"/>
        <w:lang w:val="en-US"/>
      </w:rPr>
      <w:t xml:space="preserve"> XX-XX-</w:t>
    </w:r>
  </w:p>
  <w:p w14:paraId="2FCA4D38" w14:textId="77777777" w:rsidR="00FC1682" w:rsidRDefault="00FC1682" w:rsidP="00FC1682">
    <w:pPr>
      <w:pStyle w:val="Piedepgina"/>
      <w:ind w:right="-2" w:firstLine="357"/>
      <w:jc w:val="right"/>
      <w:rPr>
        <w:szCs w:val="18"/>
        <w:lang w:val="en-US"/>
      </w:rPr>
    </w:pPr>
    <w:proofErr w:type="spellStart"/>
    <w:r w:rsidRPr="0015336E">
      <w:rPr>
        <w:szCs w:val="18"/>
        <w:lang w:val="en-GB"/>
      </w:rPr>
      <w:t>doi</w:t>
    </w:r>
    <w:proofErr w:type="spellEnd"/>
    <w:r w:rsidRPr="0015336E">
      <w:rPr>
        <w:szCs w:val="18"/>
        <w:lang w:val="en-GB"/>
      </w:rPr>
      <w:t xml:space="preserve">: </w:t>
    </w:r>
    <w:hyperlink r:id="rId1" w:history="1">
      <w:r w:rsidRPr="001B00A5">
        <w:rPr>
          <w:rStyle w:val="Hipervnculo"/>
          <w:szCs w:val="18"/>
          <w:lang w:val="en-GB"/>
        </w:rPr>
        <w:t>https://doi.org/XXXX/edmetic.XXXXXX</w:t>
      </w:r>
    </w:hyperlink>
  </w:p>
  <w:p w14:paraId="7F012AD1" w14:textId="77777777" w:rsidR="00FC1682" w:rsidRPr="0015336E" w:rsidRDefault="00FC1682" w:rsidP="00FC1682">
    <w:pPr>
      <w:pStyle w:val="Piedepgina"/>
      <w:ind w:right="-2" w:firstLine="357"/>
      <w:jc w:val="right"/>
      <w:rPr>
        <w:sz w:val="16"/>
        <w:szCs w:val="16"/>
      </w:rPr>
    </w:pPr>
    <w:proofErr w:type="spellStart"/>
    <w:r w:rsidRPr="00F44F86">
      <w:rPr>
        <w:sz w:val="16"/>
        <w:szCs w:val="16"/>
      </w:rPr>
      <w:t>edmetic</w:t>
    </w:r>
    <w:proofErr w:type="spellEnd"/>
    <w:r w:rsidRPr="00F44F86">
      <w:rPr>
        <w:sz w:val="16"/>
        <w:szCs w:val="16"/>
      </w:rPr>
      <w:t>, Revista de Educación Mediática y TIC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1F24B" w14:textId="77777777" w:rsidR="00685D27" w:rsidRDefault="00685D27" w:rsidP="00A945C2">
      <w:pPr>
        <w:spacing w:after="0" w:line="240" w:lineRule="auto"/>
      </w:pPr>
      <w:r>
        <w:separator/>
      </w:r>
    </w:p>
  </w:footnote>
  <w:footnote w:type="continuationSeparator" w:id="0">
    <w:p w14:paraId="47E4AB76" w14:textId="77777777" w:rsidR="00685D27" w:rsidRDefault="00685D27" w:rsidP="00A945C2">
      <w:pPr>
        <w:spacing w:after="0" w:line="240" w:lineRule="auto"/>
      </w:pPr>
      <w:r>
        <w:continuationSeparator/>
      </w:r>
    </w:p>
  </w:footnote>
  <w:footnote w:id="1">
    <w:p w14:paraId="53E03602" w14:textId="7512AF83" w:rsidR="00A945C2" w:rsidRDefault="00A945C2" w:rsidP="00AF3498">
      <w:pPr>
        <w:pStyle w:val="Ttulo2"/>
      </w:pPr>
      <w:r>
        <w:rPr>
          <w:rStyle w:val="Refdenotaalpie"/>
        </w:rPr>
        <w:footnoteRef/>
      </w:r>
      <w:r>
        <w:t xml:space="preserve"> Universidad </w:t>
      </w:r>
      <w:r w:rsidR="00A47F86">
        <w:t>de Lleida</w:t>
      </w:r>
      <w:r>
        <w:t xml:space="preserve"> (</w:t>
      </w:r>
      <w:r w:rsidR="000A113F">
        <w:t>España</w:t>
      </w:r>
      <w:r>
        <w:t xml:space="preserve">), </w:t>
      </w:r>
      <w:r w:rsidR="00A47F86">
        <w:t>maria.ricart@matematica.udl.cat</w:t>
      </w:r>
      <w:r>
        <w:t xml:space="preserve">; </w:t>
      </w:r>
      <w:r w:rsidR="00A47F86">
        <w:t>0000-0001-9999-0515</w:t>
      </w:r>
      <w:r>
        <w:t>.</w:t>
      </w:r>
    </w:p>
  </w:footnote>
  <w:footnote w:id="2">
    <w:p w14:paraId="5B84BF05" w14:textId="356D9679" w:rsidR="00A945C2" w:rsidRDefault="00A945C2" w:rsidP="00AF3498">
      <w:pPr>
        <w:pStyle w:val="Ttulo2"/>
      </w:pPr>
      <w:r>
        <w:rPr>
          <w:rStyle w:val="Refdenotaalpie"/>
        </w:rPr>
        <w:footnoteRef/>
      </w:r>
      <w:r>
        <w:t xml:space="preserve"> </w:t>
      </w:r>
      <w:r w:rsidR="00AF3498">
        <w:t xml:space="preserve">Universidad </w:t>
      </w:r>
      <w:r w:rsidR="00A47F86">
        <w:t>de Lleida</w:t>
      </w:r>
      <w:r w:rsidR="00AF3498">
        <w:t xml:space="preserve"> (</w:t>
      </w:r>
      <w:r w:rsidR="000A113F">
        <w:t>España</w:t>
      </w:r>
      <w:r w:rsidR="00AF3498">
        <w:t xml:space="preserve">), </w:t>
      </w:r>
      <w:r w:rsidR="00A47F86">
        <w:t>aestrada@matematica.udl.cat</w:t>
      </w:r>
      <w:r w:rsidR="00AF3498">
        <w:t xml:space="preserve">; </w:t>
      </w:r>
      <w:r w:rsidR="00A47F86" w:rsidRPr="003E23D1">
        <w:rPr>
          <w:color w:val="000000"/>
          <w:sz w:val="18"/>
          <w:szCs w:val="18"/>
        </w:rPr>
        <w:t>0000-0002-3595-9145</w:t>
      </w:r>
      <w:r w:rsidR="00AF3498">
        <w:t>.</w:t>
      </w:r>
    </w:p>
  </w:footnote>
  <w:footnote w:id="3">
    <w:p w14:paraId="0EA109EC" w14:textId="0886DD1F" w:rsidR="00A945C2" w:rsidRDefault="00A945C2" w:rsidP="00AF3498">
      <w:pPr>
        <w:pStyle w:val="Ttulo2"/>
      </w:pPr>
      <w:r>
        <w:rPr>
          <w:rStyle w:val="Refdenotaalpie"/>
        </w:rPr>
        <w:footnoteRef/>
      </w:r>
      <w:r>
        <w:t xml:space="preserve"> </w:t>
      </w:r>
      <w:r w:rsidR="000A113F">
        <w:t xml:space="preserve">Llar </w:t>
      </w:r>
      <w:proofErr w:type="spellStart"/>
      <w:r w:rsidR="000A113F">
        <w:t>d’Infants</w:t>
      </w:r>
      <w:proofErr w:type="spellEnd"/>
      <w:r w:rsidR="000A113F">
        <w:t xml:space="preserve"> Municipal la </w:t>
      </w:r>
      <w:proofErr w:type="spellStart"/>
      <w:r w:rsidR="000A113F">
        <w:t>Cadernera</w:t>
      </w:r>
      <w:proofErr w:type="spellEnd"/>
      <w:r w:rsidR="00AF3498">
        <w:t xml:space="preserve"> (</w:t>
      </w:r>
      <w:r w:rsidR="000A113F">
        <w:t>España</w:t>
      </w:r>
      <w:r w:rsidR="00AF3498">
        <w:t xml:space="preserve">), </w:t>
      </w:r>
      <w:r w:rsidR="000A113F">
        <w:t>margalefmartimaria@gmail.com.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1A47" w14:textId="38517F25" w:rsidR="00FC1682" w:rsidRPr="00FC1682" w:rsidRDefault="000A113F" w:rsidP="00FC1682">
    <w:pPr>
      <w:pStyle w:val="Encabezado"/>
      <w:pBdr>
        <w:bottom w:val="single" w:sz="4" w:space="1" w:color="auto"/>
      </w:pBdr>
      <w:rPr>
        <w:i/>
      </w:rPr>
    </w:pPr>
    <w:proofErr w:type="spellStart"/>
    <w:r>
      <w:rPr>
        <w:i/>
      </w:rPr>
      <w:t>Ricart</w:t>
    </w:r>
    <w:proofErr w:type="spellEnd"/>
    <w:r>
      <w:rPr>
        <w:i/>
      </w:rPr>
      <w:t>, M</w:t>
    </w:r>
    <w:r w:rsidR="00FC1682" w:rsidRPr="00FC1682">
      <w:rPr>
        <w:i/>
      </w:rPr>
      <w:t xml:space="preserve">., </w:t>
    </w:r>
    <w:r>
      <w:rPr>
        <w:i/>
      </w:rPr>
      <w:t>Estrada, A</w:t>
    </w:r>
    <w:r w:rsidR="00FC1682" w:rsidRPr="00FC1682">
      <w:rPr>
        <w:i/>
      </w:rPr>
      <w:t xml:space="preserve">., &amp; </w:t>
    </w:r>
    <w:proofErr w:type="spellStart"/>
    <w:r>
      <w:rPr>
        <w:i/>
      </w:rPr>
      <w:t>Margalef</w:t>
    </w:r>
    <w:proofErr w:type="spellEnd"/>
    <w:r>
      <w:rPr>
        <w:i/>
      </w:rPr>
      <w:t>, M</w:t>
    </w:r>
    <w:r w:rsidR="00FC1682" w:rsidRPr="00FC1682">
      <w:rPr>
        <w:i/>
      </w:rPr>
      <w:t>.</w:t>
    </w:r>
  </w:p>
  <w:p w14:paraId="5B91D149" w14:textId="77777777" w:rsidR="00FC1682" w:rsidRDefault="00FC168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CC759" w14:textId="77777777" w:rsidR="00A945C2" w:rsidRDefault="00A945C2">
    <w:pPr>
      <w:pStyle w:val="Encabezado"/>
    </w:pPr>
  </w:p>
  <w:p w14:paraId="060897A6" w14:textId="77777777" w:rsidR="00A945C2" w:rsidRDefault="00A945C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3F69"/>
    <w:multiLevelType w:val="multilevel"/>
    <w:tmpl w:val="A0D0F4A8"/>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37561C"/>
    <w:multiLevelType w:val="multilevel"/>
    <w:tmpl w:val="7780F2BE"/>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EF6AB6"/>
    <w:multiLevelType w:val="multilevel"/>
    <w:tmpl w:val="8FA07BDE"/>
    <w:lvl w:ilvl="0">
      <w:start w:val="1"/>
      <w:numFmt w:val="decimal"/>
      <w:lvlText w:val="%1."/>
      <w:lvlJc w:val="left"/>
      <w:pPr>
        <w:ind w:left="720" w:hanging="360"/>
      </w:pPr>
      <w:rPr>
        <w:rFonts w:cs="Times New Roman"/>
      </w:rPr>
    </w:lvl>
    <w:lvl w:ilvl="1">
      <w:start w:val="3"/>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CF961AF"/>
    <w:multiLevelType w:val="hybridMultilevel"/>
    <w:tmpl w:val="03BED2E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128B03B6"/>
    <w:multiLevelType w:val="multilevel"/>
    <w:tmpl w:val="495CDCC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sz w:val="20"/>
      </w:rPr>
    </w:lvl>
    <w:lvl w:ilvl="2">
      <w:start w:val="1"/>
      <w:numFmt w:val="decimal"/>
      <w:isLgl/>
      <w:lvlText w:val="%1.%2.%3"/>
      <w:lvlJc w:val="left"/>
      <w:pPr>
        <w:ind w:left="1080" w:hanging="720"/>
      </w:pPr>
      <w:rPr>
        <w:rFonts w:cs="Times New Roman" w:hint="default"/>
        <w:sz w:val="20"/>
      </w:rPr>
    </w:lvl>
    <w:lvl w:ilvl="3">
      <w:start w:val="1"/>
      <w:numFmt w:val="decimal"/>
      <w:isLgl/>
      <w:lvlText w:val="%1.%2.%3.%4"/>
      <w:lvlJc w:val="left"/>
      <w:pPr>
        <w:ind w:left="1080" w:hanging="720"/>
      </w:pPr>
      <w:rPr>
        <w:rFonts w:cs="Times New Roman" w:hint="default"/>
        <w:sz w:val="20"/>
      </w:rPr>
    </w:lvl>
    <w:lvl w:ilvl="4">
      <w:start w:val="1"/>
      <w:numFmt w:val="decimal"/>
      <w:isLgl/>
      <w:lvlText w:val="%1.%2.%3.%4.%5"/>
      <w:lvlJc w:val="left"/>
      <w:pPr>
        <w:ind w:left="1440" w:hanging="1080"/>
      </w:pPr>
      <w:rPr>
        <w:rFonts w:cs="Times New Roman" w:hint="default"/>
        <w:sz w:val="20"/>
      </w:rPr>
    </w:lvl>
    <w:lvl w:ilvl="5">
      <w:start w:val="1"/>
      <w:numFmt w:val="decimal"/>
      <w:isLgl/>
      <w:lvlText w:val="%1.%2.%3.%4.%5.%6"/>
      <w:lvlJc w:val="left"/>
      <w:pPr>
        <w:ind w:left="1440" w:hanging="1080"/>
      </w:pPr>
      <w:rPr>
        <w:rFonts w:cs="Times New Roman" w:hint="default"/>
        <w:sz w:val="20"/>
      </w:rPr>
    </w:lvl>
    <w:lvl w:ilvl="6">
      <w:start w:val="1"/>
      <w:numFmt w:val="decimal"/>
      <w:isLgl/>
      <w:lvlText w:val="%1.%2.%3.%4.%5.%6.%7"/>
      <w:lvlJc w:val="left"/>
      <w:pPr>
        <w:ind w:left="1800" w:hanging="1440"/>
      </w:pPr>
      <w:rPr>
        <w:rFonts w:cs="Times New Roman" w:hint="default"/>
        <w:sz w:val="20"/>
      </w:rPr>
    </w:lvl>
    <w:lvl w:ilvl="7">
      <w:start w:val="1"/>
      <w:numFmt w:val="decimal"/>
      <w:isLgl/>
      <w:lvlText w:val="%1.%2.%3.%4.%5.%6.%7.%8"/>
      <w:lvlJc w:val="left"/>
      <w:pPr>
        <w:ind w:left="1800" w:hanging="1440"/>
      </w:pPr>
      <w:rPr>
        <w:rFonts w:cs="Times New Roman" w:hint="default"/>
        <w:sz w:val="20"/>
      </w:rPr>
    </w:lvl>
    <w:lvl w:ilvl="8">
      <w:start w:val="1"/>
      <w:numFmt w:val="decimal"/>
      <w:isLgl/>
      <w:lvlText w:val="%1.%2.%3.%4.%5.%6.%7.%8.%9"/>
      <w:lvlJc w:val="left"/>
      <w:pPr>
        <w:ind w:left="2160" w:hanging="1800"/>
      </w:pPr>
      <w:rPr>
        <w:rFonts w:cs="Times New Roman" w:hint="default"/>
        <w:sz w:val="20"/>
      </w:rPr>
    </w:lvl>
  </w:abstractNum>
  <w:abstractNum w:abstractNumId="5" w15:restartNumberingAfterBreak="0">
    <w:nsid w:val="18396593"/>
    <w:multiLevelType w:val="multilevel"/>
    <w:tmpl w:val="0C406784"/>
    <w:lvl w:ilvl="0">
      <w:start w:val="1"/>
      <w:numFmt w:val="decimal"/>
      <w:lvlText w:val="%1."/>
      <w:lvlJc w:val="left"/>
      <w:pPr>
        <w:ind w:left="720" w:hanging="360"/>
      </w:pPr>
      <w:rPr>
        <w:rFonts w:cs="Times New Roman" w:hint="default"/>
      </w:rPr>
    </w:lvl>
    <w:lvl w:ilvl="1">
      <w:start w:val="1"/>
      <w:numFmt w:val="decimal"/>
      <w:isLgl/>
      <w:lvlText w:val="%1.%2"/>
      <w:lvlJc w:val="left"/>
      <w:pPr>
        <w:ind w:left="965" w:hanging="36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1815" w:hanging="720"/>
      </w:pPr>
      <w:rPr>
        <w:rFonts w:cs="Times New Roman" w:hint="default"/>
      </w:rPr>
    </w:lvl>
    <w:lvl w:ilvl="4">
      <w:start w:val="1"/>
      <w:numFmt w:val="decimal"/>
      <w:isLgl/>
      <w:lvlText w:val="%1.%2.%3.%4.%5"/>
      <w:lvlJc w:val="left"/>
      <w:pPr>
        <w:ind w:left="2420" w:hanging="1080"/>
      </w:pPr>
      <w:rPr>
        <w:rFonts w:cs="Times New Roman" w:hint="default"/>
      </w:rPr>
    </w:lvl>
    <w:lvl w:ilvl="5">
      <w:start w:val="1"/>
      <w:numFmt w:val="decimal"/>
      <w:isLgl/>
      <w:lvlText w:val="%1.%2.%3.%4.%5.%6"/>
      <w:lvlJc w:val="left"/>
      <w:pPr>
        <w:ind w:left="2665" w:hanging="1080"/>
      </w:pPr>
      <w:rPr>
        <w:rFonts w:cs="Times New Roman" w:hint="default"/>
      </w:rPr>
    </w:lvl>
    <w:lvl w:ilvl="6">
      <w:start w:val="1"/>
      <w:numFmt w:val="decimal"/>
      <w:isLgl/>
      <w:lvlText w:val="%1.%2.%3.%4.%5.%6.%7"/>
      <w:lvlJc w:val="left"/>
      <w:pPr>
        <w:ind w:left="3270" w:hanging="1440"/>
      </w:pPr>
      <w:rPr>
        <w:rFonts w:cs="Times New Roman" w:hint="default"/>
      </w:rPr>
    </w:lvl>
    <w:lvl w:ilvl="7">
      <w:start w:val="1"/>
      <w:numFmt w:val="decimal"/>
      <w:isLgl/>
      <w:lvlText w:val="%1.%2.%3.%4.%5.%6.%7.%8"/>
      <w:lvlJc w:val="left"/>
      <w:pPr>
        <w:ind w:left="3515" w:hanging="1440"/>
      </w:pPr>
      <w:rPr>
        <w:rFonts w:cs="Times New Roman" w:hint="default"/>
      </w:rPr>
    </w:lvl>
    <w:lvl w:ilvl="8">
      <w:start w:val="1"/>
      <w:numFmt w:val="decimal"/>
      <w:isLgl/>
      <w:lvlText w:val="%1.%2.%3.%4.%5.%6.%7.%8.%9"/>
      <w:lvlJc w:val="left"/>
      <w:pPr>
        <w:ind w:left="4120" w:hanging="1800"/>
      </w:pPr>
      <w:rPr>
        <w:rFonts w:cs="Times New Roman" w:hint="default"/>
      </w:rPr>
    </w:lvl>
  </w:abstractNum>
  <w:abstractNum w:abstractNumId="6" w15:restartNumberingAfterBreak="0">
    <w:nsid w:val="34AC7160"/>
    <w:multiLevelType w:val="multilevel"/>
    <w:tmpl w:val="CE10E1D2"/>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351A615A"/>
    <w:multiLevelType w:val="multilevel"/>
    <w:tmpl w:val="D3EEF82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8" w15:restartNumberingAfterBreak="0">
    <w:nsid w:val="395814AB"/>
    <w:multiLevelType w:val="hybridMultilevel"/>
    <w:tmpl w:val="FE5CA6B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56C33A32"/>
    <w:multiLevelType w:val="multilevel"/>
    <w:tmpl w:val="9320C36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15:restartNumberingAfterBreak="0">
    <w:nsid w:val="62952B48"/>
    <w:multiLevelType w:val="multilevel"/>
    <w:tmpl w:val="CCBA8830"/>
    <w:lvl w:ilvl="0">
      <w:start w:val="1"/>
      <w:numFmt w:val="decimal"/>
      <w:lvlText w:val="%1."/>
      <w:lvlJc w:val="left"/>
      <w:pPr>
        <w:ind w:left="720" w:hanging="360"/>
      </w:pPr>
      <w:rPr>
        <w:rFonts w:cs="Times New Roman" w:hint="default"/>
      </w:rPr>
    </w:lvl>
    <w:lvl w:ilvl="1">
      <w:start w:val="1"/>
      <w:numFmt w:val="decimal"/>
      <w:isLgl/>
      <w:lvlText w:val="%1.%2."/>
      <w:lvlJc w:val="left"/>
      <w:pPr>
        <w:ind w:left="1325"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175" w:hanging="1080"/>
      </w:pPr>
      <w:rPr>
        <w:rFonts w:cs="Times New Roman" w:hint="default"/>
      </w:rPr>
    </w:lvl>
    <w:lvl w:ilvl="4">
      <w:start w:val="1"/>
      <w:numFmt w:val="decimal"/>
      <w:isLgl/>
      <w:lvlText w:val="%1.%2.%3.%4.%5."/>
      <w:lvlJc w:val="left"/>
      <w:pPr>
        <w:ind w:left="2780" w:hanging="1440"/>
      </w:pPr>
      <w:rPr>
        <w:rFonts w:cs="Times New Roman" w:hint="default"/>
      </w:rPr>
    </w:lvl>
    <w:lvl w:ilvl="5">
      <w:start w:val="1"/>
      <w:numFmt w:val="decimal"/>
      <w:isLgl/>
      <w:lvlText w:val="%1.%2.%3.%4.%5.%6."/>
      <w:lvlJc w:val="left"/>
      <w:pPr>
        <w:ind w:left="3025" w:hanging="1440"/>
      </w:pPr>
      <w:rPr>
        <w:rFonts w:cs="Times New Roman" w:hint="default"/>
      </w:rPr>
    </w:lvl>
    <w:lvl w:ilvl="6">
      <w:start w:val="1"/>
      <w:numFmt w:val="decimal"/>
      <w:isLgl/>
      <w:lvlText w:val="%1.%2.%3.%4.%5.%6.%7."/>
      <w:lvlJc w:val="left"/>
      <w:pPr>
        <w:ind w:left="3630" w:hanging="1800"/>
      </w:pPr>
      <w:rPr>
        <w:rFonts w:cs="Times New Roman" w:hint="default"/>
      </w:rPr>
    </w:lvl>
    <w:lvl w:ilvl="7">
      <w:start w:val="1"/>
      <w:numFmt w:val="decimal"/>
      <w:isLgl/>
      <w:lvlText w:val="%1.%2.%3.%4.%5.%6.%7.%8."/>
      <w:lvlJc w:val="left"/>
      <w:pPr>
        <w:ind w:left="3875" w:hanging="1800"/>
      </w:pPr>
      <w:rPr>
        <w:rFonts w:cs="Times New Roman" w:hint="default"/>
      </w:rPr>
    </w:lvl>
    <w:lvl w:ilvl="8">
      <w:start w:val="1"/>
      <w:numFmt w:val="decimal"/>
      <w:isLgl/>
      <w:lvlText w:val="%1.%2.%3.%4.%5.%6.%7.%8.%9."/>
      <w:lvlJc w:val="left"/>
      <w:pPr>
        <w:ind w:left="4480" w:hanging="2160"/>
      </w:pPr>
      <w:rPr>
        <w:rFonts w:cs="Times New Roman" w:hint="default"/>
      </w:rPr>
    </w:lvl>
  </w:abstractNum>
  <w:abstractNum w:abstractNumId="11" w15:restartNumberingAfterBreak="0">
    <w:nsid w:val="711A529A"/>
    <w:multiLevelType w:val="multilevel"/>
    <w:tmpl w:val="686C6F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0B4E85"/>
    <w:multiLevelType w:val="hybridMultilevel"/>
    <w:tmpl w:val="9D60062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1"/>
  </w:num>
  <w:num w:numId="4">
    <w:abstractNumId w:val="10"/>
  </w:num>
  <w:num w:numId="5">
    <w:abstractNumId w:val="7"/>
  </w:num>
  <w:num w:numId="6">
    <w:abstractNumId w:val="9"/>
  </w:num>
  <w:num w:numId="7">
    <w:abstractNumId w:val="6"/>
  </w:num>
  <w:num w:numId="8">
    <w:abstractNumId w:val="3"/>
  </w:num>
  <w:num w:numId="9">
    <w:abstractNumId w:val="8"/>
  </w:num>
  <w:num w:numId="10">
    <w:abstractNumId w:val="4"/>
  </w:num>
  <w:num w:numId="11">
    <w:abstractNumId w:val="2"/>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C2"/>
    <w:rsid w:val="000013B7"/>
    <w:rsid w:val="0000308C"/>
    <w:rsid w:val="00003C1F"/>
    <w:rsid w:val="000064B1"/>
    <w:rsid w:val="00064B4C"/>
    <w:rsid w:val="0008364A"/>
    <w:rsid w:val="00084472"/>
    <w:rsid w:val="000910BD"/>
    <w:rsid w:val="0009200B"/>
    <w:rsid w:val="00096BE0"/>
    <w:rsid w:val="000A113F"/>
    <w:rsid w:val="000A1516"/>
    <w:rsid w:val="000A3819"/>
    <w:rsid w:val="000A7B6D"/>
    <w:rsid w:val="000B1D8E"/>
    <w:rsid w:val="000C1A8E"/>
    <w:rsid w:val="000D4D8B"/>
    <w:rsid w:val="000F0BA8"/>
    <w:rsid w:val="000F6F6B"/>
    <w:rsid w:val="001033AC"/>
    <w:rsid w:val="00103CF9"/>
    <w:rsid w:val="001045F1"/>
    <w:rsid w:val="00105B97"/>
    <w:rsid w:val="00111A3E"/>
    <w:rsid w:val="00117F61"/>
    <w:rsid w:val="00122282"/>
    <w:rsid w:val="001254EB"/>
    <w:rsid w:val="00143DCC"/>
    <w:rsid w:val="001522E5"/>
    <w:rsid w:val="001537A8"/>
    <w:rsid w:val="001649F6"/>
    <w:rsid w:val="0019320D"/>
    <w:rsid w:val="00196228"/>
    <w:rsid w:val="001E2306"/>
    <w:rsid w:val="002051DB"/>
    <w:rsid w:val="0020638B"/>
    <w:rsid w:val="00217635"/>
    <w:rsid w:val="00221D29"/>
    <w:rsid w:val="00231603"/>
    <w:rsid w:val="00231A69"/>
    <w:rsid w:val="00235076"/>
    <w:rsid w:val="00264799"/>
    <w:rsid w:val="00270B0F"/>
    <w:rsid w:val="00271C35"/>
    <w:rsid w:val="0027749E"/>
    <w:rsid w:val="00282BBD"/>
    <w:rsid w:val="002958F0"/>
    <w:rsid w:val="002A0DDA"/>
    <w:rsid w:val="002B7460"/>
    <w:rsid w:val="002C0D3D"/>
    <w:rsid w:val="002C36FC"/>
    <w:rsid w:val="002C480D"/>
    <w:rsid w:val="002D0064"/>
    <w:rsid w:val="002E3978"/>
    <w:rsid w:val="002E6AFF"/>
    <w:rsid w:val="002F0512"/>
    <w:rsid w:val="0030054F"/>
    <w:rsid w:val="00301FE5"/>
    <w:rsid w:val="003029EC"/>
    <w:rsid w:val="003074AD"/>
    <w:rsid w:val="0030768B"/>
    <w:rsid w:val="00311C4D"/>
    <w:rsid w:val="00311E1F"/>
    <w:rsid w:val="003202E1"/>
    <w:rsid w:val="00321D97"/>
    <w:rsid w:val="00325B74"/>
    <w:rsid w:val="003265B9"/>
    <w:rsid w:val="0033483C"/>
    <w:rsid w:val="003475F0"/>
    <w:rsid w:val="00351C37"/>
    <w:rsid w:val="003566DC"/>
    <w:rsid w:val="00356ED8"/>
    <w:rsid w:val="00360B22"/>
    <w:rsid w:val="0036446C"/>
    <w:rsid w:val="0036579A"/>
    <w:rsid w:val="00391E2C"/>
    <w:rsid w:val="00394B12"/>
    <w:rsid w:val="00397C47"/>
    <w:rsid w:val="003A0BFF"/>
    <w:rsid w:val="003A4E19"/>
    <w:rsid w:val="003C4E7A"/>
    <w:rsid w:val="003C6F23"/>
    <w:rsid w:val="003D3B0F"/>
    <w:rsid w:val="003D3FBE"/>
    <w:rsid w:val="003D4F9D"/>
    <w:rsid w:val="003D59F1"/>
    <w:rsid w:val="003D79A5"/>
    <w:rsid w:val="003F223F"/>
    <w:rsid w:val="003F531B"/>
    <w:rsid w:val="0040774F"/>
    <w:rsid w:val="00410AAF"/>
    <w:rsid w:val="00422D55"/>
    <w:rsid w:val="004249C1"/>
    <w:rsid w:val="00431F89"/>
    <w:rsid w:val="00436502"/>
    <w:rsid w:val="004443DF"/>
    <w:rsid w:val="004536E0"/>
    <w:rsid w:val="00496295"/>
    <w:rsid w:val="004A52AB"/>
    <w:rsid w:val="004B2FA1"/>
    <w:rsid w:val="004C669A"/>
    <w:rsid w:val="004D2052"/>
    <w:rsid w:val="004E19AA"/>
    <w:rsid w:val="004E2A8A"/>
    <w:rsid w:val="004E66B9"/>
    <w:rsid w:val="004F0AB4"/>
    <w:rsid w:val="00504B3F"/>
    <w:rsid w:val="0051082F"/>
    <w:rsid w:val="00512E5E"/>
    <w:rsid w:val="005201D7"/>
    <w:rsid w:val="00522315"/>
    <w:rsid w:val="00522557"/>
    <w:rsid w:val="00525DFE"/>
    <w:rsid w:val="00530CD9"/>
    <w:rsid w:val="0053455A"/>
    <w:rsid w:val="005364F8"/>
    <w:rsid w:val="00541214"/>
    <w:rsid w:val="00544005"/>
    <w:rsid w:val="005469AE"/>
    <w:rsid w:val="00573D72"/>
    <w:rsid w:val="00575D7B"/>
    <w:rsid w:val="00585905"/>
    <w:rsid w:val="00595640"/>
    <w:rsid w:val="00596BE5"/>
    <w:rsid w:val="00597D42"/>
    <w:rsid w:val="005A190F"/>
    <w:rsid w:val="005B050D"/>
    <w:rsid w:val="005B0D76"/>
    <w:rsid w:val="005B4A3C"/>
    <w:rsid w:val="005B7B86"/>
    <w:rsid w:val="005C6996"/>
    <w:rsid w:val="005D141E"/>
    <w:rsid w:val="005D6165"/>
    <w:rsid w:val="005E3D4C"/>
    <w:rsid w:val="005E519A"/>
    <w:rsid w:val="005E541C"/>
    <w:rsid w:val="005F2FCA"/>
    <w:rsid w:val="005F57D1"/>
    <w:rsid w:val="00614F3A"/>
    <w:rsid w:val="00632FEE"/>
    <w:rsid w:val="00634596"/>
    <w:rsid w:val="00635709"/>
    <w:rsid w:val="006419BF"/>
    <w:rsid w:val="00645D4F"/>
    <w:rsid w:val="00654922"/>
    <w:rsid w:val="00657490"/>
    <w:rsid w:val="006636A7"/>
    <w:rsid w:val="00666EFC"/>
    <w:rsid w:val="006703D0"/>
    <w:rsid w:val="00672658"/>
    <w:rsid w:val="00673787"/>
    <w:rsid w:val="00675E1A"/>
    <w:rsid w:val="00685D27"/>
    <w:rsid w:val="006958FA"/>
    <w:rsid w:val="006A5C01"/>
    <w:rsid w:val="006B1C16"/>
    <w:rsid w:val="006B7672"/>
    <w:rsid w:val="006C0D76"/>
    <w:rsid w:val="006C2CCE"/>
    <w:rsid w:val="006E11BE"/>
    <w:rsid w:val="006E2148"/>
    <w:rsid w:val="006F2B48"/>
    <w:rsid w:val="00704B38"/>
    <w:rsid w:val="007054BC"/>
    <w:rsid w:val="007241B3"/>
    <w:rsid w:val="00724264"/>
    <w:rsid w:val="0072698A"/>
    <w:rsid w:val="0073289A"/>
    <w:rsid w:val="007423EF"/>
    <w:rsid w:val="00745E8D"/>
    <w:rsid w:val="00746AC2"/>
    <w:rsid w:val="00754440"/>
    <w:rsid w:val="00754751"/>
    <w:rsid w:val="00755CF5"/>
    <w:rsid w:val="00765673"/>
    <w:rsid w:val="00767D8B"/>
    <w:rsid w:val="00771C0D"/>
    <w:rsid w:val="00775B3A"/>
    <w:rsid w:val="00781603"/>
    <w:rsid w:val="00785EC3"/>
    <w:rsid w:val="007A610F"/>
    <w:rsid w:val="007B4B16"/>
    <w:rsid w:val="007B707D"/>
    <w:rsid w:val="007C1A3B"/>
    <w:rsid w:val="007C5F3A"/>
    <w:rsid w:val="007C5FF7"/>
    <w:rsid w:val="007D38F4"/>
    <w:rsid w:val="007D775D"/>
    <w:rsid w:val="007E017D"/>
    <w:rsid w:val="007E2768"/>
    <w:rsid w:val="007E4429"/>
    <w:rsid w:val="007F467B"/>
    <w:rsid w:val="00815F64"/>
    <w:rsid w:val="00821231"/>
    <w:rsid w:val="00824494"/>
    <w:rsid w:val="00825BBF"/>
    <w:rsid w:val="0082642E"/>
    <w:rsid w:val="0083095B"/>
    <w:rsid w:val="00840B2D"/>
    <w:rsid w:val="00847EF6"/>
    <w:rsid w:val="008632BB"/>
    <w:rsid w:val="0087158B"/>
    <w:rsid w:val="00875599"/>
    <w:rsid w:val="008820D1"/>
    <w:rsid w:val="00883C61"/>
    <w:rsid w:val="00892AB8"/>
    <w:rsid w:val="008A1E9F"/>
    <w:rsid w:val="008A5F4F"/>
    <w:rsid w:val="008B11A5"/>
    <w:rsid w:val="008B17CB"/>
    <w:rsid w:val="008B317A"/>
    <w:rsid w:val="008D056D"/>
    <w:rsid w:val="008D3EAA"/>
    <w:rsid w:val="008D4EBB"/>
    <w:rsid w:val="008E00C4"/>
    <w:rsid w:val="008E1FFF"/>
    <w:rsid w:val="008E6730"/>
    <w:rsid w:val="008F014D"/>
    <w:rsid w:val="009026C5"/>
    <w:rsid w:val="00903542"/>
    <w:rsid w:val="00916A8A"/>
    <w:rsid w:val="0093404B"/>
    <w:rsid w:val="009406AE"/>
    <w:rsid w:val="00941314"/>
    <w:rsid w:val="0094433D"/>
    <w:rsid w:val="0095664A"/>
    <w:rsid w:val="00956BD1"/>
    <w:rsid w:val="009631A8"/>
    <w:rsid w:val="00964975"/>
    <w:rsid w:val="00966203"/>
    <w:rsid w:val="00966FBA"/>
    <w:rsid w:val="009737D8"/>
    <w:rsid w:val="009764D3"/>
    <w:rsid w:val="00976E08"/>
    <w:rsid w:val="00987C0E"/>
    <w:rsid w:val="0099183B"/>
    <w:rsid w:val="009A01CE"/>
    <w:rsid w:val="009A3DED"/>
    <w:rsid w:val="009A44D6"/>
    <w:rsid w:val="009C138A"/>
    <w:rsid w:val="009C5143"/>
    <w:rsid w:val="009D32F4"/>
    <w:rsid w:val="009E11A4"/>
    <w:rsid w:val="009E36F1"/>
    <w:rsid w:val="009E60AB"/>
    <w:rsid w:val="00A06166"/>
    <w:rsid w:val="00A12BE3"/>
    <w:rsid w:val="00A13F3C"/>
    <w:rsid w:val="00A2216B"/>
    <w:rsid w:val="00A24444"/>
    <w:rsid w:val="00A26DFA"/>
    <w:rsid w:val="00A31582"/>
    <w:rsid w:val="00A34149"/>
    <w:rsid w:val="00A35852"/>
    <w:rsid w:val="00A41812"/>
    <w:rsid w:val="00A4557E"/>
    <w:rsid w:val="00A47F86"/>
    <w:rsid w:val="00A52939"/>
    <w:rsid w:val="00A5326E"/>
    <w:rsid w:val="00A53F1C"/>
    <w:rsid w:val="00A62618"/>
    <w:rsid w:val="00A62B36"/>
    <w:rsid w:val="00A64362"/>
    <w:rsid w:val="00A64776"/>
    <w:rsid w:val="00A65167"/>
    <w:rsid w:val="00A7119B"/>
    <w:rsid w:val="00A7458E"/>
    <w:rsid w:val="00A80326"/>
    <w:rsid w:val="00A86669"/>
    <w:rsid w:val="00A945C2"/>
    <w:rsid w:val="00AA4B00"/>
    <w:rsid w:val="00AA732A"/>
    <w:rsid w:val="00AB1507"/>
    <w:rsid w:val="00AB2F3F"/>
    <w:rsid w:val="00AB49BE"/>
    <w:rsid w:val="00AC6AEF"/>
    <w:rsid w:val="00AD0F3D"/>
    <w:rsid w:val="00AD53F8"/>
    <w:rsid w:val="00AD56D5"/>
    <w:rsid w:val="00AD6DD4"/>
    <w:rsid w:val="00AF2B2D"/>
    <w:rsid w:val="00AF3498"/>
    <w:rsid w:val="00B05195"/>
    <w:rsid w:val="00B10065"/>
    <w:rsid w:val="00B12F00"/>
    <w:rsid w:val="00B13134"/>
    <w:rsid w:val="00B15445"/>
    <w:rsid w:val="00B2185C"/>
    <w:rsid w:val="00B22F69"/>
    <w:rsid w:val="00B2403A"/>
    <w:rsid w:val="00B26E9C"/>
    <w:rsid w:val="00B30085"/>
    <w:rsid w:val="00B33232"/>
    <w:rsid w:val="00B3509D"/>
    <w:rsid w:val="00B415BF"/>
    <w:rsid w:val="00B508A2"/>
    <w:rsid w:val="00B52D42"/>
    <w:rsid w:val="00B61531"/>
    <w:rsid w:val="00B65949"/>
    <w:rsid w:val="00B67524"/>
    <w:rsid w:val="00B7104B"/>
    <w:rsid w:val="00B74718"/>
    <w:rsid w:val="00B836EA"/>
    <w:rsid w:val="00B90F4E"/>
    <w:rsid w:val="00B926E0"/>
    <w:rsid w:val="00B94479"/>
    <w:rsid w:val="00BB26B0"/>
    <w:rsid w:val="00BB4E29"/>
    <w:rsid w:val="00BC020A"/>
    <w:rsid w:val="00BC1D76"/>
    <w:rsid w:val="00BC3676"/>
    <w:rsid w:val="00BC415C"/>
    <w:rsid w:val="00BC6CBD"/>
    <w:rsid w:val="00BC7434"/>
    <w:rsid w:val="00BD1523"/>
    <w:rsid w:val="00C0129B"/>
    <w:rsid w:val="00C04285"/>
    <w:rsid w:val="00C053D5"/>
    <w:rsid w:val="00C05FA1"/>
    <w:rsid w:val="00C064DF"/>
    <w:rsid w:val="00C127E8"/>
    <w:rsid w:val="00C143C3"/>
    <w:rsid w:val="00C23B78"/>
    <w:rsid w:val="00C35F80"/>
    <w:rsid w:val="00C415E2"/>
    <w:rsid w:val="00C42691"/>
    <w:rsid w:val="00C4731B"/>
    <w:rsid w:val="00C50364"/>
    <w:rsid w:val="00C722A1"/>
    <w:rsid w:val="00C81B31"/>
    <w:rsid w:val="00C85866"/>
    <w:rsid w:val="00C94C58"/>
    <w:rsid w:val="00C96613"/>
    <w:rsid w:val="00CB4133"/>
    <w:rsid w:val="00CB6D79"/>
    <w:rsid w:val="00CC242F"/>
    <w:rsid w:val="00CD3ED7"/>
    <w:rsid w:val="00CE0357"/>
    <w:rsid w:val="00CE38C2"/>
    <w:rsid w:val="00CE4E94"/>
    <w:rsid w:val="00CE7FC9"/>
    <w:rsid w:val="00D01E1E"/>
    <w:rsid w:val="00D1373C"/>
    <w:rsid w:val="00D1479E"/>
    <w:rsid w:val="00D16D6B"/>
    <w:rsid w:val="00D239F9"/>
    <w:rsid w:val="00D246BE"/>
    <w:rsid w:val="00D2491C"/>
    <w:rsid w:val="00D30CE5"/>
    <w:rsid w:val="00D318CC"/>
    <w:rsid w:val="00D3485F"/>
    <w:rsid w:val="00D35C3F"/>
    <w:rsid w:val="00D409CA"/>
    <w:rsid w:val="00D43652"/>
    <w:rsid w:val="00D4734C"/>
    <w:rsid w:val="00D50B66"/>
    <w:rsid w:val="00D50EEC"/>
    <w:rsid w:val="00D51E44"/>
    <w:rsid w:val="00D5474E"/>
    <w:rsid w:val="00D54F23"/>
    <w:rsid w:val="00D6169F"/>
    <w:rsid w:val="00D67204"/>
    <w:rsid w:val="00D70A5D"/>
    <w:rsid w:val="00D714DF"/>
    <w:rsid w:val="00D7776C"/>
    <w:rsid w:val="00D84E22"/>
    <w:rsid w:val="00D869C3"/>
    <w:rsid w:val="00D92793"/>
    <w:rsid w:val="00DA5F7B"/>
    <w:rsid w:val="00DA6294"/>
    <w:rsid w:val="00DB3BA1"/>
    <w:rsid w:val="00DB6BF0"/>
    <w:rsid w:val="00DC0A83"/>
    <w:rsid w:val="00DC28AA"/>
    <w:rsid w:val="00DD0BA1"/>
    <w:rsid w:val="00DD39AF"/>
    <w:rsid w:val="00DD4B97"/>
    <w:rsid w:val="00DE0482"/>
    <w:rsid w:val="00E06FDC"/>
    <w:rsid w:val="00E154F7"/>
    <w:rsid w:val="00E21235"/>
    <w:rsid w:val="00E41579"/>
    <w:rsid w:val="00E45E7C"/>
    <w:rsid w:val="00E47670"/>
    <w:rsid w:val="00E501AE"/>
    <w:rsid w:val="00E526B4"/>
    <w:rsid w:val="00E545F0"/>
    <w:rsid w:val="00E56296"/>
    <w:rsid w:val="00E67DAB"/>
    <w:rsid w:val="00E717A1"/>
    <w:rsid w:val="00E72963"/>
    <w:rsid w:val="00E87F58"/>
    <w:rsid w:val="00E96435"/>
    <w:rsid w:val="00E97097"/>
    <w:rsid w:val="00EA2C4C"/>
    <w:rsid w:val="00EA5612"/>
    <w:rsid w:val="00EB0E25"/>
    <w:rsid w:val="00EB1155"/>
    <w:rsid w:val="00EB1606"/>
    <w:rsid w:val="00EB1890"/>
    <w:rsid w:val="00ED1ADB"/>
    <w:rsid w:val="00EE16A8"/>
    <w:rsid w:val="00EE2B45"/>
    <w:rsid w:val="00EE2C30"/>
    <w:rsid w:val="00EE4953"/>
    <w:rsid w:val="00EF2BBE"/>
    <w:rsid w:val="00F10771"/>
    <w:rsid w:val="00F10959"/>
    <w:rsid w:val="00F30E49"/>
    <w:rsid w:val="00F34F29"/>
    <w:rsid w:val="00F41110"/>
    <w:rsid w:val="00F5174D"/>
    <w:rsid w:val="00F54A46"/>
    <w:rsid w:val="00F63D50"/>
    <w:rsid w:val="00F724E1"/>
    <w:rsid w:val="00F83390"/>
    <w:rsid w:val="00F84FDB"/>
    <w:rsid w:val="00F8530C"/>
    <w:rsid w:val="00F91F3F"/>
    <w:rsid w:val="00F9376D"/>
    <w:rsid w:val="00F95861"/>
    <w:rsid w:val="00FA0930"/>
    <w:rsid w:val="00FA77F3"/>
    <w:rsid w:val="00FB4309"/>
    <w:rsid w:val="00FB6CFE"/>
    <w:rsid w:val="00FB75D9"/>
    <w:rsid w:val="00FC1682"/>
    <w:rsid w:val="00FD21F8"/>
    <w:rsid w:val="00FD4EC0"/>
    <w:rsid w:val="00FD4F0E"/>
    <w:rsid w:val="00FD60C4"/>
    <w:rsid w:val="00FD7AB6"/>
    <w:rsid w:val="00FE01DF"/>
    <w:rsid w:val="00FE5191"/>
    <w:rsid w:val="00FE6C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0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w:rsid w:val="00A945C2"/>
    <w:rPr>
      <w:rFonts w:ascii="Century Gothic" w:hAnsi="Century Gothic"/>
      <w:sz w:val="18"/>
    </w:rPr>
  </w:style>
  <w:style w:type="paragraph" w:styleId="Ttulo1">
    <w:name w:val="heading 1"/>
    <w:aliases w:val="Resumen y Palabas clave"/>
    <w:basedOn w:val="Normal"/>
    <w:next w:val="Normal"/>
    <w:link w:val="Ttulo1Car"/>
    <w:uiPriority w:val="9"/>
    <w:qFormat/>
    <w:rsid w:val="00EE2C30"/>
    <w:pPr>
      <w:keepNext/>
      <w:keepLines/>
      <w:spacing w:after="0" w:line="240" w:lineRule="auto"/>
      <w:jc w:val="both"/>
      <w:outlineLvl w:val="0"/>
    </w:pPr>
    <w:rPr>
      <w:rFonts w:eastAsiaTheme="majorEastAsia" w:cstheme="majorBidi"/>
      <w:bCs/>
      <w:szCs w:val="28"/>
    </w:rPr>
  </w:style>
  <w:style w:type="paragraph" w:styleId="Ttulo2">
    <w:name w:val="heading 2"/>
    <w:aliases w:val="Pie de págiona datos autores"/>
    <w:basedOn w:val="Normal"/>
    <w:next w:val="Normal"/>
    <w:link w:val="Ttulo2Car"/>
    <w:uiPriority w:val="9"/>
    <w:unhideWhenUsed/>
    <w:qFormat/>
    <w:rsid w:val="00A945C2"/>
    <w:pPr>
      <w:keepNext/>
      <w:keepLines/>
      <w:spacing w:after="0" w:line="240" w:lineRule="auto"/>
      <w:jc w:val="both"/>
      <w:outlineLvl w:val="1"/>
    </w:pPr>
    <w:rPr>
      <w:rFonts w:eastAsiaTheme="majorEastAsia" w:cstheme="majorBidi"/>
      <w:bCs/>
      <w:sz w:val="16"/>
      <w:szCs w:val="26"/>
    </w:rPr>
  </w:style>
  <w:style w:type="paragraph" w:styleId="Ttulo3">
    <w:name w:val="heading 3"/>
    <w:aliases w:val="TÍTULO APARTADO PRINCIPAL"/>
    <w:basedOn w:val="Normal"/>
    <w:next w:val="Normal"/>
    <w:link w:val="Ttulo3Car"/>
    <w:uiPriority w:val="9"/>
    <w:unhideWhenUsed/>
    <w:rsid w:val="0027749E"/>
    <w:pPr>
      <w:keepNext/>
      <w:keepLines/>
      <w:spacing w:before="120" w:after="0" w:line="360" w:lineRule="auto"/>
      <w:jc w:val="both"/>
      <w:outlineLvl w:val="2"/>
    </w:pPr>
    <w:rPr>
      <w:rFonts w:eastAsiaTheme="majorEastAsia" w:cstheme="majorBidi"/>
      <w:b/>
      <w:bCs/>
      <w:sz w:val="24"/>
    </w:rPr>
  </w:style>
  <w:style w:type="paragraph" w:styleId="Ttulo4">
    <w:name w:val="heading 4"/>
    <w:aliases w:val="SUB-APARTADO"/>
    <w:basedOn w:val="Normal"/>
    <w:next w:val="Normal"/>
    <w:link w:val="Ttulo4Car"/>
    <w:uiPriority w:val="9"/>
    <w:unhideWhenUsed/>
    <w:qFormat/>
    <w:rsid w:val="00FC1682"/>
    <w:pPr>
      <w:keepNext/>
      <w:keepLines/>
      <w:spacing w:after="0" w:line="360" w:lineRule="auto"/>
      <w:outlineLvl w:val="3"/>
    </w:pPr>
    <w:rPr>
      <w:rFonts w:eastAsiaTheme="majorEastAsia" w:cstheme="majorBidi"/>
      <w:bCs/>
      <w:i/>
      <w:iCs/>
      <w:sz w:val="16"/>
    </w:rPr>
  </w:style>
  <w:style w:type="paragraph" w:styleId="Ttulo5">
    <w:name w:val="heading 5"/>
    <w:basedOn w:val="Normal"/>
    <w:next w:val="Normal"/>
    <w:link w:val="Ttulo5Car"/>
    <w:uiPriority w:val="9"/>
    <w:semiHidden/>
    <w:unhideWhenUsed/>
    <w:rsid w:val="00FC168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5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45C2"/>
  </w:style>
  <w:style w:type="paragraph" w:styleId="Piedepgina">
    <w:name w:val="footer"/>
    <w:basedOn w:val="Normal"/>
    <w:link w:val="PiedepginaCar"/>
    <w:uiPriority w:val="99"/>
    <w:unhideWhenUsed/>
    <w:rsid w:val="00A945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45C2"/>
  </w:style>
  <w:style w:type="paragraph" w:styleId="Textodeglobo">
    <w:name w:val="Balloon Text"/>
    <w:basedOn w:val="Normal"/>
    <w:link w:val="TextodegloboCar"/>
    <w:uiPriority w:val="99"/>
    <w:semiHidden/>
    <w:unhideWhenUsed/>
    <w:rsid w:val="00A945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45C2"/>
    <w:rPr>
      <w:rFonts w:ascii="Tahoma" w:hAnsi="Tahoma" w:cs="Tahoma"/>
      <w:sz w:val="16"/>
      <w:szCs w:val="16"/>
    </w:rPr>
  </w:style>
  <w:style w:type="paragraph" w:customStyle="1" w:styleId="TTULODELARTCULO">
    <w:name w:val="TÍTULO DEL ARTÍCULO"/>
    <w:basedOn w:val="Normal"/>
    <w:link w:val="TTULODELARTCULOCar"/>
    <w:qFormat/>
    <w:rsid w:val="00A945C2"/>
    <w:pPr>
      <w:spacing w:after="0" w:line="360" w:lineRule="auto"/>
      <w:jc w:val="center"/>
    </w:pPr>
    <w:rPr>
      <w:b/>
      <w:sz w:val="28"/>
      <w:szCs w:val="28"/>
    </w:rPr>
  </w:style>
  <w:style w:type="paragraph" w:styleId="Sinespaciado">
    <w:name w:val="No Spacing"/>
    <w:aliases w:val="autores"/>
    <w:uiPriority w:val="1"/>
    <w:qFormat/>
    <w:rsid w:val="00A945C2"/>
    <w:pPr>
      <w:spacing w:after="0" w:line="240" w:lineRule="auto"/>
    </w:pPr>
  </w:style>
  <w:style w:type="character" w:customStyle="1" w:styleId="TTULODELARTCULOCar">
    <w:name w:val="TÍTULO DEL ARTÍCULO Car"/>
    <w:basedOn w:val="Fuentedeprrafopredeter"/>
    <w:link w:val="TTULODELARTCULO"/>
    <w:rsid w:val="00A945C2"/>
    <w:rPr>
      <w:rFonts w:ascii="Century Gothic" w:hAnsi="Century Gothic"/>
      <w:b/>
      <w:sz w:val="28"/>
      <w:szCs w:val="28"/>
    </w:rPr>
  </w:style>
  <w:style w:type="paragraph" w:styleId="Textonotapie">
    <w:name w:val="footnote text"/>
    <w:basedOn w:val="Normal"/>
    <w:link w:val="TextonotapieCar"/>
    <w:uiPriority w:val="99"/>
    <w:semiHidden/>
    <w:unhideWhenUsed/>
    <w:rsid w:val="00A945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45C2"/>
    <w:rPr>
      <w:sz w:val="20"/>
      <w:szCs w:val="20"/>
    </w:rPr>
  </w:style>
  <w:style w:type="character" w:styleId="Refdenotaalpie">
    <w:name w:val="footnote reference"/>
    <w:basedOn w:val="Fuentedeprrafopredeter"/>
    <w:uiPriority w:val="99"/>
    <w:semiHidden/>
    <w:unhideWhenUsed/>
    <w:rsid w:val="00A945C2"/>
    <w:rPr>
      <w:vertAlign w:val="superscript"/>
    </w:rPr>
  </w:style>
  <w:style w:type="character" w:customStyle="1" w:styleId="Ttulo1Car">
    <w:name w:val="Título 1 Car"/>
    <w:aliases w:val="Resumen y Palabas clave Car"/>
    <w:basedOn w:val="Fuentedeprrafopredeter"/>
    <w:link w:val="Ttulo1"/>
    <w:uiPriority w:val="9"/>
    <w:rsid w:val="00EE2C30"/>
    <w:rPr>
      <w:rFonts w:ascii="Century Gothic" w:eastAsiaTheme="majorEastAsia" w:hAnsi="Century Gothic" w:cstheme="majorBidi"/>
      <w:bCs/>
      <w:sz w:val="18"/>
      <w:szCs w:val="28"/>
    </w:rPr>
  </w:style>
  <w:style w:type="character" w:customStyle="1" w:styleId="Ttulo2Car">
    <w:name w:val="Título 2 Car"/>
    <w:aliases w:val="Pie de págiona datos autores Car"/>
    <w:basedOn w:val="Fuentedeprrafopredeter"/>
    <w:link w:val="Ttulo2"/>
    <w:uiPriority w:val="9"/>
    <w:rsid w:val="00A945C2"/>
    <w:rPr>
      <w:rFonts w:ascii="Century Gothic" w:eastAsiaTheme="majorEastAsia" w:hAnsi="Century Gothic" w:cstheme="majorBidi"/>
      <w:bCs/>
      <w:sz w:val="16"/>
      <w:szCs w:val="26"/>
    </w:rPr>
  </w:style>
  <w:style w:type="character" w:customStyle="1" w:styleId="Ttulo3Car">
    <w:name w:val="Título 3 Car"/>
    <w:aliases w:val="TÍTULO APARTADO PRINCIPAL Car"/>
    <w:basedOn w:val="Fuentedeprrafopredeter"/>
    <w:link w:val="Ttulo3"/>
    <w:uiPriority w:val="9"/>
    <w:rsid w:val="0027749E"/>
    <w:rPr>
      <w:rFonts w:ascii="Century Gothic" w:eastAsiaTheme="majorEastAsia" w:hAnsi="Century Gothic" w:cstheme="majorBidi"/>
      <w:b/>
      <w:bCs/>
      <w:sz w:val="24"/>
    </w:rPr>
  </w:style>
  <w:style w:type="paragraph" w:styleId="Ttulo">
    <w:name w:val="Title"/>
    <w:aliases w:val="TEXTO ARTICULO"/>
    <w:basedOn w:val="Normal"/>
    <w:next w:val="Normal"/>
    <w:link w:val="TtuloCar"/>
    <w:uiPriority w:val="10"/>
    <w:rsid w:val="00AF3498"/>
    <w:pPr>
      <w:pBdr>
        <w:bottom w:val="single" w:sz="8" w:space="4" w:color="4F81BD" w:themeColor="accent1"/>
      </w:pBdr>
      <w:spacing w:after="120" w:line="360" w:lineRule="auto"/>
      <w:contextualSpacing/>
    </w:pPr>
    <w:rPr>
      <w:rFonts w:eastAsiaTheme="majorEastAsia" w:cstheme="majorBidi"/>
      <w:spacing w:val="5"/>
      <w:kern w:val="28"/>
      <w:sz w:val="22"/>
      <w:szCs w:val="52"/>
    </w:rPr>
  </w:style>
  <w:style w:type="character" w:customStyle="1" w:styleId="TtuloCar">
    <w:name w:val="Título Car"/>
    <w:aliases w:val="TEXTO ARTICULO Car"/>
    <w:basedOn w:val="Fuentedeprrafopredeter"/>
    <w:link w:val="Ttulo"/>
    <w:uiPriority w:val="10"/>
    <w:rsid w:val="00AF3498"/>
    <w:rPr>
      <w:rFonts w:ascii="Century Gothic" w:eastAsiaTheme="majorEastAsia" w:hAnsi="Century Gothic" w:cstheme="majorBidi"/>
      <w:spacing w:val="5"/>
      <w:kern w:val="28"/>
      <w:szCs w:val="52"/>
    </w:rPr>
  </w:style>
  <w:style w:type="character" w:customStyle="1" w:styleId="Ttulo4Car">
    <w:name w:val="Título 4 Car"/>
    <w:aliases w:val="SUB-APARTADO Car"/>
    <w:basedOn w:val="Fuentedeprrafopredeter"/>
    <w:link w:val="Ttulo4"/>
    <w:uiPriority w:val="9"/>
    <w:rsid w:val="00FC1682"/>
    <w:rPr>
      <w:rFonts w:ascii="Century Gothic" w:eastAsiaTheme="majorEastAsia" w:hAnsi="Century Gothic" w:cstheme="majorBidi"/>
      <w:bCs/>
      <w:i/>
      <w:iCs/>
      <w:sz w:val="16"/>
    </w:rPr>
  </w:style>
  <w:style w:type="character" w:customStyle="1" w:styleId="Ttulo5Car">
    <w:name w:val="Título 5 Car"/>
    <w:basedOn w:val="Fuentedeprrafopredeter"/>
    <w:link w:val="Ttulo5"/>
    <w:uiPriority w:val="9"/>
    <w:semiHidden/>
    <w:rsid w:val="00FC1682"/>
    <w:rPr>
      <w:rFonts w:asciiTheme="majorHAnsi" w:eastAsiaTheme="majorEastAsia" w:hAnsiTheme="majorHAnsi" w:cstheme="majorBidi"/>
      <w:color w:val="243F60" w:themeColor="accent1" w:themeShade="7F"/>
      <w:sz w:val="18"/>
    </w:rPr>
  </w:style>
  <w:style w:type="character" w:styleId="Hipervnculo">
    <w:name w:val="Hyperlink"/>
    <w:uiPriority w:val="99"/>
    <w:rsid w:val="00FC1682"/>
    <w:rPr>
      <w:noProof w:val="0"/>
      <w:color w:val="000080"/>
      <w:u w:val="single"/>
    </w:rPr>
  </w:style>
  <w:style w:type="character" w:styleId="nfasis">
    <w:name w:val="Emphasis"/>
    <w:aliases w:val="APARTADO 1"/>
    <w:basedOn w:val="Fuentedeprrafopredeter"/>
    <w:uiPriority w:val="20"/>
    <w:rsid w:val="0027749E"/>
    <w:rPr>
      <w:rFonts w:ascii="Century Gothic" w:hAnsi="Century Gothic"/>
      <w:b/>
      <w:iCs/>
      <w:sz w:val="24"/>
    </w:rPr>
  </w:style>
  <w:style w:type="paragraph" w:customStyle="1" w:styleId="APARTADOPRINCIPAL">
    <w:name w:val="APARTADO PRINCIPAL"/>
    <w:basedOn w:val="Ttulo3"/>
    <w:link w:val="APARTADOPRINCIPALCar"/>
    <w:qFormat/>
    <w:rsid w:val="0027749E"/>
    <w:rPr>
      <w:lang w:val="en-GB"/>
    </w:rPr>
  </w:style>
  <w:style w:type="paragraph" w:customStyle="1" w:styleId="TEXTOSARTICULOS">
    <w:name w:val="TEXTOS ARTICULOS"/>
    <w:basedOn w:val="Normal"/>
    <w:link w:val="TEXTOSARTICULOSCar"/>
    <w:qFormat/>
    <w:rsid w:val="00F724E1"/>
    <w:pPr>
      <w:spacing w:after="0" w:line="360" w:lineRule="auto"/>
    </w:pPr>
    <w:rPr>
      <w:sz w:val="22"/>
      <w:lang w:val="en-GB"/>
    </w:rPr>
  </w:style>
  <w:style w:type="character" w:customStyle="1" w:styleId="APARTADOPRINCIPALCar">
    <w:name w:val="APARTADO PRINCIPAL Car"/>
    <w:basedOn w:val="Ttulo3Car"/>
    <w:link w:val="APARTADOPRINCIPAL"/>
    <w:rsid w:val="0027749E"/>
    <w:rPr>
      <w:rFonts w:ascii="Century Gothic" w:eastAsiaTheme="majorEastAsia" w:hAnsi="Century Gothic" w:cstheme="majorBidi"/>
      <w:b/>
      <w:bCs/>
      <w:sz w:val="24"/>
      <w:lang w:val="en-GB"/>
    </w:rPr>
  </w:style>
  <w:style w:type="character" w:customStyle="1" w:styleId="TEXTOSARTICULOSCar">
    <w:name w:val="TEXTOS ARTICULOS Car"/>
    <w:basedOn w:val="Fuentedeprrafopredeter"/>
    <w:link w:val="TEXTOSARTICULOS"/>
    <w:rsid w:val="00F724E1"/>
    <w:rPr>
      <w:rFonts w:ascii="Century Gothic" w:hAnsi="Century Gothic"/>
      <w:lang w:val="en-GB"/>
    </w:rPr>
  </w:style>
  <w:style w:type="table" w:styleId="Tablaconcuadrcula">
    <w:name w:val="Table Grid"/>
    <w:basedOn w:val="Tablanormal"/>
    <w:uiPriority w:val="59"/>
    <w:rsid w:val="00FA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ulticolor-nfasis31">
    <w:name w:val="Sombreado multicolor - Énfasis 31"/>
    <w:basedOn w:val="Normal"/>
    <w:uiPriority w:val="34"/>
    <w:qFormat/>
    <w:rsid w:val="00D869C3"/>
    <w:pPr>
      <w:spacing w:after="160" w:line="259" w:lineRule="auto"/>
      <w:ind w:left="720"/>
      <w:contextualSpacing/>
    </w:pPr>
    <w:rPr>
      <w:rFonts w:ascii="Calibri" w:eastAsia="Calibri" w:hAnsi="Calibri" w:cs="Times New Roman"/>
      <w:sz w:val="22"/>
    </w:rPr>
  </w:style>
  <w:style w:type="paragraph" w:styleId="Prrafodelista">
    <w:name w:val="List Paragraph"/>
    <w:basedOn w:val="Normal"/>
    <w:uiPriority w:val="99"/>
    <w:qFormat/>
    <w:rsid w:val="00530CD9"/>
    <w:pPr>
      <w:spacing w:after="160" w:line="256" w:lineRule="auto"/>
      <w:ind w:left="720"/>
      <w:contextualSpacing/>
    </w:pPr>
    <w:rPr>
      <w:rFonts w:ascii="Calibri" w:eastAsia="Calibri" w:hAnsi="Calibri" w:cs="Times New Roman"/>
      <w:sz w:val="22"/>
      <w:lang w:val="ca-ES"/>
    </w:rPr>
  </w:style>
  <w:style w:type="character" w:styleId="Refdecomentario">
    <w:name w:val="annotation reference"/>
    <w:basedOn w:val="Fuentedeprrafopredeter"/>
    <w:uiPriority w:val="99"/>
    <w:semiHidden/>
    <w:unhideWhenUsed/>
    <w:rsid w:val="00D51E44"/>
    <w:rPr>
      <w:sz w:val="16"/>
      <w:szCs w:val="16"/>
    </w:rPr>
  </w:style>
  <w:style w:type="paragraph" w:styleId="Textocomentario">
    <w:name w:val="annotation text"/>
    <w:basedOn w:val="Normal"/>
    <w:link w:val="TextocomentarioCar"/>
    <w:uiPriority w:val="99"/>
    <w:semiHidden/>
    <w:unhideWhenUsed/>
    <w:rsid w:val="00D51E4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1E44"/>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D51E44"/>
    <w:rPr>
      <w:b/>
      <w:bCs/>
    </w:rPr>
  </w:style>
  <w:style w:type="character" w:customStyle="1" w:styleId="AsuntodelcomentarioCar">
    <w:name w:val="Asunto del comentario Car"/>
    <w:basedOn w:val="TextocomentarioCar"/>
    <w:link w:val="Asuntodelcomentario"/>
    <w:uiPriority w:val="99"/>
    <w:semiHidden/>
    <w:rsid w:val="00D51E44"/>
    <w:rPr>
      <w:rFonts w:ascii="Century Gothic" w:hAnsi="Century Gothic"/>
      <w:b/>
      <w:bCs/>
      <w:sz w:val="20"/>
      <w:szCs w:val="20"/>
    </w:rPr>
  </w:style>
  <w:style w:type="paragraph" w:styleId="Revisin">
    <w:name w:val="Revision"/>
    <w:hidden/>
    <w:uiPriority w:val="99"/>
    <w:semiHidden/>
    <w:rsid w:val="009406AE"/>
    <w:pPr>
      <w:spacing w:after="0" w:line="240" w:lineRule="auto"/>
    </w:pPr>
    <w:rPr>
      <w:rFonts w:ascii="Century Gothic" w:hAnsi="Century Gothic"/>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ensenyament.gencat.cat/web/.content/home/departament/publicacions/colleccions/curriculum/curriculum-infantil-2n-cicle.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eprints.rclis.org/3425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oc.site/2-robotica-educativa-con-arduino-pdf-free.html" TargetMode="External"/><Relationship Id="rId20" Type="http://schemas.openxmlformats.org/officeDocument/2006/relationships/hyperlink" Target="https://www.cs.cmu.edu/~15110-s13/Wing06-c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biblioteca2.ucab.edu.ve/anexos/biblioteca/marc/texto/AAQ6345.pdf"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www.boe.es/buscar/doc.php?id=BOE-A-2008-22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oi.org/XXXX/edmetic.XXXXX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11DB2-2FBC-43DE-8FFB-35C1A346A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6306</Words>
  <Characters>35950</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2019-06-09T11:46:00Z</dcterms:created>
  <dcterms:modified xsi:type="dcterms:W3CDTF">2019-06-09T11:46:00Z</dcterms:modified>
</cp:coreProperties>
</file>