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FBF" w:rsidRPr="00D67204" w:rsidRDefault="004D1FBF" w:rsidP="004D1FBF">
      <w:pPr>
        <w:spacing w:after="0" w:line="360" w:lineRule="auto"/>
        <w:jc w:val="center"/>
        <w:rPr>
          <w:szCs w:val="18"/>
        </w:rPr>
      </w:pPr>
      <w:r w:rsidRPr="00D67204">
        <w:rPr>
          <w:szCs w:val="18"/>
        </w:rPr>
        <w:t>Tabla 1. Análisis epistémico: procesos matemáticos</w:t>
      </w:r>
      <w:r>
        <w:rPr>
          <w:szCs w:val="18"/>
        </w:rPr>
        <w:t>. Fuente: Elaboración propia</w:t>
      </w:r>
    </w:p>
    <w:tbl>
      <w:tblPr>
        <w:tblpPr w:leftFromText="141" w:rightFromText="141" w:vertAnchor="text" w:horzAnchor="margin" w:tblpXSpec="center" w:tblpY="119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728"/>
        <w:gridCol w:w="5776"/>
      </w:tblGrid>
      <w:tr w:rsidR="004D1FBF" w:rsidRPr="00DC5A98" w:rsidTr="00687C83">
        <w:tc>
          <w:tcPr>
            <w:tcW w:w="2748" w:type="dxa"/>
            <w:shd w:val="clear" w:color="auto" w:fill="auto"/>
          </w:tcPr>
          <w:p w:rsidR="004D1FBF" w:rsidRPr="00D35C3F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D35C3F">
              <w:rPr>
                <w:b/>
                <w:sz w:val="20"/>
                <w:szCs w:val="20"/>
              </w:rPr>
              <w:t>Procesos</w:t>
            </w:r>
          </w:p>
        </w:tc>
        <w:tc>
          <w:tcPr>
            <w:tcW w:w="5972" w:type="dxa"/>
            <w:shd w:val="clear" w:color="auto" w:fill="auto"/>
          </w:tcPr>
          <w:p w:rsidR="004D1FBF" w:rsidRPr="00D35C3F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D35C3F">
              <w:rPr>
                <w:b/>
                <w:sz w:val="20"/>
                <w:szCs w:val="20"/>
              </w:rPr>
              <w:t>Significado</w:t>
            </w:r>
          </w:p>
        </w:tc>
      </w:tr>
      <w:tr w:rsidR="004D1FBF" w:rsidRPr="00DC5A98" w:rsidTr="00687C83">
        <w:tc>
          <w:tcPr>
            <w:tcW w:w="2748" w:type="dxa"/>
          </w:tcPr>
          <w:p w:rsidR="004D1FBF" w:rsidRPr="00AF2B2D" w:rsidRDefault="004D1FBF" w:rsidP="004D1FBF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Resolución de problemas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Representación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Comunicación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Razonamiento y prueba (probar, predecir, argumentar)</w:t>
            </w:r>
          </w:p>
          <w:p w:rsidR="004D1FBF" w:rsidRPr="00AF2B2D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4D1FBF" w:rsidRPr="00AF2B2D" w:rsidRDefault="004D1FBF" w:rsidP="004D1FB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Encontrar soluciones a un reto, es decir, que la Blue-</w:t>
            </w:r>
            <w:proofErr w:type="spellStart"/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 xml:space="preserve"> llegue al destino deseado.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Mostrar el resultado; eso es, representar las órdenes que indican las flechas de la ficha y representar libremente un camino.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Transmitir, es decir, explicar cómo se llega al destino y/o justificar por qué no se ha llegado.</w:t>
            </w:r>
          </w:p>
          <w:p w:rsidR="004D1FBF" w:rsidRPr="00AF2B2D" w:rsidRDefault="004D1FBF" w:rsidP="004D1FB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4D1FBF" w:rsidRPr="00AF2B2D" w:rsidRDefault="004D1FBF" w:rsidP="00687C83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Probar. Trabajar a partir del ensayo-error para poder verificar, comprobar.</w:t>
            </w:r>
          </w:p>
          <w:p w:rsidR="004D1FBF" w:rsidRPr="00AF2B2D" w:rsidRDefault="004D1FBF" w:rsidP="00687C83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Predecir. Predecir si las órdenes dadas al robot son correctas o no.</w:t>
            </w:r>
          </w:p>
          <w:p w:rsidR="004D1FBF" w:rsidRPr="00AF2B2D" w:rsidRDefault="004D1FBF" w:rsidP="00687C83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F2B2D">
              <w:rPr>
                <w:rFonts w:ascii="Century Gothic" w:hAnsi="Century Gothic"/>
                <w:sz w:val="20"/>
                <w:szCs w:val="20"/>
                <w:lang w:val="es-ES"/>
              </w:rPr>
              <w:t>Argumentar. Justificar los errores, sus predicciones y las de los demás.</w:t>
            </w:r>
          </w:p>
        </w:tc>
      </w:tr>
    </w:tbl>
    <w:p w:rsidR="00637FBD" w:rsidRDefault="006D5384"/>
    <w:p w:rsidR="004D1FBF" w:rsidRDefault="004D1FBF"/>
    <w:p w:rsidR="004D1FBF" w:rsidRPr="00D67204" w:rsidRDefault="004D1FBF" w:rsidP="004D1FBF">
      <w:pPr>
        <w:spacing w:after="0" w:line="360" w:lineRule="auto"/>
        <w:jc w:val="center"/>
        <w:rPr>
          <w:szCs w:val="18"/>
        </w:rPr>
      </w:pPr>
      <w:r w:rsidRPr="00D67204">
        <w:rPr>
          <w:szCs w:val="18"/>
        </w:rPr>
        <w:t>Tabla 2. Análisis epist</w:t>
      </w:r>
      <w:r>
        <w:rPr>
          <w:szCs w:val="18"/>
        </w:rPr>
        <w:t>émico: c</w:t>
      </w:r>
      <w:r w:rsidRPr="00D67204">
        <w:rPr>
          <w:szCs w:val="18"/>
        </w:rPr>
        <w:t>onceptos.</w:t>
      </w:r>
      <w:r>
        <w:rPr>
          <w:szCs w:val="18"/>
        </w:rPr>
        <w:t xml:space="preserve"> Fuente: Elaboración propia.</w:t>
      </w:r>
    </w:p>
    <w:tbl>
      <w:tblPr>
        <w:tblpPr w:leftFromText="141" w:rightFromText="141" w:vertAnchor="text" w:horzAnchor="margin" w:tblpXSpec="center" w:tblpY="143"/>
        <w:tblW w:w="8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6452"/>
      </w:tblGrid>
      <w:tr w:rsidR="004D1FBF" w:rsidRPr="00133DF2" w:rsidTr="00687C83">
        <w:tc>
          <w:tcPr>
            <w:tcW w:w="2268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Conceptos</w:t>
            </w:r>
          </w:p>
        </w:tc>
        <w:tc>
          <w:tcPr>
            <w:tcW w:w="6452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Significado</w:t>
            </w:r>
          </w:p>
        </w:tc>
      </w:tr>
      <w:tr w:rsidR="004D1FBF" w:rsidRPr="00133DF2" w:rsidTr="00687C83">
        <w:tc>
          <w:tcPr>
            <w:tcW w:w="2268" w:type="dxa"/>
          </w:tcPr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Arriba-abajo, derecha-izquierda, adelante-atrás, cerca-lejos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Giro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Contaje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Correspondencia cuantitativa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Tiempo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Largo y corto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Segmento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Línea recta</w:t>
            </w:r>
          </w:p>
        </w:tc>
        <w:tc>
          <w:tcPr>
            <w:tcW w:w="6452" w:type="dxa"/>
          </w:tcPr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before="120" w:after="0" w:line="240" w:lineRule="auto"/>
              <w:ind w:left="0" w:firstLine="0"/>
              <w:contextualSpacing w:val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Nociones de orientación espacial, trabajadas vivencialmente y en el plano.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Transformación geométrica y noción espacial.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Cuando los niños desean llevar el robot a un destino, deben contar el número de casillas a recorrer en una misma dirección por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Los niños tienen que contar las casillas que debe avanzar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en una misma dirección y luego, pulsar el botón de la orden tantas veces como casillas hay que avanzar.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Duración. Los alumnos deben esperar su turno para poder experimentar con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y, además, esperar que el robot llegue a su destino una vez pulsadas las teclas y habiendo ejecutado la acción (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go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Nociones de medida.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En este caso, es un camino con inicio y final.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Camino que recorre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4D1FBF" w:rsidRPr="00133DF2" w:rsidRDefault="004D1FBF" w:rsidP="00687C83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4D1FBF" w:rsidRDefault="004D1FBF"/>
    <w:p w:rsidR="004D1FBF" w:rsidRDefault="004D1FBF"/>
    <w:p w:rsidR="004D1FBF" w:rsidRPr="00D67204" w:rsidRDefault="004D1FBF" w:rsidP="004D1FBF">
      <w:pPr>
        <w:spacing w:after="0" w:line="360" w:lineRule="auto"/>
        <w:jc w:val="center"/>
        <w:rPr>
          <w:szCs w:val="18"/>
        </w:rPr>
      </w:pPr>
      <w:r w:rsidRPr="00D67204">
        <w:rPr>
          <w:szCs w:val="18"/>
        </w:rPr>
        <w:t>Tabla 3. Análisis epistémico: elementos lingüísticos</w:t>
      </w:r>
      <w:r>
        <w:rPr>
          <w:szCs w:val="18"/>
        </w:rPr>
        <w:t>. Fuente: Elaboración propia.</w:t>
      </w:r>
    </w:p>
    <w:tbl>
      <w:tblPr>
        <w:tblpPr w:leftFromText="141" w:rightFromText="141" w:vertAnchor="text" w:horzAnchor="margin" w:tblpXSpec="center" w:tblpY="143"/>
        <w:tblW w:w="8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6310"/>
      </w:tblGrid>
      <w:tr w:rsidR="004D1FBF" w:rsidRPr="00133DF2" w:rsidTr="007728CC">
        <w:tc>
          <w:tcPr>
            <w:tcW w:w="2410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Elementos lingüísticos</w:t>
            </w:r>
          </w:p>
        </w:tc>
        <w:tc>
          <w:tcPr>
            <w:tcW w:w="6310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Significado</w:t>
            </w:r>
          </w:p>
        </w:tc>
      </w:tr>
      <w:tr w:rsidR="004D1FBF" w:rsidRPr="00133DF2" w:rsidTr="007728CC">
        <w:tc>
          <w:tcPr>
            <w:tcW w:w="2410" w:type="dxa"/>
          </w:tcPr>
          <w:p w:rsidR="004D1FBF" w:rsidRPr="00133DF2" w:rsidRDefault="004D1FBF" w:rsidP="004D1FBF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Comunicación verbal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Lenguaje gráfico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Lenguaje simbólico (flechas)</w:t>
            </w:r>
          </w:p>
        </w:tc>
        <w:tc>
          <w:tcPr>
            <w:tcW w:w="6310" w:type="dxa"/>
          </w:tcPr>
          <w:p w:rsidR="004D1FBF" w:rsidRPr="00B3509D" w:rsidRDefault="004D1FBF" w:rsidP="004D1FBF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B3509D">
              <w:rPr>
                <w:rFonts w:ascii="Century Gothic" w:hAnsi="Century Gothic"/>
                <w:sz w:val="20"/>
                <w:szCs w:val="20"/>
                <w:lang w:val="es-ES"/>
              </w:rPr>
              <w:t>A lo largo de toda la experiencia, los niños comunican lo que comprenden, lo que quieren hacer y lo que no han hecho bien al darle las órdenes al robot con su propio lenguaje oral.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 usa el lenguaje gráfico en la ficha que se les da para que tracen el camino que indican las flechas (cuadrícula y flechas) y en el tablero de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>(cuadrícula con casillas en blanco y otras con dibujos de lugares).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En la ficha final: los niños tienen que escribir unas órdenes libres y trazar el camino de esas órdenes.</w:t>
            </w:r>
          </w:p>
          <w:p w:rsidR="004D1FBF" w:rsidRPr="00133DF2" w:rsidRDefault="004D1FBF" w:rsidP="00687C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3DF2">
              <w:rPr>
                <w:sz w:val="20"/>
                <w:szCs w:val="20"/>
              </w:rPr>
              <w:t>En los botones de la Blue-</w:t>
            </w:r>
            <w:proofErr w:type="spellStart"/>
            <w:r w:rsidRPr="00133DF2">
              <w:rPr>
                <w:sz w:val="20"/>
                <w:szCs w:val="20"/>
              </w:rPr>
              <w:t>Bot</w:t>
            </w:r>
            <w:proofErr w:type="spellEnd"/>
            <w:r w:rsidRPr="00133DF2">
              <w:rPr>
                <w:sz w:val="20"/>
                <w:szCs w:val="20"/>
              </w:rPr>
              <w:t>. Por ejemplo, el símbolo de “pausa” es universal.</w:t>
            </w:r>
          </w:p>
        </w:tc>
      </w:tr>
    </w:tbl>
    <w:p w:rsidR="004D1FBF" w:rsidRDefault="004D1FBF" w:rsidP="004D1FBF">
      <w:pPr>
        <w:spacing w:after="0" w:line="360" w:lineRule="auto"/>
        <w:jc w:val="both"/>
        <w:rPr>
          <w:sz w:val="22"/>
        </w:rPr>
      </w:pPr>
    </w:p>
    <w:p w:rsidR="004D1FBF" w:rsidRPr="00D67204" w:rsidRDefault="004D1FBF" w:rsidP="004D1FBF">
      <w:pPr>
        <w:spacing w:after="0" w:line="360" w:lineRule="auto"/>
        <w:jc w:val="center"/>
        <w:rPr>
          <w:szCs w:val="18"/>
        </w:rPr>
      </w:pPr>
      <w:r w:rsidRPr="00D67204">
        <w:rPr>
          <w:szCs w:val="18"/>
        </w:rPr>
        <w:t>Tabla 4. Análisis epistémico: procedimientos</w:t>
      </w:r>
      <w:r>
        <w:rPr>
          <w:szCs w:val="18"/>
        </w:rPr>
        <w:t>. Fuente: Elaboración propia.</w:t>
      </w:r>
    </w:p>
    <w:tbl>
      <w:tblPr>
        <w:tblpPr w:leftFromText="141" w:rightFromText="141" w:vertAnchor="text" w:horzAnchor="margin" w:tblpY="143"/>
        <w:tblW w:w="8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6026"/>
      </w:tblGrid>
      <w:tr w:rsidR="004D1FBF" w:rsidRPr="00133DF2" w:rsidTr="00687C83">
        <w:tc>
          <w:tcPr>
            <w:tcW w:w="2694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Procedimientos</w:t>
            </w:r>
          </w:p>
        </w:tc>
        <w:tc>
          <w:tcPr>
            <w:tcW w:w="6026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Significado</w:t>
            </w:r>
          </w:p>
        </w:tc>
      </w:tr>
      <w:tr w:rsidR="004D1FBF" w:rsidRPr="00133DF2" w:rsidTr="00687C83">
        <w:tc>
          <w:tcPr>
            <w:tcW w:w="2694" w:type="dxa"/>
          </w:tcPr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Ir de excursión a la 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Mitjana</w:t>
            </w:r>
            <w:proofErr w:type="spellEnd"/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Manipular libremente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Dar órdenes al robot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Trabajar a partir del ensayo-error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Trazar en el papel la ruta realizada por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Interpretar</w:t>
            </w:r>
          </w:p>
        </w:tc>
        <w:tc>
          <w:tcPr>
            <w:tcW w:w="6026" w:type="dxa"/>
          </w:tcPr>
          <w:p w:rsidR="004D1FBF" w:rsidRPr="00133DF2" w:rsidRDefault="004D1FBF" w:rsidP="00687C83">
            <w:pPr>
              <w:pStyle w:val="Prrafodelista"/>
              <w:spacing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Explorar el entorno con el cuerpo.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Los niños disponen de tiempo para familiarizarse con las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Bots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explorar sus posibilidades.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Los alumnos deben dar órdenes al robot para que éste llegue a un destino determinado.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Si hay errores, pueden volver a intentarlo tantas veces como sea necesario y buscar nuevas estrategias.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Finalmente, los alumnos han de representaren una ficha didáctica el recorrido realizado por el robot.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8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Deben interpretar los comandos de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también las indicaciones (flechas) de la ficha final.</w:t>
            </w:r>
          </w:p>
          <w:p w:rsidR="004D1FBF" w:rsidRPr="00133DF2" w:rsidRDefault="004D1FBF" w:rsidP="00687C83">
            <w:pPr>
              <w:pStyle w:val="Prrafodelista"/>
              <w:spacing w:before="120"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4D1FBF" w:rsidRPr="00133DF2" w:rsidRDefault="004D1FBF" w:rsidP="00687C83">
            <w:pPr>
              <w:pStyle w:val="Prrafodelista"/>
              <w:spacing w:before="120"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4D1FBF" w:rsidRDefault="004D1FBF" w:rsidP="004D1FBF">
      <w:pPr>
        <w:spacing w:after="0" w:line="360" w:lineRule="auto"/>
        <w:jc w:val="both"/>
        <w:rPr>
          <w:sz w:val="22"/>
        </w:rPr>
      </w:pPr>
    </w:p>
    <w:p w:rsidR="004D1FBF" w:rsidRDefault="004D1FBF" w:rsidP="004D1FBF">
      <w:pPr>
        <w:spacing w:after="0" w:line="360" w:lineRule="auto"/>
        <w:jc w:val="center"/>
        <w:rPr>
          <w:szCs w:val="18"/>
        </w:rPr>
      </w:pPr>
      <w:r w:rsidRPr="00D67204">
        <w:rPr>
          <w:szCs w:val="18"/>
        </w:rPr>
        <w:t>Tabla 5. Análisis epistémico: propiedades</w:t>
      </w:r>
      <w:r>
        <w:rPr>
          <w:szCs w:val="18"/>
        </w:rPr>
        <w:t>. Fuente: Elaboración propia.</w:t>
      </w:r>
    </w:p>
    <w:tbl>
      <w:tblPr>
        <w:tblpPr w:leftFromText="141" w:rightFromText="141" w:vertAnchor="text" w:horzAnchor="margin" w:tblpY="84"/>
        <w:tblW w:w="85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4"/>
        <w:gridCol w:w="1553"/>
      </w:tblGrid>
      <w:tr w:rsidR="004D1FBF" w:rsidRPr="00133DF2" w:rsidTr="00687C83">
        <w:trPr>
          <w:trHeight w:val="286"/>
        </w:trPr>
        <w:tc>
          <w:tcPr>
            <w:tcW w:w="7044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Propiedades</w:t>
            </w:r>
          </w:p>
        </w:tc>
        <w:tc>
          <w:tcPr>
            <w:tcW w:w="1553" w:type="dxa"/>
            <w:shd w:val="clear" w:color="auto" w:fill="auto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133DF2">
              <w:rPr>
                <w:b/>
                <w:sz w:val="20"/>
                <w:szCs w:val="20"/>
              </w:rPr>
              <w:t>Significado</w:t>
            </w:r>
          </w:p>
        </w:tc>
      </w:tr>
      <w:tr w:rsidR="004D1FBF" w:rsidRPr="00133DF2" w:rsidTr="00687C83">
        <w:trPr>
          <w:trHeight w:val="3679"/>
        </w:trPr>
        <w:tc>
          <w:tcPr>
            <w:tcW w:w="7044" w:type="dxa"/>
          </w:tcPr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girar perdemos de vista los objetos de enfrente.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Si, al robot, no se le borran las órdenes dadas la última vez, se repiten.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 debe pulsar cada tecla tantas veces como se desee ir hacia aquella dirección.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Pulsando la tecla (X) se borran las órdenes dadas al robot.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clicar el botón (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Go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se inicia la acción.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pulsar la tecla</w:t>
            </w:r>
            <w:proofErr w:type="gram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  (</w:t>
            </w:r>
            <w:proofErr w:type="gram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II</w:t>
            </w:r>
            <w:r w:rsidRPr="00133DF2">
              <w:rPr>
                <w:rFonts w:ascii="Century Gothic" w:hAnsi="Century Gothic"/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el robot se detiene y entra en modo “pausa”.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clicar el botón (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sym w:font="Wingdings" w:char="F0E0"/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el robot gira hacia la derecha.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pulsar la tecla (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sym w:font="Wingdings" w:char="F0DF"/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gira hacia la izquierda.</w:t>
            </w:r>
          </w:p>
          <w:p w:rsidR="004D1FBF" w:rsidRPr="00133DF2" w:rsidRDefault="004D1FBF" w:rsidP="004D1FBF">
            <w:pPr>
              <w:pStyle w:val="Prrafodelista"/>
              <w:numPr>
                <w:ilvl w:val="0"/>
                <w:numId w:val="9"/>
              </w:numPr>
              <w:tabs>
                <w:tab w:val="left" w:pos="567"/>
              </w:tabs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Pulsando la tecla </w:t>
            </w:r>
            <w:proofErr w:type="gram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(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↑</w:t>
            </w:r>
            <w:proofErr w:type="gram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) el robot avanza hacia adelante.</w:t>
            </w:r>
          </w:p>
          <w:p w:rsidR="004D1FBF" w:rsidRPr="00133DF2" w:rsidRDefault="004D1FBF" w:rsidP="00687C83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133DF2">
              <w:rPr>
                <w:sz w:val="20"/>
                <w:szCs w:val="20"/>
              </w:rPr>
              <w:t xml:space="preserve">10. Al clicar el botón ( </w:t>
            </w:r>
            <w:r>
              <w:rPr>
                <w:sz w:val="20"/>
                <w:szCs w:val="20"/>
              </w:rPr>
              <w:t>↓</w:t>
            </w:r>
            <w:r w:rsidRPr="00133DF2">
              <w:rPr>
                <w:sz w:val="20"/>
                <w:szCs w:val="20"/>
              </w:rPr>
              <w:t xml:space="preserve"> ) la Blue-</w:t>
            </w:r>
            <w:proofErr w:type="spellStart"/>
            <w:r w:rsidRPr="00133DF2">
              <w:rPr>
                <w:sz w:val="20"/>
                <w:szCs w:val="20"/>
              </w:rPr>
              <w:t>Bot</w:t>
            </w:r>
            <w:proofErr w:type="spellEnd"/>
            <w:r w:rsidRPr="00133DF2">
              <w:rPr>
                <w:sz w:val="20"/>
                <w:szCs w:val="20"/>
              </w:rPr>
              <w:t xml:space="preserve"> se desplaza hacia atrás.</w:t>
            </w:r>
          </w:p>
        </w:tc>
        <w:tc>
          <w:tcPr>
            <w:tcW w:w="1553" w:type="dxa"/>
          </w:tcPr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133DF2">
              <w:rPr>
                <w:sz w:val="20"/>
                <w:szCs w:val="20"/>
              </w:rPr>
              <w:t>1. Hecho que pueden constatar los estudiantes para entender el giro.</w:t>
            </w:r>
          </w:p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133DF2">
              <w:rPr>
                <w:sz w:val="20"/>
                <w:szCs w:val="20"/>
              </w:rPr>
              <w:t>2.-10. El resto de puntos se trata de las reglas de uso de las Blue-</w:t>
            </w:r>
            <w:proofErr w:type="spellStart"/>
            <w:r w:rsidRPr="00133DF2">
              <w:rPr>
                <w:sz w:val="20"/>
                <w:szCs w:val="20"/>
              </w:rPr>
              <w:t>Bots</w:t>
            </w:r>
            <w:proofErr w:type="spellEnd"/>
            <w:r w:rsidRPr="00133DF2">
              <w:rPr>
                <w:sz w:val="20"/>
                <w:szCs w:val="20"/>
              </w:rPr>
              <w:t>.</w:t>
            </w:r>
          </w:p>
          <w:p w:rsidR="004D1FBF" w:rsidRPr="00133DF2" w:rsidRDefault="004D1FBF" w:rsidP="00687C8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D1FBF" w:rsidRDefault="004D1FBF" w:rsidP="004D1FBF">
      <w:pPr>
        <w:spacing w:after="0" w:line="360" w:lineRule="auto"/>
        <w:jc w:val="center"/>
        <w:rPr>
          <w:szCs w:val="18"/>
        </w:rPr>
      </w:pPr>
    </w:p>
    <w:p w:rsidR="004D1FBF" w:rsidRPr="00966203" w:rsidRDefault="004D1FBF" w:rsidP="004D1FBF">
      <w:pPr>
        <w:spacing w:after="0" w:line="360" w:lineRule="auto"/>
        <w:jc w:val="center"/>
        <w:rPr>
          <w:szCs w:val="18"/>
        </w:rPr>
      </w:pPr>
      <w:r w:rsidRPr="00966203">
        <w:rPr>
          <w:szCs w:val="18"/>
        </w:rPr>
        <w:t>Tabla 6. Análisis epistémico: argumentos. Fuente: Elaboración propia.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20"/>
      </w:tblGrid>
      <w:tr w:rsidR="004D1FBF" w:rsidRPr="00DC5A98" w:rsidTr="00687C83">
        <w:tc>
          <w:tcPr>
            <w:tcW w:w="8720" w:type="dxa"/>
            <w:shd w:val="clear" w:color="auto" w:fill="auto"/>
          </w:tcPr>
          <w:p w:rsidR="004D1FBF" w:rsidRPr="00094611" w:rsidRDefault="004D1FBF" w:rsidP="00687C83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94611">
              <w:rPr>
                <w:b/>
                <w:sz w:val="20"/>
                <w:szCs w:val="20"/>
              </w:rPr>
              <w:t>Argumentos / Significado</w:t>
            </w:r>
          </w:p>
        </w:tc>
      </w:tr>
      <w:tr w:rsidR="004D1FBF" w:rsidRPr="00DC5A98" w:rsidTr="00687C83">
        <w:tc>
          <w:tcPr>
            <w:tcW w:w="8720" w:type="dxa"/>
          </w:tcPr>
          <w:p w:rsidR="004D1FBF" w:rsidRPr="00094611" w:rsidRDefault="004D1FBF" w:rsidP="00687C83">
            <w:pPr>
              <w:pStyle w:val="Prrafodelista"/>
              <w:tabs>
                <w:tab w:val="left" w:pos="284"/>
              </w:tabs>
              <w:spacing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94611">
              <w:rPr>
                <w:rFonts w:ascii="Century Gothic" w:hAnsi="Century Gothic"/>
                <w:sz w:val="20"/>
                <w:szCs w:val="20"/>
                <w:lang w:val="es-ES"/>
              </w:rPr>
              <w:t>Se espera que justifiquen sus errores y los de los demás utilizando nociones matemáticas.</w:t>
            </w:r>
          </w:p>
        </w:tc>
      </w:tr>
    </w:tbl>
    <w:p w:rsidR="004D1FBF" w:rsidRDefault="004D1FBF">
      <w:bookmarkStart w:id="0" w:name="_GoBack"/>
      <w:bookmarkEnd w:id="0"/>
    </w:p>
    <w:p w:rsidR="006D5384" w:rsidRPr="00D67204" w:rsidRDefault="006D5384" w:rsidP="006D5384">
      <w:pPr>
        <w:spacing w:line="360" w:lineRule="auto"/>
        <w:jc w:val="center"/>
        <w:rPr>
          <w:szCs w:val="18"/>
        </w:rPr>
      </w:pPr>
      <w:r w:rsidRPr="00D67204">
        <w:rPr>
          <w:szCs w:val="18"/>
        </w:rPr>
        <w:t xml:space="preserve">Tabla </w:t>
      </w:r>
      <w:r>
        <w:rPr>
          <w:szCs w:val="18"/>
        </w:rPr>
        <w:t>7</w:t>
      </w:r>
      <w:r w:rsidRPr="00D67204">
        <w:rPr>
          <w:szCs w:val="18"/>
        </w:rPr>
        <w:t>. Categorización de las tareas de la propuesta innovadora</w:t>
      </w:r>
      <w:r>
        <w:rPr>
          <w:szCs w:val="18"/>
        </w:rPr>
        <w:t xml:space="preserve">. Fuente: Elaboración propia a partir de las aportaciones de </w:t>
      </w:r>
      <w:proofErr w:type="spellStart"/>
      <w:r>
        <w:rPr>
          <w:szCs w:val="18"/>
        </w:rPr>
        <w:t>Gonzato</w:t>
      </w:r>
      <w:proofErr w:type="spellEnd"/>
      <w:r>
        <w:rPr>
          <w:szCs w:val="18"/>
        </w:rPr>
        <w:t xml:space="preserve"> et al. (2011).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953"/>
        <w:gridCol w:w="2791"/>
        <w:gridCol w:w="2760"/>
      </w:tblGrid>
      <w:tr w:rsidR="006D5384" w:rsidRPr="00DC5A98" w:rsidTr="00687C83">
        <w:trPr>
          <w:jc w:val="center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6D5384" w:rsidRPr="00270B0F" w:rsidRDefault="006D5384" w:rsidP="00687C83">
            <w:pPr>
              <w:spacing w:before="120" w:after="0" w:line="360" w:lineRule="auto"/>
              <w:jc w:val="center"/>
              <w:rPr>
                <w:b/>
                <w:sz w:val="20"/>
              </w:rPr>
            </w:pPr>
            <w:r w:rsidRPr="00270B0F">
              <w:rPr>
                <w:b/>
                <w:sz w:val="20"/>
              </w:rPr>
              <w:lastRenderedPageBreak/>
              <w:t>Estímulo inicial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:rsidR="006D5384" w:rsidRPr="00270B0F" w:rsidRDefault="006D5384" w:rsidP="00687C83">
            <w:pPr>
              <w:spacing w:before="120" w:after="0" w:line="360" w:lineRule="auto"/>
              <w:jc w:val="center"/>
              <w:rPr>
                <w:b/>
                <w:sz w:val="20"/>
              </w:rPr>
            </w:pPr>
            <w:r w:rsidRPr="00270B0F">
              <w:rPr>
                <w:b/>
                <w:sz w:val="20"/>
              </w:rPr>
              <w:t>Acción inicial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6D5384" w:rsidRPr="00270B0F" w:rsidRDefault="006D5384" w:rsidP="00687C83">
            <w:pPr>
              <w:spacing w:before="120" w:after="0" w:line="360" w:lineRule="auto"/>
              <w:jc w:val="center"/>
              <w:rPr>
                <w:b/>
                <w:sz w:val="20"/>
              </w:rPr>
            </w:pPr>
            <w:r w:rsidRPr="00270B0F">
              <w:rPr>
                <w:b/>
                <w:sz w:val="20"/>
              </w:rPr>
              <w:t>Tipo de respuesta</w:t>
            </w:r>
          </w:p>
        </w:tc>
      </w:tr>
      <w:tr w:rsidR="006D5384" w:rsidRPr="00DC5A98" w:rsidTr="00687C83">
        <w:trPr>
          <w:jc w:val="center"/>
        </w:trPr>
        <w:tc>
          <w:tcPr>
            <w:tcW w:w="2953" w:type="dxa"/>
            <w:tcBorders>
              <w:top w:val="single" w:sz="4" w:space="0" w:color="auto"/>
              <w:bottom w:val="nil"/>
            </w:tcBorders>
          </w:tcPr>
          <w:p w:rsidR="006D5384" w:rsidRPr="004D2052" w:rsidRDefault="006D5384" w:rsidP="00687C83">
            <w:pPr>
              <w:pStyle w:val="Prrafodelista"/>
              <w:spacing w:before="12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D5384" w:rsidRPr="004D2052" w:rsidRDefault="006D5384" w:rsidP="006D5384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4D2052">
              <w:rPr>
                <w:rFonts w:ascii="Century Gothic" w:hAnsi="Century Gothic"/>
                <w:sz w:val="20"/>
                <w:szCs w:val="20"/>
                <w:lang w:val="es-ES"/>
              </w:rPr>
              <w:t>Espacio real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 xml:space="preserve">Explorar el espacio: ir de excursión a la </w:t>
            </w:r>
            <w:proofErr w:type="spellStart"/>
            <w:r w:rsidRPr="00270B0F">
              <w:rPr>
                <w:sz w:val="20"/>
                <w:szCs w:val="20"/>
              </w:rPr>
              <w:t>Mitjana</w:t>
            </w:r>
            <w:proofErr w:type="spellEnd"/>
            <w:r w:rsidRPr="00270B0F">
              <w:rPr>
                <w:sz w:val="20"/>
                <w:szCs w:val="20"/>
              </w:rPr>
              <w:t xml:space="preserve"> (parque natural)caminando.</w:t>
            </w: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De descripción: en el aula se pregunta a los niños por dónde han pasado, es decir, deben explicar el recorrido.</w:t>
            </w:r>
          </w:p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D5384" w:rsidRPr="00DC5A98" w:rsidTr="00687C83">
        <w:trPr>
          <w:trHeight w:val="2637"/>
          <w:jc w:val="center"/>
        </w:trPr>
        <w:tc>
          <w:tcPr>
            <w:tcW w:w="2953" w:type="dxa"/>
            <w:tcBorders>
              <w:top w:val="nil"/>
              <w:bottom w:val="nil"/>
            </w:tcBorders>
          </w:tcPr>
          <w:p w:rsidR="006D5384" w:rsidRPr="004D2052" w:rsidRDefault="006D5384" w:rsidP="006D5384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4D2052">
              <w:rPr>
                <w:rFonts w:ascii="Century Gothic" w:hAnsi="Century Gothic"/>
                <w:sz w:val="20"/>
                <w:szCs w:val="20"/>
                <w:lang w:val="es-ES"/>
              </w:rPr>
              <w:t>Representación espacial</w:t>
            </w:r>
          </w:p>
          <w:p w:rsidR="006D5384" w:rsidRPr="004D2052" w:rsidRDefault="006D5384" w:rsidP="00687C83">
            <w:pPr>
              <w:pStyle w:val="Prrafodelista"/>
              <w:spacing w:before="120" w:after="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2791" w:type="dxa"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Interpretación información gráfica: interpretar los comandos de la Blue-</w:t>
            </w:r>
            <w:proofErr w:type="spellStart"/>
            <w:r w:rsidRPr="00270B0F">
              <w:rPr>
                <w:sz w:val="20"/>
                <w:szCs w:val="20"/>
              </w:rPr>
              <w:t>Bot</w:t>
            </w:r>
            <w:proofErr w:type="spellEnd"/>
            <w:r w:rsidRPr="00270B0F"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De descripción: antes de ejecutar las órdenes de la Blue-</w:t>
            </w:r>
            <w:proofErr w:type="spellStart"/>
            <w:r w:rsidRPr="00270B0F">
              <w:rPr>
                <w:sz w:val="20"/>
                <w:szCs w:val="20"/>
              </w:rPr>
              <w:t>Bot</w:t>
            </w:r>
            <w:proofErr w:type="spellEnd"/>
            <w:r w:rsidRPr="00270B0F">
              <w:rPr>
                <w:sz w:val="20"/>
                <w:szCs w:val="20"/>
              </w:rPr>
              <w:t xml:space="preserve"> se pide a los niños que expliquen qué órdenes darán.</w:t>
            </w:r>
          </w:p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Física: ejecutar el trayecto dando órdenes a la Blue-</w:t>
            </w:r>
            <w:proofErr w:type="spellStart"/>
            <w:r w:rsidRPr="00270B0F">
              <w:rPr>
                <w:sz w:val="20"/>
                <w:szCs w:val="20"/>
              </w:rPr>
              <w:t>Bot</w:t>
            </w:r>
            <w:proofErr w:type="spellEnd"/>
            <w:r w:rsidRPr="00270B0F">
              <w:rPr>
                <w:sz w:val="20"/>
                <w:szCs w:val="20"/>
              </w:rPr>
              <w:t>.</w:t>
            </w:r>
          </w:p>
        </w:tc>
      </w:tr>
      <w:tr w:rsidR="006D5384" w:rsidRPr="00DC5A98" w:rsidTr="00687C83">
        <w:trPr>
          <w:jc w:val="center"/>
        </w:trPr>
        <w:tc>
          <w:tcPr>
            <w:tcW w:w="2953" w:type="dxa"/>
            <w:vMerge w:val="restart"/>
            <w:tcBorders>
              <w:top w:val="nil"/>
            </w:tcBorders>
          </w:tcPr>
          <w:p w:rsidR="006D5384" w:rsidRPr="004D2052" w:rsidRDefault="006D5384" w:rsidP="00687C83">
            <w:pPr>
              <w:pStyle w:val="Prrafodelista"/>
              <w:spacing w:before="12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D5384" w:rsidRPr="004D2052" w:rsidRDefault="006D5384" w:rsidP="00687C83">
            <w:pPr>
              <w:pStyle w:val="Prrafodelista"/>
              <w:spacing w:before="120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D5384" w:rsidRPr="004D2052" w:rsidRDefault="006D5384" w:rsidP="006D5384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4D2052">
              <w:rPr>
                <w:rFonts w:ascii="Century Gothic" w:hAnsi="Century Gothic"/>
                <w:sz w:val="20"/>
                <w:szCs w:val="20"/>
                <w:lang w:val="es-ES"/>
              </w:rPr>
              <w:t>Representación espacial</w:t>
            </w:r>
          </w:p>
        </w:tc>
        <w:tc>
          <w:tcPr>
            <w:tcW w:w="2791" w:type="dxa"/>
            <w:vMerge w:val="restart"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Interpretación de la información gráfica: interpretar las flechas/símbolos en el papel.</w:t>
            </w:r>
          </w:p>
        </w:tc>
        <w:tc>
          <w:tcPr>
            <w:tcW w:w="2760" w:type="dxa"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De representación: representar en una cuadrícula el trayecto que indican las flechas (ficha 1).</w:t>
            </w:r>
          </w:p>
        </w:tc>
      </w:tr>
      <w:tr w:rsidR="006D5384" w:rsidRPr="00DC5A98" w:rsidTr="00687C83">
        <w:trPr>
          <w:jc w:val="center"/>
        </w:trPr>
        <w:tc>
          <w:tcPr>
            <w:tcW w:w="2953" w:type="dxa"/>
            <w:vMerge/>
          </w:tcPr>
          <w:p w:rsidR="006D5384" w:rsidRPr="006176E9" w:rsidRDefault="006D5384" w:rsidP="00687C83">
            <w:pPr>
              <w:spacing w:before="120" w:after="0" w:line="240" w:lineRule="auto"/>
              <w:jc w:val="center"/>
            </w:pPr>
          </w:p>
        </w:tc>
        <w:tc>
          <w:tcPr>
            <w:tcW w:w="2791" w:type="dxa"/>
            <w:vMerge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</w:tcPr>
          <w:p w:rsidR="006D5384" w:rsidRPr="00270B0F" w:rsidRDefault="006D5384" w:rsidP="00687C83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270B0F">
              <w:rPr>
                <w:sz w:val="20"/>
                <w:szCs w:val="20"/>
              </w:rPr>
              <w:t>Pensar/escribir unas órdenes libremente y representar el trayecto en una cuadrícula (ficha 2).</w:t>
            </w:r>
          </w:p>
        </w:tc>
      </w:tr>
    </w:tbl>
    <w:p w:rsidR="004D1FBF" w:rsidRDefault="004D1FBF"/>
    <w:sectPr w:rsidR="004D1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6AB6"/>
    <w:multiLevelType w:val="multilevel"/>
    <w:tmpl w:val="8FA07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CF961AF"/>
    <w:multiLevelType w:val="hybridMultilevel"/>
    <w:tmpl w:val="03BED2E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8B03B6"/>
    <w:multiLevelType w:val="multilevel"/>
    <w:tmpl w:val="495CDC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sz w:val="20"/>
      </w:rPr>
    </w:lvl>
  </w:abstractNum>
  <w:abstractNum w:abstractNumId="3" w15:restartNumberingAfterBreak="0">
    <w:nsid w:val="18396593"/>
    <w:multiLevelType w:val="multilevel"/>
    <w:tmpl w:val="0C4067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6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5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20" w:hanging="1800"/>
      </w:pPr>
      <w:rPr>
        <w:rFonts w:cs="Times New Roman" w:hint="default"/>
      </w:rPr>
    </w:lvl>
  </w:abstractNum>
  <w:abstractNum w:abstractNumId="4" w15:restartNumberingAfterBreak="0">
    <w:nsid w:val="34AC7160"/>
    <w:multiLevelType w:val="multilevel"/>
    <w:tmpl w:val="CE10E1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351A615A"/>
    <w:multiLevelType w:val="multilevel"/>
    <w:tmpl w:val="D3EEF8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395814AB"/>
    <w:multiLevelType w:val="hybridMultilevel"/>
    <w:tmpl w:val="FE5CA6B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C33A32"/>
    <w:multiLevelType w:val="multilevel"/>
    <w:tmpl w:val="9320C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2952B48"/>
    <w:multiLevelType w:val="multilevel"/>
    <w:tmpl w:val="CCBA8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cs="Times New Roman" w:hint="default"/>
      </w:rPr>
    </w:lvl>
  </w:abstractNum>
  <w:abstractNum w:abstractNumId="9" w15:restartNumberingAfterBreak="0">
    <w:nsid w:val="7E0B4E85"/>
    <w:multiLevelType w:val="hybridMultilevel"/>
    <w:tmpl w:val="9D60062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BB"/>
    <w:rsid w:val="002768FF"/>
    <w:rsid w:val="004D1FBF"/>
    <w:rsid w:val="006D5384"/>
    <w:rsid w:val="007139BB"/>
    <w:rsid w:val="007728CC"/>
    <w:rsid w:val="0097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DD48"/>
  <w15:chartTrackingRefBased/>
  <w15:docId w15:val="{EC92A26F-7663-449F-8B1E-08F75DDA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"/>
    <w:rsid w:val="004D1FBF"/>
    <w:pPr>
      <w:spacing w:after="200" w:line="276" w:lineRule="auto"/>
    </w:pPr>
    <w:rPr>
      <w:rFonts w:ascii="Century Gothic" w:hAnsi="Century Gothic"/>
      <w:sz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D1FBF"/>
    <w:pPr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4554</Characters>
  <Application>Microsoft Office Word</Application>
  <DocSecurity>0</DocSecurity>
  <Lines>37</Lines>
  <Paragraphs>10</Paragraphs>
  <ScaleCrop>false</ScaleCrop>
  <Company>Microsoft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2019-06-09T11:34:00Z</dcterms:created>
  <dcterms:modified xsi:type="dcterms:W3CDTF">2019-06-09T11:45:00Z</dcterms:modified>
</cp:coreProperties>
</file>