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1AA1" w:rsidRDefault="00A945C2" w:rsidP="00EE2C30">
      <w:pPr>
        <w:pStyle w:val="APARTADOPRINCIPAL"/>
      </w:pPr>
      <w:r>
        <w:rPr>
          <w:noProof/>
          <w:lang w:val="es-ES" w:eastAsia="es-ES"/>
        </w:rPr>
        <w:drawing>
          <wp:inline distT="0" distB="0" distL="0" distR="0" wp14:anchorId="01DFE66B" wp14:editId="05973E83">
            <wp:extent cx="5400040" cy="78863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788639"/>
                    </a:xfrm>
                    <a:prstGeom prst="rect">
                      <a:avLst/>
                    </a:prstGeom>
                    <a:noFill/>
                    <a:ln>
                      <a:noFill/>
                    </a:ln>
                  </pic:spPr>
                </pic:pic>
              </a:graphicData>
            </a:graphic>
          </wp:inline>
        </w:drawing>
      </w:r>
    </w:p>
    <w:p w:rsidR="00A945C2" w:rsidRDefault="00BE053A" w:rsidP="00A945C2">
      <w:pPr>
        <w:pStyle w:val="TTULODELARTCULO"/>
      </w:pPr>
      <w:r>
        <w:t xml:space="preserve">Gamificación </w:t>
      </w:r>
      <w:r w:rsidR="003E38AF">
        <w:t xml:space="preserve">y Breakout Edu </w:t>
      </w:r>
      <w:r>
        <w:t xml:space="preserve">en Formación Profesional. El </w:t>
      </w:r>
      <w:r w:rsidR="00A24267">
        <w:t>programa</w:t>
      </w:r>
      <w:r>
        <w:t xml:space="preserve"> “Grey Place” en Integración Social</w:t>
      </w:r>
      <w:r w:rsidR="00826E32">
        <w:rPr>
          <w:rStyle w:val="Refdenotaalpie"/>
        </w:rPr>
        <w:footnoteReference w:id="1"/>
      </w:r>
      <w:r>
        <w:t xml:space="preserve"> </w:t>
      </w:r>
    </w:p>
    <w:p w:rsidR="00A24267" w:rsidRPr="00A24267" w:rsidRDefault="00A24267" w:rsidP="00A945C2">
      <w:pPr>
        <w:pStyle w:val="TTULODELARTCULO"/>
        <w:rPr>
          <w:lang w:val="en-US"/>
        </w:rPr>
      </w:pPr>
      <w:r w:rsidRPr="00A24267">
        <w:rPr>
          <w:lang w:val="en-US"/>
        </w:rPr>
        <w:t>Gamification and Breakout Edu i</w:t>
      </w:r>
      <w:r>
        <w:rPr>
          <w:lang w:val="en-US"/>
        </w:rPr>
        <w:t>n Professional Training. “Grey Place” program in Social Integration</w:t>
      </w:r>
    </w:p>
    <w:p w:rsidR="00556C73" w:rsidRDefault="00556C73" w:rsidP="00556C73">
      <w:pPr>
        <w:pStyle w:val="Sinespaciado"/>
        <w:spacing w:line="360" w:lineRule="auto"/>
        <w:jc w:val="center"/>
        <w:rPr>
          <w:sz w:val="24"/>
          <w:szCs w:val="24"/>
        </w:rPr>
      </w:pPr>
      <w:r>
        <w:rPr>
          <w:sz w:val="24"/>
          <w:szCs w:val="24"/>
        </w:rPr>
        <w:t>Ana Manzano León</w:t>
      </w:r>
      <w:r w:rsidRPr="00A945C2">
        <w:rPr>
          <w:rStyle w:val="Refdenotaalpie"/>
          <w:sz w:val="24"/>
          <w:szCs w:val="24"/>
        </w:rPr>
        <w:footnoteReference w:id="2"/>
      </w:r>
      <w:r>
        <w:rPr>
          <w:sz w:val="24"/>
          <w:szCs w:val="24"/>
        </w:rPr>
        <w:t>, María Sánchez Sánchez</w:t>
      </w:r>
      <w:r w:rsidRPr="00A945C2">
        <w:rPr>
          <w:rStyle w:val="Refdenotaalpie"/>
          <w:sz w:val="24"/>
          <w:szCs w:val="24"/>
        </w:rPr>
        <w:footnoteReference w:id="3"/>
      </w:r>
      <w:r>
        <w:rPr>
          <w:sz w:val="24"/>
          <w:szCs w:val="24"/>
        </w:rPr>
        <w:t>, Rubén Trigueros Ramos</w:t>
      </w:r>
      <w:r w:rsidRPr="00A945C2">
        <w:rPr>
          <w:rStyle w:val="Refdenotaalpie"/>
          <w:sz w:val="24"/>
          <w:szCs w:val="24"/>
        </w:rPr>
        <w:footnoteReference w:id="4"/>
      </w:r>
      <w:r>
        <w:rPr>
          <w:sz w:val="24"/>
          <w:szCs w:val="24"/>
        </w:rPr>
        <w:t>,</w:t>
      </w:r>
      <w:r w:rsidRPr="00A945C2">
        <w:rPr>
          <w:sz w:val="24"/>
          <w:szCs w:val="24"/>
        </w:rPr>
        <w:t xml:space="preserve"> </w:t>
      </w:r>
      <w:r>
        <w:rPr>
          <w:sz w:val="24"/>
          <w:szCs w:val="24"/>
        </w:rPr>
        <w:t>Joaquín Álvarez Hernández</w:t>
      </w:r>
      <w:r w:rsidRPr="00A945C2">
        <w:rPr>
          <w:rStyle w:val="Refdenotaalpie"/>
          <w:sz w:val="24"/>
          <w:szCs w:val="24"/>
        </w:rPr>
        <w:footnoteReference w:id="5"/>
      </w:r>
      <w:r>
        <w:rPr>
          <w:sz w:val="24"/>
          <w:szCs w:val="24"/>
        </w:rPr>
        <w:t>, José Manuel Aguilar Parra</w:t>
      </w:r>
      <w:r w:rsidRPr="00A945C2">
        <w:rPr>
          <w:rStyle w:val="Refdenotaalpie"/>
          <w:sz w:val="24"/>
          <w:szCs w:val="24"/>
        </w:rPr>
        <w:footnoteReference w:id="6"/>
      </w:r>
    </w:p>
    <w:p w:rsidR="00A945C2" w:rsidRDefault="00A945C2" w:rsidP="00A945C2">
      <w:pPr>
        <w:pBdr>
          <w:top w:val="single" w:sz="4" w:space="1" w:color="auto"/>
          <w:bottom w:val="single" w:sz="4" w:space="1" w:color="auto"/>
        </w:pBdr>
        <w:jc w:val="both"/>
      </w:pPr>
      <w:r w:rsidRPr="00466FC1">
        <w:t xml:space="preserve">Fecha de recepción: </w:t>
      </w:r>
      <w:r>
        <w:t>XX</w:t>
      </w:r>
      <w:r w:rsidRPr="00466FC1">
        <w:t>/</w:t>
      </w:r>
      <w:r>
        <w:t>XX</w:t>
      </w:r>
      <w:r w:rsidRPr="00466FC1">
        <w:t>/20</w:t>
      </w:r>
      <w:r>
        <w:t>xx</w:t>
      </w:r>
      <w:r w:rsidRPr="00466FC1">
        <w:t xml:space="preserve">; Fecha de revisión: </w:t>
      </w:r>
      <w:r>
        <w:t>XX</w:t>
      </w:r>
      <w:r w:rsidRPr="00466FC1">
        <w:t>/</w:t>
      </w:r>
      <w:r>
        <w:t>XX</w:t>
      </w:r>
      <w:r w:rsidRPr="00466FC1">
        <w:t>/20</w:t>
      </w:r>
      <w:r>
        <w:t>XX</w:t>
      </w:r>
      <w:r w:rsidRPr="00466FC1">
        <w:t xml:space="preserve">; Fecha de aceptación: </w:t>
      </w:r>
      <w:r>
        <w:t>XX</w:t>
      </w:r>
      <w:r w:rsidRPr="00466FC1">
        <w:t>/</w:t>
      </w:r>
      <w:r>
        <w:t>XX</w:t>
      </w:r>
      <w:r w:rsidRPr="00466FC1">
        <w:t>/20</w:t>
      </w:r>
      <w:r>
        <w:t>XX</w:t>
      </w:r>
    </w:p>
    <w:p w:rsidR="00A945C2" w:rsidRDefault="00A945C2" w:rsidP="00A945C2">
      <w:pPr>
        <w:pBdr>
          <w:top w:val="single" w:sz="4" w:space="1" w:color="auto"/>
          <w:bottom w:val="single" w:sz="4" w:space="1" w:color="auto"/>
        </w:pBdr>
        <w:jc w:val="both"/>
      </w:pPr>
    </w:p>
    <w:p w:rsidR="00A945C2" w:rsidRPr="00A945C2" w:rsidRDefault="00A945C2" w:rsidP="00A945C2">
      <w:pPr>
        <w:pBdr>
          <w:top w:val="single" w:sz="4" w:space="1" w:color="auto"/>
          <w:bottom w:val="single" w:sz="4" w:space="1" w:color="auto"/>
        </w:pBdr>
        <w:jc w:val="both"/>
        <w:rPr>
          <w:b/>
        </w:rPr>
      </w:pPr>
      <w:r w:rsidRPr="00A945C2">
        <w:rPr>
          <w:b/>
        </w:rPr>
        <w:t>Cómo citar este artículo:</w:t>
      </w:r>
    </w:p>
    <w:p w:rsidR="00EE2C30" w:rsidRDefault="000B2652" w:rsidP="00A945C2">
      <w:pPr>
        <w:pBdr>
          <w:top w:val="single" w:sz="4" w:space="1" w:color="auto"/>
          <w:bottom w:val="single" w:sz="4" w:space="1" w:color="auto"/>
        </w:pBdr>
        <w:jc w:val="both"/>
        <w:rPr>
          <w:rFonts w:cs="Arial"/>
          <w:szCs w:val="18"/>
        </w:rPr>
      </w:pPr>
      <w:r>
        <w:t>Manzano-León</w:t>
      </w:r>
      <w:r w:rsidR="00A945C2">
        <w:t>,</w:t>
      </w:r>
      <w:r>
        <w:t xml:space="preserve"> A., Sánchez-Sánchez, M., Trigueros-Ramos, R., </w:t>
      </w:r>
      <w:r w:rsidR="00C8493F">
        <w:t xml:space="preserve">Álvarez-Hernández, J., </w:t>
      </w:r>
      <w:r>
        <w:t xml:space="preserve">Aguilar-Parra, J.M. </w:t>
      </w:r>
      <w:r w:rsidR="00A945C2">
        <w:t>(</w:t>
      </w:r>
      <w:r w:rsidR="00946DC1">
        <w:t>2019</w:t>
      </w:r>
      <w:r w:rsidR="00A945C2">
        <w:t xml:space="preserve">). </w:t>
      </w:r>
      <w:r w:rsidR="00946DC1">
        <w:t>Gamificación y Breakout Edu en Formación Profesional. El programa “Grey Place” en Integración Social</w:t>
      </w:r>
      <w:r w:rsidR="00A945C2">
        <w:t xml:space="preserve">. </w:t>
      </w:r>
      <w:r w:rsidR="00A945C2" w:rsidRPr="00466FC1">
        <w:rPr>
          <w:rFonts w:cs="Arial"/>
          <w:i/>
          <w:szCs w:val="18"/>
        </w:rPr>
        <w:t xml:space="preserve">EDMETIC, Revista de Educación Mediática y TIC, </w:t>
      </w:r>
      <w:r w:rsidR="00A945C2">
        <w:rPr>
          <w:rFonts w:cs="Arial"/>
          <w:i/>
          <w:szCs w:val="18"/>
        </w:rPr>
        <w:t>X</w:t>
      </w:r>
      <w:r w:rsidR="00A945C2" w:rsidRPr="00466FC1">
        <w:rPr>
          <w:rFonts w:cs="Arial"/>
          <w:szCs w:val="18"/>
        </w:rPr>
        <w:t>(</w:t>
      </w:r>
      <w:r w:rsidR="00A945C2">
        <w:rPr>
          <w:rFonts w:cs="Arial"/>
          <w:szCs w:val="18"/>
        </w:rPr>
        <w:t>X</w:t>
      </w:r>
      <w:r w:rsidR="00A945C2" w:rsidRPr="00466FC1">
        <w:rPr>
          <w:rFonts w:cs="Arial"/>
          <w:szCs w:val="18"/>
        </w:rPr>
        <w:t xml:space="preserve">), </w:t>
      </w:r>
      <w:r w:rsidR="00A945C2">
        <w:rPr>
          <w:rFonts w:cs="Arial"/>
          <w:szCs w:val="18"/>
        </w:rPr>
        <w:t>XX-XX</w:t>
      </w:r>
      <w:r w:rsidR="00A945C2" w:rsidRPr="00466FC1">
        <w:rPr>
          <w:rFonts w:cs="Arial"/>
          <w:szCs w:val="18"/>
        </w:rPr>
        <w:t xml:space="preserve"> doi:</w:t>
      </w:r>
    </w:p>
    <w:p w:rsidR="00EE2C30" w:rsidRPr="00466FC1" w:rsidRDefault="00EE2C30" w:rsidP="00A945C2">
      <w:pPr>
        <w:pBdr>
          <w:top w:val="single" w:sz="4" w:space="1" w:color="auto"/>
          <w:bottom w:val="single" w:sz="4" w:space="1" w:color="auto"/>
        </w:pBdr>
        <w:jc w:val="both"/>
      </w:pPr>
      <w:r>
        <w:rPr>
          <w:rFonts w:cs="Arial"/>
          <w:szCs w:val="18"/>
        </w:rPr>
        <w:t xml:space="preserve">Autor de Correspondencia: </w:t>
      </w:r>
      <w:hyperlink r:id="rId9" w:history="1">
        <w:r w:rsidR="000B2652" w:rsidRPr="00F32575">
          <w:rPr>
            <w:rStyle w:val="Hipervnculo"/>
            <w:rFonts w:cs="Arial"/>
            <w:szCs w:val="18"/>
          </w:rPr>
          <w:t>aml570@ual.es</w:t>
        </w:r>
      </w:hyperlink>
      <w:r w:rsidR="000B2652">
        <w:rPr>
          <w:rFonts w:cs="Arial"/>
          <w:szCs w:val="18"/>
        </w:rPr>
        <w:t xml:space="preserve"> </w:t>
      </w:r>
    </w:p>
    <w:p w:rsidR="00A945C2" w:rsidRPr="00A945C2" w:rsidRDefault="00A945C2" w:rsidP="00EE2C30">
      <w:pPr>
        <w:pStyle w:val="Ttulo1"/>
      </w:pPr>
    </w:p>
    <w:p w:rsidR="00A945C2" w:rsidRPr="00771DBC" w:rsidRDefault="00A945C2" w:rsidP="00771DBC">
      <w:pPr>
        <w:pStyle w:val="Ttulo1"/>
        <w:rPr>
          <w:b/>
          <w:sz w:val="22"/>
        </w:rPr>
      </w:pPr>
      <w:r w:rsidRPr="00771DBC">
        <w:rPr>
          <w:b/>
          <w:sz w:val="22"/>
        </w:rPr>
        <w:t>Resumen:</w:t>
      </w:r>
    </w:p>
    <w:p w:rsidR="00946DC1" w:rsidRPr="00771DBC" w:rsidRDefault="001A1E15" w:rsidP="00771DBC">
      <w:pPr>
        <w:pStyle w:val="Ttulo1"/>
        <w:rPr>
          <w:sz w:val="22"/>
        </w:rPr>
      </w:pPr>
      <w:r w:rsidRPr="00771DBC">
        <w:rPr>
          <w:sz w:val="22"/>
        </w:rPr>
        <w:t>La gamificación educativa es el uso de dinámicas y mecánicas propias de los juegos al ámbito educativo</w:t>
      </w:r>
      <w:r w:rsidR="00A94615" w:rsidRPr="00771DBC">
        <w:rPr>
          <w:sz w:val="22"/>
        </w:rPr>
        <w:t>,</w:t>
      </w:r>
      <w:r w:rsidRPr="00771DBC">
        <w:rPr>
          <w:sz w:val="22"/>
        </w:rPr>
        <w:t xml:space="preserve"> con el </w:t>
      </w:r>
      <w:r w:rsidR="001D32A2" w:rsidRPr="00771DBC">
        <w:rPr>
          <w:sz w:val="22"/>
        </w:rPr>
        <w:t>objetivo</w:t>
      </w:r>
      <w:r w:rsidRPr="00771DBC">
        <w:rPr>
          <w:sz w:val="22"/>
        </w:rPr>
        <w:t xml:space="preserve"> de aumentar </w:t>
      </w:r>
      <w:r w:rsidR="001D32A2" w:rsidRPr="00771DBC">
        <w:rPr>
          <w:sz w:val="22"/>
        </w:rPr>
        <w:t>la</w:t>
      </w:r>
      <w:r w:rsidRPr="00771DBC">
        <w:rPr>
          <w:sz w:val="22"/>
        </w:rPr>
        <w:t xml:space="preserve"> motivación</w:t>
      </w:r>
      <w:r w:rsidR="001D32A2" w:rsidRPr="00771DBC">
        <w:rPr>
          <w:sz w:val="22"/>
        </w:rPr>
        <w:t xml:space="preserve"> escolar del alumnado</w:t>
      </w:r>
      <w:r w:rsidR="001E7EB5" w:rsidRPr="00771DBC">
        <w:rPr>
          <w:sz w:val="22"/>
        </w:rPr>
        <w:t xml:space="preserve">. </w:t>
      </w:r>
      <w:r w:rsidR="001D32A2" w:rsidRPr="00771DBC">
        <w:rPr>
          <w:sz w:val="22"/>
        </w:rPr>
        <w:t xml:space="preserve">Desde la presente aportación se presenta </w:t>
      </w:r>
      <w:r w:rsidR="001E7EB5" w:rsidRPr="00771DBC">
        <w:rPr>
          <w:sz w:val="22"/>
        </w:rPr>
        <w:t xml:space="preserve">el diseño e implementación de una unidad de trabajo gamificada </w:t>
      </w:r>
      <w:r w:rsidR="001D32A2" w:rsidRPr="00771DBC">
        <w:rPr>
          <w:sz w:val="22"/>
        </w:rPr>
        <w:t>en</w:t>
      </w:r>
      <w:r w:rsidR="001E7EB5" w:rsidRPr="00771DBC">
        <w:rPr>
          <w:sz w:val="22"/>
        </w:rPr>
        <w:t xml:space="preserve"> Formación Profesional durante el curso 2018/2019 para la asignatura de Apoyo a la Intervención Educativa del Ciclo </w:t>
      </w:r>
      <w:r w:rsidR="00A94615" w:rsidRPr="00771DBC">
        <w:rPr>
          <w:sz w:val="22"/>
        </w:rPr>
        <w:t xml:space="preserve">Formativo de Grado </w:t>
      </w:r>
      <w:r w:rsidR="001E7EB5" w:rsidRPr="00771DBC">
        <w:rPr>
          <w:sz w:val="22"/>
        </w:rPr>
        <w:t xml:space="preserve">Superior en Integración Social. </w:t>
      </w:r>
      <w:r w:rsidR="001D32A2" w:rsidRPr="00771DBC">
        <w:rPr>
          <w:sz w:val="22"/>
        </w:rPr>
        <w:t>Se plantea un proceso de enseñanza-aprendizaje cooperativo a través de un proyecto gamificado centrado en la identificación y creación de recursos educativos para alumnado con diversidad funcional. Se concluye que el uso de estrategias gamificadas pueden ser motivadoras para el alumnado y beneficiosas para su aprendizaje.</w:t>
      </w:r>
    </w:p>
    <w:p w:rsidR="00946DC1" w:rsidRPr="00771DBC" w:rsidRDefault="00A945C2" w:rsidP="00771DBC">
      <w:pPr>
        <w:pStyle w:val="Ttulo1"/>
        <w:rPr>
          <w:sz w:val="22"/>
        </w:rPr>
      </w:pPr>
      <w:r w:rsidRPr="00771DBC">
        <w:rPr>
          <w:b/>
          <w:sz w:val="22"/>
        </w:rPr>
        <w:t>Palabras clav</w:t>
      </w:r>
      <w:r w:rsidRPr="00771DBC">
        <w:rPr>
          <w:b/>
          <w:bCs w:val="0"/>
          <w:sz w:val="22"/>
        </w:rPr>
        <w:t>e</w:t>
      </w:r>
      <w:r w:rsidRPr="00771DBC">
        <w:rPr>
          <w:sz w:val="22"/>
        </w:rPr>
        <w:t xml:space="preserve">: </w:t>
      </w:r>
      <w:r w:rsidR="00825994" w:rsidRPr="00771DBC">
        <w:rPr>
          <w:sz w:val="22"/>
        </w:rPr>
        <w:t xml:space="preserve">Formación profesional, </w:t>
      </w:r>
      <w:r w:rsidR="00CD2C26" w:rsidRPr="00771DBC">
        <w:rPr>
          <w:sz w:val="22"/>
        </w:rPr>
        <w:t>juego educativo,</w:t>
      </w:r>
      <w:r w:rsidR="00825994" w:rsidRPr="00771DBC">
        <w:rPr>
          <w:sz w:val="22"/>
        </w:rPr>
        <w:t xml:space="preserve"> tecnologías de la información y la comunicación, profesor de educación especial</w:t>
      </w:r>
    </w:p>
    <w:p w:rsidR="00946DC1" w:rsidRPr="00771DBC" w:rsidRDefault="00946DC1" w:rsidP="00771DBC">
      <w:pPr>
        <w:rPr>
          <w:sz w:val="36"/>
        </w:rPr>
      </w:pPr>
    </w:p>
    <w:p w:rsidR="00106ECD" w:rsidRPr="00771DBC" w:rsidRDefault="00106ECD" w:rsidP="00771DBC">
      <w:pPr>
        <w:pStyle w:val="Ttulo1"/>
        <w:rPr>
          <w:b/>
          <w:sz w:val="22"/>
          <w:szCs w:val="18"/>
          <w:lang w:val="en-US"/>
        </w:rPr>
      </w:pPr>
      <w:r w:rsidRPr="00771DBC">
        <w:rPr>
          <w:b/>
          <w:sz w:val="22"/>
          <w:szCs w:val="18"/>
          <w:lang w:val="en-US"/>
        </w:rPr>
        <w:t>Abstract:</w:t>
      </w:r>
    </w:p>
    <w:p w:rsidR="00946DC1" w:rsidRPr="00771DBC" w:rsidRDefault="000605C7" w:rsidP="00771DBC">
      <w:pPr>
        <w:jc w:val="both"/>
        <w:rPr>
          <w:rFonts w:ascii="Century Gothic" w:hAnsi="Century Gothic" w:cs="Arial"/>
          <w:color w:val="000000"/>
          <w:sz w:val="22"/>
          <w:szCs w:val="18"/>
          <w:lang w:val="en-US"/>
        </w:rPr>
      </w:pPr>
      <w:r w:rsidRPr="00771DBC">
        <w:rPr>
          <w:rFonts w:ascii="Century Gothic" w:hAnsi="Century Gothic" w:cs="Arial"/>
          <w:color w:val="000000"/>
          <w:sz w:val="22"/>
          <w:szCs w:val="18"/>
          <w:lang w:val="en-US"/>
        </w:rPr>
        <w:t xml:space="preserve">Educational gamification is the use of dynamics and mechanics propers of the games to educational sphere, with the aim to increase the scholastic motivation </w:t>
      </w:r>
      <w:r w:rsidRPr="00771DBC">
        <w:rPr>
          <w:rFonts w:ascii="Century Gothic" w:hAnsi="Century Gothic" w:cs="Arial"/>
          <w:color w:val="000000"/>
          <w:sz w:val="22"/>
          <w:szCs w:val="18"/>
          <w:lang w:val="en-US"/>
        </w:rPr>
        <w:lastRenderedPageBreak/>
        <w:t>of students. From the present contribution, is presented the design and implementation of a work-gamificated unit in Vocational Training during the academic year 2018/2019 for the "Supporting to educational intervention" subject of Higher-Level Training Cycle on Social Integration. It states a cooperative teaching - learning process through of a gamification project focuses in identification and creation of educational resources for student body with functional diversity. It is concluded that use of gamification strategies may be motivating for student body and beneficial for their learning.</w:t>
      </w:r>
      <w:r w:rsidR="00946DC1" w:rsidRPr="00771DBC">
        <w:rPr>
          <w:rFonts w:ascii="Century Gothic" w:hAnsi="Century Gothic" w:cs="Arial"/>
          <w:color w:val="000000"/>
          <w:sz w:val="22"/>
          <w:szCs w:val="18"/>
          <w:lang w:val="en-US"/>
        </w:rPr>
        <w:t xml:space="preserve">   </w:t>
      </w:r>
    </w:p>
    <w:p w:rsidR="00AF3498" w:rsidRPr="00771DBC" w:rsidRDefault="00106ECD" w:rsidP="00771DBC">
      <w:pPr>
        <w:jc w:val="both"/>
        <w:rPr>
          <w:rFonts w:ascii="Century Gothic" w:hAnsi="Century Gothic" w:cs="Arial"/>
          <w:color w:val="000000"/>
          <w:sz w:val="22"/>
          <w:szCs w:val="18"/>
          <w:lang w:val="en-US"/>
        </w:rPr>
      </w:pPr>
      <w:r w:rsidRPr="00771DBC">
        <w:rPr>
          <w:rFonts w:ascii="Century Gothic" w:hAnsi="Century Gothic"/>
          <w:b/>
          <w:sz w:val="22"/>
          <w:szCs w:val="18"/>
          <w:lang w:val="en-US"/>
        </w:rPr>
        <w:t>Key Words</w:t>
      </w:r>
      <w:r w:rsidRPr="00771DBC">
        <w:rPr>
          <w:rFonts w:ascii="Century Gothic" w:hAnsi="Century Gothic"/>
          <w:sz w:val="22"/>
          <w:szCs w:val="18"/>
          <w:lang w:val="en-US"/>
        </w:rPr>
        <w:t>: Vocational training, educational game, information and communication technologies, special education teacher</w:t>
      </w:r>
    </w:p>
    <w:p w:rsidR="00771DBC" w:rsidRPr="00771DBC" w:rsidRDefault="00771DBC" w:rsidP="00771DBC">
      <w:pPr>
        <w:spacing w:after="200"/>
        <w:rPr>
          <w:rFonts w:ascii="Century Gothic" w:eastAsiaTheme="majorEastAsia" w:hAnsi="Century Gothic" w:cstheme="majorBidi"/>
          <w:b/>
          <w:bCs/>
          <w:sz w:val="32"/>
          <w:szCs w:val="22"/>
          <w:lang w:eastAsia="en-US"/>
        </w:rPr>
      </w:pPr>
      <w:r w:rsidRPr="00771DBC">
        <w:rPr>
          <w:sz w:val="32"/>
        </w:rPr>
        <w:br w:type="page"/>
      </w:r>
    </w:p>
    <w:p w:rsidR="00AF3498" w:rsidRPr="00941554" w:rsidRDefault="00AF3498" w:rsidP="00941554">
      <w:pPr>
        <w:pStyle w:val="APARTADOPRINCIPAL"/>
        <w:rPr>
          <w:sz w:val="22"/>
          <w:lang w:val="es-ES"/>
        </w:rPr>
      </w:pPr>
      <w:r w:rsidRPr="00941554">
        <w:rPr>
          <w:sz w:val="22"/>
          <w:lang w:val="es-ES"/>
        </w:rPr>
        <w:lastRenderedPageBreak/>
        <w:t>1. INTRODUCCIÓN</w:t>
      </w:r>
    </w:p>
    <w:p w:rsidR="006518C1" w:rsidRPr="00F40CD5" w:rsidRDefault="009643B4" w:rsidP="009643B4">
      <w:pPr>
        <w:spacing w:line="360" w:lineRule="auto"/>
        <w:jc w:val="both"/>
        <w:rPr>
          <w:rFonts w:ascii="Century Gothic" w:hAnsi="Century Gothic"/>
          <w:sz w:val="22"/>
        </w:rPr>
      </w:pPr>
      <w:r w:rsidRPr="00F40CD5">
        <w:rPr>
          <w:rFonts w:ascii="Century Gothic" w:hAnsi="Century Gothic"/>
          <w:sz w:val="22"/>
        </w:rPr>
        <w:t xml:space="preserve">La Formación Profesional (FP) es un conjunto de estudios y aprendizajes encaminados a la inserción, reinserción y actualización laboral, cuyo objetivo principal es “aumentar y adecuar el conocimiento y habilidades de los actuales y futuros trabajadores a lo largo de toda la vida” (Bieger, Domingo, Pin y </w:t>
      </w:r>
      <w:r w:rsidR="00F40CD5">
        <w:rPr>
          <w:rFonts w:ascii="Century Gothic" w:hAnsi="Century Gothic"/>
          <w:sz w:val="22"/>
        </w:rPr>
        <w:t>García</w:t>
      </w:r>
      <w:r w:rsidRPr="00F40CD5">
        <w:rPr>
          <w:rFonts w:ascii="Century Gothic" w:hAnsi="Century Gothic"/>
          <w:sz w:val="22"/>
        </w:rPr>
        <w:t>, 2018</w:t>
      </w:r>
      <w:r w:rsidR="00F40CD5">
        <w:rPr>
          <w:rFonts w:ascii="Century Gothic" w:hAnsi="Century Gothic"/>
          <w:sz w:val="22"/>
        </w:rPr>
        <w:t>:9</w:t>
      </w:r>
      <w:r w:rsidRPr="00F40CD5">
        <w:rPr>
          <w:rFonts w:ascii="Century Gothic" w:hAnsi="Century Gothic"/>
          <w:sz w:val="22"/>
        </w:rPr>
        <w:t xml:space="preserve">). </w:t>
      </w:r>
    </w:p>
    <w:p w:rsidR="006A7309" w:rsidRPr="00941554" w:rsidRDefault="006A7309" w:rsidP="00941554">
      <w:pPr>
        <w:pStyle w:val="TEXTOSARTICULOS"/>
        <w:jc w:val="both"/>
        <w:rPr>
          <w:lang w:val="es-ES"/>
        </w:rPr>
      </w:pPr>
      <w:r w:rsidRPr="00941554">
        <w:rPr>
          <w:lang w:val="es-ES"/>
        </w:rPr>
        <w:t xml:space="preserve">En el Marco Estratégico para la Educación y Formación (ET 2020) se proponen objetivos estratégicos para modernizar la FP </w:t>
      </w:r>
      <w:r w:rsidR="001D32A2">
        <w:rPr>
          <w:lang w:val="es-ES"/>
        </w:rPr>
        <w:t>y</w:t>
      </w:r>
      <w:r w:rsidRPr="00941554">
        <w:rPr>
          <w:lang w:val="es-ES"/>
        </w:rPr>
        <w:t xml:space="preserve"> hacerla más atractiva, teniendo en cuenta que las previsiones indican que para el año 2020, el 50% de los empleos requerirán una cualificación profesional de grado medio, frente a un 35% una de grado superior (Chacón y Lloret, 2011 citado por Renés y Castro, 2013).</w:t>
      </w:r>
    </w:p>
    <w:p w:rsidR="006A7309" w:rsidRDefault="006A7309" w:rsidP="00941554">
      <w:pPr>
        <w:pStyle w:val="TEXTOSARTICULOS"/>
        <w:jc w:val="both"/>
        <w:rPr>
          <w:lang w:val="es-ES"/>
        </w:rPr>
      </w:pPr>
      <w:r w:rsidRPr="00941554">
        <w:rPr>
          <w:lang w:val="es-ES"/>
        </w:rPr>
        <w:t>El profesorado de Formación Profesional debe preparar adecuadamente al alumnado para ser competente para vivir y trabajar en el siglo XXI (Reeve, 2016). En los ciclos formativos de Servicios socioculturales y a la comunidad, esta preparación incluye proporcionar a los estudiantes un sólido conocimiento y habilidades sobre las diferentes disciplinas relacionadas con la atención a colectivos en riesgo de exclusión social, así como desarrollar sus competencias intrapersonales e interpersonales.</w:t>
      </w:r>
    </w:p>
    <w:p w:rsidR="00306CAE" w:rsidRDefault="00306CAE" w:rsidP="00941554">
      <w:pPr>
        <w:pStyle w:val="TEXTOSARTICULOS"/>
        <w:jc w:val="both"/>
        <w:rPr>
          <w:lang w:val="es-ES"/>
        </w:rPr>
      </w:pPr>
      <w:r w:rsidRPr="00941554">
        <w:rPr>
          <w:lang w:val="es-ES"/>
        </w:rPr>
        <w:t xml:space="preserve">Particularmente, </w:t>
      </w:r>
      <w:r>
        <w:rPr>
          <w:lang w:val="es-ES"/>
        </w:rPr>
        <w:t xml:space="preserve">en esta experiencia de aula se propone </w:t>
      </w:r>
      <w:r w:rsidRPr="00941554">
        <w:rPr>
          <w:lang w:val="es-ES"/>
        </w:rPr>
        <w:t xml:space="preserve">utilizar gamificación en el módulo de Apoyo a la Intervención Educativa del ciclo formativo de grado superior de Integración Social, </w:t>
      </w:r>
      <w:r>
        <w:rPr>
          <w:lang w:val="es-ES"/>
        </w:rPr>
        <w:t xml:space="preserve">con la intención de </w:t>
      </w:r>
      <w:r w:rsidRPr="00941554">
        <w:rPr>
          <w:lang w:val="es-ES"/>
        </w:rPr>
        <w:t>aporta</w:t>
      </w:r>
      <w:r>
        <w:rPr>
          <w:lang w:val="es-ES"/>
        </w:rPr>
        <w:t>r</w:t>
      </w:r>
      <w:r w:rsidRPr="00941554">
        <w:rPr>
          <w:lang w:val="es-ES"/>
        </w:rPr>
        <w:t xml:space="preserve"> al alumnado conocimientos y habilidades en estrategias lúdicas para que puedan dar una respuesta educativa eficaz al alumnado con diversidad funcional</w:t>
      </w:r>
      <w:r>
        <w:rPr>
          <w:lang w:val="es-ES"/>
        </w:rPr>
        <w:t>, ya que d</w:t>
      </w:r>
      <w:r w:rsidRPr="00941554">
        <w:rPr>
          <w:lang w:val="es-ES"/>
        </w:rPr>
        <w:t>iversos estudios (Gooch, Vasalou, Benton y Khaled, 2016; Sitra, Katsigiannakis, Karagiannidis y Mavropoulou, 2017) muestran el potencial de la gamificación como elemento dinámico y motivador para alumnado con dificultades específicas de aprendizaje y alumnado con diversidad funcional.</w:t>
      </w:r>
    </w:p>
    <w:p w:rsidR="006518C1" w:rsidRPr="006518C1" w:rsidRDefault="006518C1" w:rsidP="006518C1">
      <w:pPr>
        <w:pStyle w:val="APARTADOPRINCIPAL"/>
        <w:rPr>
          <w:sz w:val="22"/>
          <w:lang w:val="es-ES"/>
        </w:rPr>
      </w:pPr>
      <w:r>
        <w:rPr>
          <w:sz w:val="22"/>
          <w:lang w:val="es-ES"/>
        </w:rPr>
        <w:t>2</w:t>
      </w:r>
      <w:r w:rsidRPr="00941554">
        <w:rPr>
          <w:sz w:val="22"/>
          <w:lang w:val="es-ES"/>
        </w:rPr>
        <w:t xml:space="preserve">. </w:t>
      </w:r>
      <w:r>
        <w:rPr>
          <w:sz w:val="22"/>
          <w:lang w:val="es-ES"/>
        </w:rPr>
        <w:t>EL USO DE GAMIFICACIÓN EN EDUCACIÓN</w:t>
      </w:r>
    </w:p>
    <w:p w:rsidR="006A7309" w:rsidRPr="00F40CD5" w:rsidRDefault="006A7309" w:rsidP="00941554">
      <w:pPr>
        <w:pStyle w:val="TEXTOSARTICULOS"/>
        <w:jc w:val="both"/>
        <w:rPr>
          <w:lang w:val="es-ES"/>
        </w:rPr>
      </w:pPr>
      <w:r w:rsidRPr="00941554">
        <w:rPr>
          <w:lang w:val="es-ES"/>
        </w:rPr>
        <w:t xml:space="preserve">Deterding, Dixon, Khaled y Nacke (2011) definen la gamificación como el uso de mecánicas, componentes y dinámicas propias de los juegos en entornos no lúdicos. La gamificación educativa es una técnica que propone dinámicas asociadas con el diseño de juegos en el entorno educativo, con el fin de estimular y tener una interacción directa del alumnado, que les permita </w:t>
      </w:r>
      <w:r w:rsidRPr="00941554">
        <w:rPr>
          <w:lang w:val="es-ES"/>
        </w:rPr>
        <w:lastRenderedPageBreak/>
        <w:t xml:space="preserve">desarrollar de manera significativa sus competencias curriculares, cognitivas y sociales. Kapp (2012) la define como el uso de técnicas para comprometer a las personas, motivar su acción y promover el aprendizaje y resolución de problemas. Esto genera en el alumnado, una sensación de empoderamiento en su forma de trabajar para lograr tareas, haciéndolas más atractivas y </w:t>
      </w:r>
      <w:r w:rsidRPr="00F40CD5">
        <w:rPr>
          <w:lang w:val="es-ES"/>
        </w:rPr>
        <w:t>potenciando el trabajo cooperativo, el esfuerzo y otros valores positivos propios de los juegos</w:t>
      </w:r>
      <w:r w:rsidR="00955967" w:rsidRPr="00F40CD5">
        <w:rPr>
          <w:lang w:val="es-ES"/>
        </w:rPr>
        <w:t>.</w:t>
      </w:r>
    </w:p>
    <w:p w:rsidR="006E2AA0" w:rsidRPr="00F40CD5" w:rsidRDefault="006E2AA0" w:rsidP="006E2AA0">
      <w:pPr>
        <w:spacing w:before="100" w:beforeAutospacing="1" w:after="100" w:afterAutospacing="1" w:line="360" w:lineRule="auto"/>
        <w:rPr>
          <w:rFonts w:ascii="Century Gothic" w:hAnsi="Century Gothic"/>
        </w:rPr>
      </w:pPr>
      <w:r w:rsidRPr="00F40CD5">
        <w:rPr>
          <w:rFonts w:ascii="Century Gothic" w:hAnsi="Century Gothic"/>
          <w:sz w:val="22"/>
        </w:rPr>
        <w:t xml:space="preserve">Marín y Hierro (2013) citado por Revuelta, Guerra y Pedrera (2017) definen la gamificación como: </w:t>
      </w:r>
    </w:p>
    <w:p w:rsidR="006518C1" w:rsidRPr="00F40CD5" w:rsidRDefault="006E2AA0" w:rsidP="006E2AA0">
      <w:pPr>
        <w:spacing w:before="100" w:beforeAutospacing="1" w:after="100" w:afterAutospacing="1" w:line="360" w:lineRule="auto"/>
        <w:ind w:left="708"/>
        <w:jc w:val="both"/>
        <w:rPr>
          <w:rFonts w:ascii="Century Gothic" w:hAnsi="Century Gothic"/>
        </w:rPr>
      </w:pPr>
      <w:r w:rsidRPr="00F40CD5">
        <w:rPr>
          <w:rFonts w:ascii="Century Gothic" w:hAnsi="Century Gothic"/>
          <w:sz w:val="22"/>
        </w:rPr>
        <w:t>Una técnica, un método y una estrategia a la vez. Parte del conocimiento de los elementos que hacen atractivos a los juegos e identifica, dentro de una actividad, tarea o mensaje determinado, en un entorno de no juego, aquellos aspectos susceptibles de ser convertidos en juego o dinámicas lúdicas. Todo ello para conseguir una vinculación especial con los usuarios, incentivar un cambio de comportamiento o transmitir un mensaje o contenido. Es decir, crear una experiencia significativa y motivadora</w:t>
      </w:r>
      <w:r w:rsidR="00F9180A">
        <w:rPr>
          <w:rFonts w:ascii="Century Gothic" w:hAnsi="Century Gothic"/>
          <w:sz w:val="22"/>
        </w:rPr>
        <w:t>.</w:t>
      </w:r>
      <w:r w:rsidRPr="00F40CD5">
        <w:rPr>
          <w:rFonts w:ascii="Century Gothic" w:hAnsi="Century Gothic"/>
          <w:sz w:val="22"/>
        </w:rPr>
        <w:t xml:space="preserve"> (p.23)</w:t>
      </w:r>
    </w:p>
    <w:p w:rsidR="006A7309" w:rsidRPr="00941554" w:rsidRDefault="006A7309" w:rsidP="00941554">
      <w:pPr>
        <w:pStyle w:val="TEXTOSARTICULOS"/>
        <w:jc w:val="both"/>
        <w:rPr>
          <w:lang w:val="es-ES"/>
        </w:rPr>
      </w:pPr>
      <w:r w:rsidRPr="00F40CD5">
        <w:rPr>
          <w:lang w:val="es-ES"/>
        </w:rPr>
        <w:t>En educación, el uso d</w:t>
      </w:r>
      <w:r w:rsidRPr="00941554">
        <w:rPr>
          <w:lang w:val="es-ES"/>
        </w:rPr>
        <w:t>e la gamificación y juegos educativos como herramientas de aprendizaje puede aportar un enfoque atractivo y motivador debido a su capacidad para enseñar y reforzar contenidos y competencias curriculares (Dicheva, Dichev, Agre y Angelova, 2015).</w:t>
      </w:r>
    </w:p>
    <w:p w:rsidR="006A7309" w:rsidRPr="00941554" w:rsidRDefault="006A7309" w:rsidP="00941554">
      <w:pPr>
        <w:pStyle w:val="TEXTOSARTICULOS"/>
        <w:jc w:val="both"/>
        <w:rPr>
          <w:lang w:val="es-ES"/>
        </w:rPr>
      </w:pPr>
      <w:r w:rsidRPr="00941554">
        <w:rPr>
          <w:lang w:val="es-ES"/>
        </w:rPr>
        <w:t xml:space="preserve">La utilización de la gamificación favorece un aprendizaje motivador, ya que permite al alumnado experimentar y descubrir cosas nuevas, a la vez que practican habilidades y conocimientos ya aprendidos de manera lúdica. </w:t>
      </w:r>
    </w:p>
    <w:p w:rsidR="006A7309" w:rsidRPr="00941554" w:rsidRDefault="006A7309" w:rsidP="00941554">
      <w:pPr>
        <w:pStyle w:val="TEXTOSARTICULOS"/>
        <w:jc w:val="both"/>
        <w:rPr>
          <w:lang w:val="es-ES"/>
        </w:rPr>
      </w:pPr>
      <w:r w:rsidRPr="00941554">
        <w:rPr>
          <w:lang w:val="es-ES"/>
        </w:rPr>
        <w:t>Ferreiro-González et al. (2019) demuestran que, con el uso de metodologías lúdicas de aprendizaje, el alumnado se involucra más en su proceso de enseñanza-aprendizaje, mientras que los conceptos que sólo se enseñan durante las lecciones teóricas y no se ponen en práctica son más difíciles de asimilar. También afirman que esta metodología facilita trabajar en situaciones más realistas y correlacionar y aplicar conceptos previamente estudiados en diferentes materias de una manera más autónoma, cooperativa y creativa.</w:t>
      </w:r>
    </w:p>
    <w:p w:rsidR="00D700E1" w:rsidRDefault="006A7309" w:rsidP="00941554">
      <w:pPr>
        <w:pStyle w:val="TEXTOSARTICULOS"/>
        <w:jc w:val="both"/>
        <w:rPr>
          <w:lang w:val="es-ES"/>
        </w:rPr>
      </w:pPr>
      <w:r w:rsidRPr="00941554">
        <w:rPr>
          <w:lang w:val="es-ES"/>
        </w:rPr>
        <w:lastRenderedPageBreak/>
        <w:t xml:space="preserve">La gamificación educativa puede favorecer el desarrollo de la creatividad porque pone en valor actividades donde los estudiantes/jugadores pueden verse inmersos en la experiencia, trabajando en casos reales o ficticios, donde tienen que aportar diferentes soluciones. Rahn (2009) aporta que el aprendizaje es más significativo cuando se trabaja en grupos, mejorándose el compromiso o </w:t>
      </w:r>
      <w:r w:rsidRPr="00941554">
        <w:rPr>
          <w:i/>
          <w:lang w:val="es-ES"/>
        </w:rPr>
        <w:t>engagement</w:t>
      </w:r>
      <w:r w:rsidRPr="00941554">
        <w:rPr>
          <w:lang w:val="es-ES"/>
        </w:rPr>
        <w:t xml:space="preserve"> cuando se diseñan tareas desafiantes, metas enfocadas, una narrativa convincente y una variedad de personajes y roles interesantes.</w:t>
      </w:r>
    </w:p>
    <w:p w:rsidR="00671462" w:rsidRDefault="006A7309" w:rsidP="00941554">
      <w:pPr>
        <w:pStyle w:val="TEXTOSARTICULOS"/>
        <w:jc w:val="both"/>
        <w:rPr>
          <w:lang w:val="es-ES"/>
        </w:rPr>
      </w:pPr>
      <w:r w:rsidRPr="00941554">
        <w:rPr>
          <w:lang w:val="es-ES"/>
        </w:rPr>
        <w:t>Se muestra la necesidad de poner en marcha nuevas estrategias en los modelos de enseñanza-aprendizaje más activas y motivadoras para el alumnado, como es el caso de la gamificación educativa, ya que cuando los estudiantes perciben el aprendizaje de un modo dinámico y envuelto en una narrativa atractiva, la motivación pasa a ser el motor del proceso educativo, logrando resultados potenciales en el desarrollo de sus conocimientos, capacidades y habilidades tanto a nivel académico como profesional.</w:t>
      </w:r>
      <w:r w:rsidR="003D29DC">
        <w:rPr>
          <w:lang w:val="es-ES"/>
        </w:rPr>
        <w:t xml:space="preserve"> </w:t>
      </w:r>
    </w:p>
    <w:p w:rsidR="00AF3498" w:rsidRDefault="00AF3498" w:rsidP="00941554">
      <w:pPr>
        <w:pStyle w:val="APARTADOPRINCIPAL"/>
        <w:rPr>
          <w:sz w:val="22"/>
          <w:lang w:val="es-ES"/>
        </w:rPr>
      </w:pPr>
      <w:r w:rsidRPr="00941554">
        <w:rPr>
          <w:sz w:val="22"/>
          <w:lang w:val="es-ES"/>
        </w:rPr>
        <w:t xml:space="preserve">2. </w:t>
      </w:r>
      <w:r w:rsidR="00956B37">
        <w:rPr>
          <w:sz w:val="22"/>
          <w:lang w:val="es-ES"/>
        </w:rPr>
        <w:t>MÉTODO/DESARROLLO DE LA EXPERIENCIA DE INNOVACIÓN</w:t>
      </w:r>
    </w:p>
    <w:p w:rsidR="002265BD" w:rsidRDefault="002265BD" w:rsidP="00941554">
      <w:pPr>
        <w:pStyle w:val="APARTADOPRINCIPAL"/>
        <w:rPr>
          <w:sz w:val="22"/>
          <w:lang w:val="es-ES"/>
        </w:rPr>
      </w:pPr>
      <w:r>
        <w:rPr>
          <w:sz w:val="22"/>
          <w:lang w:val="es-ES"/>
        </w:rPr>
        <w:t>2.1 Objetivo</w:t>
      </w:r>
    </w:p>
    <w:p w:rsidR="00946DC1" w:rsidRDefault="00946DC1" w:rsidP="002265BD">
      <w:pPr>
        <w:pStyle w:val="TEXTOSARTICULOS"/>
        <w:jc w:val="both"/>
        <w:rPr>
          <w:lang w:val="es-ES"/>
        </w:rPr>
      </w:pPr>
      <w:r w:rsidRPr="002069DA">
        <w:rPr>
          <w:lang w:val="es-ES"/>
        </w:rPr>
        <w:t xml:space="preserve">La presente experiencia de aula se centra en analizar el impacto que ofrece una propuesta didáctica basada en estrategias gamificadas y aprendizaje cooperativo en las siguientes dimensiones: motivación, </w:t>
      </w:r>
      <w:r w:rsidR="009336D9">
        <w:rPr>
          <w:lang w:val="es-ES"/>
        </w:rPr>
        <w:t xml:space="preserve">creatividad </w:t>
      </w:r>
      <w:r w:rsidRPr="002069DA">
        <w:rPr>
          <w:lang w:val="es-ES"/>
        </w:rPr>
        <w:t xml:space="preserve">y </w:t>
      </w:r>
      <w:r w:rsidR="00306CAE">
        <w:rPr>
          <w:lang w:val="es-ES"/>
        </w:rPr>
        <w:t>flujo de aula.</w:t>
      </w:r>
    </w:p>
    <w:p w:rsidR="002265BD" w:rsidRPr="00941554" w:rsidRDefault="002265BD" w:rsidP="002265BD">
      <w:pPr>
        <w:pStyle w:val="Ttulo4"/>
        <w:jc w:val="both"/>
        <w:rPr>
          <w:b/>
          <w:i w:val="0"/>
          <w:sz w:val="22"/>
        </w:rPr>
      </w:pPr>
      <w:r w:rsidRPr="00941554">
        <w:rPr>
          <w:b/>
          <w:i w:val="0"/>
          <w:sz w:val="22"/>
        </w:rPr>
        <w:t>2.2 Participantes</w:t>
      </w:r>
    </w:p>
    <w:p w:rsidR="002265BD" w:rsidRPr="00F9180A" w:rsidRDefault="002265BD" w:rsidP="002265BD">
      <w:pPr>
        <w:spacing w:line="360" w:lineRule="auto"/>
        <w:jc w:val="both"/>
        <w:rPr>
          <w:rFonts w:ascii="Century Gothic" w:hAnsi="Century Gothic"/>
          <w:sz w:val="22"/>
        </w:rPr>
      </w:pPr>
      <w:r w:rsidRPr="00F9180A">
        <w:rPr>
          <w:rFonts w:ascii="Century Gothic" w:hAnsi="Century Gothic"/>
          <w:sz w:val="22"/>
        </w:rPr>
        <w:t>Los participantes han sido 19 estudiantes del ciclo formativo de grado superior de Integración Social de segundo año de un centro educativo público de la provincia de Almería. La muestra se compone de 16 mujeres y 3 hombres, entre los 19 y 50 años, predominando las mujeres de 20 a 25 años.</w:t>
      </w:r>
    </w:p>
    <w:p w:rsidR="002265BD" w:rsidRPr="00F9180A" w:rsidRDefault="002265BD" w:rsidP="002265BD">
      <w:pPr>
        <w:spacing w:line="360" w:lineRule="auto"/>
        <w:jc w:val="both"/>
        <w:rPr>
          <w:rFonts w:ascii="Century Gothic" w:hAnsi="Century Gothic"/>
          <w:sz w:val="22"/>
        </w:rPr>
      </w:pPr>
      <w:r w:rsidRPr="00F9180A">
        <w:rPr>
          <w:rFonts w:ascii="Century Gothic" w:hAnsi="Century Gothic"/>
          <w:sz w:val="22"/>
        </w:rPr>
        <w:t xml:space="preserve">Los criterios de selección para el estudio fueron estar matriculados en el módulo de Apoyo a la intervención educativa y su conformidad para realizar la entrevista. </w:t>
      </w:r>
    </w:p>
    <w:p w:rsidR="00BE053A" w:rsidRPr="00F9180A" w:rsidRDefault="00BE053A" w:rsidP="00941554">
      <w:pPr>
        <w:pStyle w:val="Ttulo4"/>
        <w:jc w:val="both"/>
        <w:rPr>
          <w:b/>
          <w:i w:val="0"/>
          <w:sz w:val="22"/>
        </w:rPr>
      </w:pPr>
      <w:r w:rsidRPr="00F9180A">
        <w:rPr>
          <w:b/>
          <w:i w:val="0"/>
          <w:sz w:val="22"/>
        </w:rPr>
        <w:t>2.</w:t>
      </w:r>
      <w:r w:rsidR="002265BD" w:rsidRPr="00F9180A">
        <w:rPr>
          <w:b/>
          <w:i w:val="0"/>
          <w:sz w:val="22"/>
        </w:rPr>
        <w:t>2</w:t>
      </w:r>
      <w:r w:rsidRPr="00F9180A">
        <w:rPr>
          <w:b/>
          <w:i w:val="0"/>
          <w:sz w:val="22"/>
        </w:rPr>
        <w:t xml:space="preserve"> Metodología</w:t>
      </w:r>
    </w:p>
    <w:p w:rsidR="00D52DF2" w:rsidRPr="00F9180A" w:rsidRDefault="00D52DF2" w:rsidP="00D52DF2">
      <w:pPr>
        <w:spacing w:line="360" w:lineRule="auto"/>
        <w:jc w:val="both"/>
        <w:rPr>
          <w:rFonts w:ascii="Century Gothic" w:hAnsi="Century Gothic"/>
          <w:sz w:val="22"/>
        </w:rPr>
      </w:pPr>
      <w:r w:rsidRPr="00F9180A">
        <w:rPr>
          <w:rFonts w:ascii="Century Gothic" w:hAnsi="Century Gothic"/>
          <w:sz w:val="22"/>
        </w:rPr>
        <w:t xml:space="preserve">La intervención se llevo a cabo en el curso 2018/2019, dentro del módulo formativo Apoyo a la Intervención Educativa (AIE), en el marco de la unidad de trabajo “Recursos para AIE”. </w:t>
      </w:r>
    </w:p>
    <w:p w:rsidR="00335323" w:rsidRPr="00F9180A" w:rsidRDefault="00964681" w:rsidP="00964681">
      <w:pPr>
        <w:spacing w:line="360" w:lineRule="auto"/>
        <w:jc w:val="both"/>
        <w:rPr>
          <w:rFonts w:ascii="Century Gothic" w:hAnsi="Century Gothic"/>
          <w:sz w:val="22"/>
        </w:rPr>
      </w:pPr>
      <w:r w:rsidRPr="00F9180A">
        <w:rPr>
          <w:rFonts w:ascii="Century Gothic" w:hAnsi="Century Gothic"/>
          <w:color w:val="000000" w:themeColor="text1"/>
          <w:sz w:val="22"/>
        </w:rPr>
        <w:t>Se ha seguido una metodología activa de aprendizaje</w:t>
      </w:r>
      <w:r w:rsidRPr="00F9180A">
        <w:rPr>
          <w:rFonts w:ascii="Century Gothic" w:hAnsi="Century Gothic"/>
          <w:b/>
          <w:color w:val="000000" w:themeColor="text1"/>
          <w:sz w:val="22"/>
        </w:rPr>
        <w:t xml:space="preserve"> </w:t>
      </w:r>
      <w:r w:rsidRPr="00F9180A">
        <w:rPr>
          <w:rFonts w:ascii="Century Gothic" w:hAnsi="Century Gothic"/>
          <w:color w:val="000000" w:themeColor="text1"/>
          <w:sz w:val="22"/>
        </w:rPr>
        <w:t xml:space="preserve">(Zepeda-Hernández, Abascal-Mena y López-Ornelas, 2016) centrada en el estudiante de una forma constructiva, fomentando que sea una parte activa en el proceso de enseñanza-aprendizaje. Se pone en valor la importancia del trabajo en equipo y la resolución de problemas que puedan encontrarse en su futuro profesional. </w:t>
      </w:r>
      <w:r w:rsidRPr="00F9180A">
        <w:rPr>
          <w:rFonts w:ascii="Century Gothic" w:hAnsi="Century Gothic"/>
          <w:sz w:val="22"/>
        </w:rPr>
        <w:t>Se planteó una metodología de aprendizaje basad</w:t>
      </w:r>
      <w:r w:rsidR="00335323" w:rsidRPr="00F9180A">
        <w:rPr>
          <w:rFonts w:ascii="Century Gothic" w:hAnsi="Century Gothic"/>
          <w:sz w:val="22"/>
        </w:rPr>
        <w:t>o</w:t>
      </w:r>
      <w:r w:rsidRPr="00F9180A">
        <w:rPr>
          <w:rFonts w:ascii="Century Gothic" w:hAnsi="Century Gothic"/>
          <w:sz w:val="22"/>
        </w:rPr>
        <w:t xml:space="preserve"> en proyectos</w:t>
      </w:r>
      <w:r w:rsidR="00335323" w:rsidRPr="00F9180A">
        <w:rPr>
          <w:rFonts w:ascii="Century Gothic" w:hAnsi="Century Gothic"/>
          <w:sz w:val="22"/>
        </w:rPr>
        <w:t xml:space="preserve"> </w:t>
      </w:r>
      <w:r w:rsidRPr="00F9180A">
        <w:rPr>
          <w:rFonts w:ascii="Century Gothic" w:hAnsi="Century Gothic"/>
          <w:sz w:val="22"/>
        </w:rPr>
        <w:t>co</w:t>
      </w:r>
      <w:r w:rsidR="00335323" w:rsidRPr="00F9180A">
        <w:rPr>
          <w:rFonts w:ascii="Century Gothic" w:hAnsi="Century Gothic"/>
          <w:sz w:val="22"/>
        </w:rPr>
        <w:t>operativ</w:t>
      </w:r>
      <w:r w:rsidR="00955967" w:rsidRPr="00F9180A">
        <w:rPr>
          <w:rFonts w:ascii="Century Gothic" w:hAnsi="Century Gothic"/>
          <w:sz w:val="22"/>
        </w:rPr>
        <w:t>os</w:t>
      </w:r>
      <w:r w:rsidRPr="00F9180A">
        <w:rPr>
          <w:rFonts w:ascii="Century Gothic" w:hAnsi="Century Gothic"/>
          <w:sz w:val="22"/>
        </w:rPr>
        <w:t xml:space="preserve">, </w:t>
      </w:r>
      <w:r w:rsidR="00335323" w:rsidRPr="00F9180A">
        <w:rPr>
          <w:rFonts w:ascii="Century Gothic" w:hAnsi="Century Gothic"/>
          <w:sz w:val="22"/>
        </w:rPr>
        <w:t>donde el alumnado en equipo pudiera desarrollar competencias transversales a través de la resolución de problemas complejos del mundo real (Pareja, Fernández y Fuentes, 2019). De manera combinada, se hizo uso de estrategias de gamificación educativa</w:t>
      </w:r>
      <w:r w:rsidR="00955967" w:rsidRPr="00F9180A">
        <w:rPr>
          <w:rFonts w:ascii="Century Gothic" w:hAnsi="Century Gothic"/>
          <w:sz w:val="22"/>
        </w:rPr>
        <w:t xml:space="preserve"> (Glover, 2013).</w:t>
      </w:r>
    </w:p>
    <w:p w:rsidR="002265BD" w:rsidRPr="00F9180A" w:rsidRDefault="00D52DF2" w:rsidP="00941554">
      <w:pPr>
        <w:spacing w:line="360" w:lineRule="auto"/>
        <w:jc w:val="both"/>
        <w:rPr>
          <w:rFonts w:ascii="Century Gothic" w:hAnsi="Century Gothic"/>
          <w:b/>
          <w:sz w:val="22"/>
        </w:rPr>
      </w:pPr>
      <w:r w:rsidRPr="00F9180A">
        <w:rPr>
          <w:rFonts w:ascii="Century Gothic" w:hAnsi="Century Gothic"/>
          <w:b/>
          <w:sz w:val="22"/>
        </w:rPr>
        <w:t>2.2.1 Gamificación en la unidad de trabajo</w:t>
      </w:r>
    </w:p>
    <w:p w:rsidR="00F8280C" w:rsidRPr="00F9180A" w:rsidRDefault="003E38AF" w:rsidP="00941554">
      <w:pPr>
        <w:spacing w:line="360" w:lineRule="auto"/>
        <w:jc w:val="both"/>
        <w:rPr>
          <w:rFonts w:ascii="Century Gothic" w:hAnsi="Century Gothic"/>
          <w:color w:val="000000" w:themeColor="text1"/>
          <w:sz w:val="22"/>
        </w:rPr>
      </w:pPr>
      <w:r w:rsidRPr="00F9180A">
        <w:rPr>
          <w:rFonts w:ascii="Century Gothic" w:hAnsi="Century Gothic"/>
          <w:sz w:val="22"/>
        </w:rPr>
        <w:t xml:space="preserve">En este apartado se van a desarrollar los diferentes </w:t>
      </w:r>
      <w:r w:rsidR="00D52DF2" w:rsidRPr="00F9180A">
        <w:rPr>
          <w:rFonts w:ascii="Century Gothic" w:hAnsi="Century Gothic"/>
          <w:sz w:val="22"/>
        </w:rPr>
        <w:t>elementos</w:t>
      </w:r>
      <w:r w:rsidRPr="00F9180A">
        <w:rPr>
          <w:rFonts w:ascii="Century Gothic" w:hAnsi="Century Gothic"/>
          <w:sz w:val="22"/>
        </w:rPr>
        <w:t xml:space="preserve"> del programa de gamificación </w:t>
      </w:r>
      <w:r w:rsidRPr="00F9180A">
        <w:rPr>
          <w:rFonts w:ascii="Century Gothic" w:hAnsi="Century Gothic"/>
          <w:i/>
          <w:sz w:val="22"/>
        </w:rPr>
        <w:t xml:space="preserve">Grey Place. </w:t>
      </w:r>
      <w:r w:rsidR="00AE4A4F" w:rsidRPr="00F9180A">
        <w:rPr>
          <w:rFonts w:ascii="Century Gothic" w:hAnsi="Century Gothic"/>
          <w:color w:val="000000" w:themeColor="text1"/>
          <w:sz w:val="22"/>
        </w:rPr>
        <w:t>Esta gamificación siguió el modelo MDA (Mechanics, Dynamics, Aesthethics)</w:t>
      </w:r>
      <w:r w:rsidR="00F8280C" w:rsidRPr="00F9180A">
        <w:rPr>
          <w:rFonts w:ascii="Century Gothic" w:hAnsi="Century Gothic"/>
          <w:color w:val="000000" w:themeColor="text1"/>
          <w:sz w:val="22"/>
        </w:rPr>
        <w:t xml:space="preserve"> propuesto por Hunicke, LeBlanc y Zubek (2004)</w:t>
      </w:r>
      <w:r w:rsidR="00CA6931" w:rsidRPr="00F9180A">
        <w:rPr>
          <w:rFonts w:ascii="Century Gothic" w:hAnsi="Century Gothic"/>
          <w:color w:val="000000" w:themeColor="text1"/>
          <w:sz w:val="22"/>
        </w:rPr>
        <w:t>:</w:t>
      </w:r>
    </w:p>
    <w:p w:rsidR="00CA6931" w:rsidRPr="00F9180A" w:rsidRDefault="00CA6931" w:rsidP="00941554">
      <w:pPr>
        <w:pStyle w:val="Prrafodelista"/>
        <w:numPr>
          <w:ilvl w:val="0"/>
          <w:numId w:val="2"/>
        </w:numPr>
        <w:spacing w:after="0"/>
        <w:rPr>
          <w:rFonts w:ascii="Century Gothic" w:hAnsi="Century Gothic"/>
          <w:color w:val="000000" w:themeColor="text1"/>
        </w:rPr>
      </w:pPr>
      <w:r w:rsidRPr="00F9180A">
        <w:rPr>
          <w:rFonts w:ascii="Century Gothic" w:hAnsi="Century Gothic"/>
          <w:color w:val="000000" w:themeColor="text1"/>
        </w:rPr>
        <w:t>Mecánicas</w:t>
      </w:r>
      <w:r w:rsidR="00022D61" w:rsidRPr="00F9180A">
        <w:rPr>
          <w:rFonts w:ascii="Century Gothic" w:hAnsi="Century Gothic"/>
          <w:color w:val="000000" w:themeColor="text1"/>
        </w:rPr>
        <w:t>: acciones</w:t>
      </w:r>
      <w:r w:rsidR="002805F0" w:rsidRPr="00F9180A">
        <w:rPr>
          <w:rFonts w:ascii="Century Gothic" w:hAnsi="Century Gothic"/>
          <w:color w:val="000000" w:themeColor="text1"/>
        </w:rPr>
        <w:t xml:space="preserve"> </w:t>
      </w:r>
      <w:r w:rsidR="00022D61" w:rsidRPr="00F9180A">
        <w:rPr>
          <w:rFonts w:ascii="Century Gothic" w:hAnsi="Century Gothic"/>
          <w:color w:val="000000" w:themeColor="text1"/>
        </w:rPr>
        <w:t>y mecanismos de control que se ofrecen a los jugadores dentro del contexto de un juego.</w:t>
      </w:r>
      <w:r w:rsidR="00F8280C" w:rsidRPr="00F9180A">
        <w:rPr>
          <w:rFonts w:ascii="Century Gothic" w:hAnsi="Century Gothic"/>
          <w:color w:val="000000" w:themeColor="text1"/>
        </w:rPr>
        <w:t xml:space="preserve"> Por ejemplo, robar cartas, apostar, intercambiar, atacar, competir, cooperar, etc. </w:t>
      </w:r>
    </w:p>
    <w:p w:rsidR="00CA6931" w:rsidRPr="00F9180A" w:rsidRDefault="00CA6931" w:rsidP="00941554">
      <w:pPr>
        <w:pStyle w:val="Prrafodelista"/>
        <w:numPr>
          <w:ilvl w:val="0"/>
          <w:numId w:val="2"/>
        </w:numPr>
        <w:spacing w:after="0"/>
        <w:rPr>
          <w:rFonts w:ascii="Century Gothic" w:hAnsi="Century Gothic"/>
          <w:color w:val="000000" w:themeColor="text1"/>
        </w:rPr>
      </w:pPr>
      <w:r w:rsidRPr="00F9180A">
        <w:rPr>
          <w:rFonts w:ascii="Century Gothic" w:hAnsi="Century Gothic"/>
          <w:color w:val="000000" w:themeColor="text1"/>
        </w:rPr>
        <w:t>Dinámicas</w:t>
      </w:r>
      <w:r w:rsidR="00F8280C" w:rsidRPr="00F9180A">
        <w:rPr>
          <w:rFonts w:ascii="Century Gothic" w:hAnsi="Century Gothic"/>
          <w:color w:val="000000" w:themeColor="text1"/>
        </w:rPr>
        <w:t xml:space="preserve">: comportamientos a realizar mientras se ejecutan las mecánicas. Por ejemplo, socialización, farol, reflexión, </w:t>
      </w:r>
      <w:r w:rsidR="00721136" w:rsidRPr="00F9180A">
        <w:rPr>
          <w:rFonts w:ascii="Century Gothic" w:hAnsi="Century Gothic"/>
          <w:color w:val="000000" w:themeColor="text1"/>
        </w:rPr>
        <w:t>estatus, atención…</w:t>
      </w:r>
    </w:p>
    <w:p w:rsidR="00306CAE" w:rsidRPr="00306CAE" w:rsidRDefault="00CA6931" w:rsidP="00306CAE">
      <w:pPr>
        <w:pStyle w:val="Prrafodelista"/>
        <w:numPr>
          <w:ilvl w:val="0"/>
          <w:numId w:val="2"/>
        </w:numPr>
        <w:spacing w:after="0"/>
        <w:rPr>
          <w:rFonts w:ascii="Century Gothic" w:hAnsi="Century Gothic"/>
          <w:color w:val="000000" w:themeColor="text1"/>
        </w:rPr>
      </w:pPr>
      <w:r w:rsidRPr="00F9180A">
        <w:rPr>
          <w:rFonts w:ascii="Century Gothic" w:hAnsi="Century Gothic"/>
          <w:color w:val="000000" w:themeColor="text1"/>
        </w:rPr>
        <w:t>Estética</w:t>
      </w:r>
      <w:r w:rsidR="00F8280C" w:rsidRPr="00F9180A">
        <w:rPr>
          <w:rFonts w:ascii="Century Gothic" w:hAnsi="Century Gothic"/>
          <w:color w:val="000000" w:themeColor="text1"/>
        </w:rPr>
        <w:t>: respuestas emocionales deseables evocadas en los jugadores cuando interactúan</w:t>
      </w:r>
      <w:r w:rsidR="00F8280C" w:rsidRPr="00941554">
        <w:rPr>
          <w:rFonts w:ascii="Century Gothic" w:hAnsi="Century Gothic"/>
          <w:color w:val="000000" w:themeColor="text1"/>
        </w:rPr>
        <w:t xml:space="preserve"> con el sistema de juego. </w:t>
      </w:r>
      <w:r w:rsidR="00721136" w:rsidRPr="00941554">
        <w:rPr>
          <w:rFonts w:ascii="Century Gothic" w:hAnsi="Century Gothic"/>
          <w:color w:val="000000" w:themeColor="text1"/>
        </w:rPr>
        <w:t>Se divide en: sensación, fantasía, narrativa, desafío, compañerismo, descubrimiento, expresión y entretenimiento.</w:t>
      </w:r>
    </w:p>
    <w:p w:rsidR="00306CAE" w:rsidRPr="00F9180A" w:rsidRDefault="00306CAE" w:rsidP="00306CAE">
      <w:pPr>
        <w:spacing w:line="360" w:lineRule="auto"/>
        <w:jc w:val="both"/>
        <w:rPr>
          <w:rFonts w:ascii="Century Gothic" w:hAnsi="Century Gothic"/>
          <w:color w:val="000000" w:themeColor="text1"/>
          <w:sz w:val="22"/>
        </w:rPr>
      </w:pPr>
      <w:r w:rsidRPr="00F9180A">
        <w:rPr>
          <w:rFonts w:ascii="Century Gothic" w:hAnsi="Century Gothic"/>
          <w:color w:val="000000" w:themeColor="text1"/>
          <w:sz w:val="22"/>
        </w:rPr>
        <w:t>El modelo MDE es una metodología para guiarse en el proceso de diseño de videojuegos, haciendo hincapié en la interacción con el jugador, que establece la relación entre reglas-mecánicas, sistema de juego-dinámicas y diversión-estética (Hunicke, LeBlanc y Zubek, 2004). Se ha trabajado con este modelo para potenciar la resolución de problemas (Contreras y Eguia, 2016), el trabajo cooperativo (Dodero, Gennari, Melonio y Torello, 2014) y las competencias digitales (Pomata y Díaz, 2017). Se propone una estética y narrativa donde son investigadores y por equipos de 4/5 estudiantes tendrán que salvar el centro educativo Grey Place del color gris (dándole un significado de monotonía y aburrimiento), rescatando al alumnado con diversidad funcional. Se propondrán una serie de misiones (actividades de aula) y un desafío grupal.</w:t>
      </w:r>
    </w:p>
    <w:p w:rsidR="00306CAE" w:rsidRPr="00306CAE" w:rsidRDefault="00306CAE" w:rsidP="00306CAE">
      <w:pPr>
        <w:rPr>
          <w:color w:val="000000" w:themeColor="text1"/>
        </w:rPr>
      </w:pPr>
    </w:p>
    <w:p w:rsidR="00964681" w:rsidRDefault="00964681" w:rsidP="00964681">
      <w:pPr>
        <w:rPr>
          <w:color w:val="000000" w:themeColor="text1"/>
        </w:rPr>
      </w:pPr>
      <w:r>
        <w:rPr>
          <w:noProof/>
          <w:color w:val="000000" w:themeColor="text1"/>
          <w:lang w:eastAsia="es-ES"/>
        </w:rPr>
        <w:drawing>
          <wp:inline distT="0" distB="0" distL="0" distR="0" wp14:anchorId="5E0580C8" wp14:editId="142A6681">
            <wp:extent cx="5486400" cy="3200400"/>
            <wp:effectExtent l="0" t="19050" r="0" b="76200"/>
            <wp:docPr id="8" name="Diagrama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964681" w:rsidRPr="00F9180A" w:rsidRDefault="00964681" w:rsidP="00964681">
      <w:pPr>
        <w:rPr>
          <w:rFonts w:ascii="Century Gothic" w:hAnsi="Century Gothic"/>
          <w:color w:val="000000" w:themeColor="text1"/>
          <w:sz w:val="22"/>
        </w:rPr>
      </w:pPr>
      <w:r w:rsidRPr="00F9180A">
        <w:rPr>
          <w:rFonts w:ascii="Century Gothic" w:hAnsi="Century Gothic"/>
          <w:i/>
          <w:color w:val="000000" w:themeColor="text1"/>
          <w:sz w:val="22"/>
        </w:rPr>
        <w:t>Figura 1</w:t>
      </w:r>
      <w:r w:rsidRPr="00F9180A">
        <w:rPr>
          <w:rFonts w:ascii="Century Gothic" w:hAnsi="Century Gothic"/>
          <w:color w:val="000000" w:themeColor="text1"/>
          <w:sz w:val="22"/>
        </w:rPr>
        <w:t>. MDE de la gamificación Grey Place. Elaboración propia</w:t>
      </w:r>
    </w:p>
    <w:p w:rsidR="00F9180A" w:rsidRDefault="00F9180A" w:rsidP="00941554">
      <w:pPr>
        <w:spacing w:line="360" w:lineRule="auto"/>
        <w:jc w:val="both"/>
        <w:rPr>
          <w:rFonts w:ascii="Century Gothic" w:hAnsi="Century Gothic"/>
          <w:color w:val="000000" w:themeColor="text1"/>
          <w:sz w:val="22"/>
        </w:rPr>
      </w:pPr>
    </w:p>
    <w:p w:rsidR="00FE203F" w:rsidRPr="00F9180A" w:rsidRDefault="00FE203F" w:rsidP="00941554">
      <w:pPr>
        <w:spacing w:line="360" w:lineRule="auto"/>
        <w:jc w:val="both"/>
        <w:rPr>
          <w:rFonts w:ascii="Century Gothic" w:hAnsi="Century Gothic"/>
          <w:color w:val="000000" w:themeColor="text1"/>
          <w:sz w:val="22"/>
        </w:rPr>
      </w:pPr>
      <w:r w:rsidRPr="00F9180A">
        <w:rPr>
          <w:rFonts w:ascii="Century Gothic" w:hAnsi="Century Gothic"/>
          <w:color w:val="000000" w:themeColor="text1"/>
          <w:sz w:val="22"/>
        </w:rPr>
        <w:t>La primera sesión de la unidad de trabajo gamificada se inicia con una narrativa inicial, hilo conductor del resto de sesiones, donde encuentran en mitad del aula un sobre gris con el siguiente mensaje:</w:t>
      </w:r>
    </w:p>
    <w:p w:rsidR="00FE203F" w:rsidRPr="00941554" w:rsidRDefault="00FE203F" w:rsidP="00941554">
      <w:pPr>
        <w:pStyle w:val="font8"/>
        <w:spacing w:before="0" w:beforeAutospacing="0" w:after="0" w:afterAutospacing="0" w:line="360" w:lineRule="auto"/>
        <w:jc w:val="both"/>
        <w:textAlignment w:val="baseline"/>
        <w:rPr>
          <w:rFonts w:ascii="Century Gothic" w:hAnsi="Century Gothic" w:cs="Arial"/>
          <w:i/>
          <w:sz w:val="22"/>
          <w:szCs w:val="22"/>
          <w:bdr w:val="none" w:sz="0" w:space="0" w:color="auto" w:frame="1"/>
        </w:rPr>
      </w:pPr>
      <w:r w:rsidRPr="00941554">
        <w:rPr>
          <w:rFonts w:ascii="Century Gothic" w:hAnsi="Century Gothic" w:cs="Arial"/>
          <w:i/>
          <w:sz w:val="22"/>
          <w:szCs w:val="22"/>
          <w:bdr w:val="none" w:sz="0" w:space="0" w:color="auto" w:frame="1"/>
        </w:rPr>
        <w:t>“Acabáis de llegar a Grey Place, una pintoresca ciudad en escala de grises. Cuando llegáis al centro educativo, nadie sabe quién sois ni cómo habéis llegado allí… Todos los niños y niñas parecen seguir el mismo patrón: leer en silencio, contestar preguntas y examen. Os fijáis que la mayoría no entienden nada y no hay color...</w:t>
      </w:r>
      <w:r w:rsidRPr="00941554">
        <w:rPr>
          <w:rFonts w:ascii="Century Gothic" w:hAnsi="Century Gothic" w:cs="Arial"/>
          <w:i/>
          <w:sz w:val="22"/>
          <w:szCs w:val="22"/>
        </w:rPr>
        <w:t xml:space="preserve"> </w:t>
      </w:r>
      <w:r w:rsidRPr="00941554">
        <w:rPr>
          <w:rFonts w:ascii="Century Gothic" w:hAnsi="Century Gothic" w:cs="Arial"/>
          <w:i/>
          <w:sz w:val="22"/>
          <w:szCs w:val="22"/>
          <w:bdr w:val="none" w:sz="0" w:space="0" w:color="auto" w:frame="1"/>
        </w:rPr>
        <w:t>¿Seréis capaces de superar los desafíos para traer de nuevo el color a las aulas?”</w:t>
      </w:r>
    </w:p>
    <w:p w:rsidR="006E758E" w:rsidRDefault="00A34D67" w:rsidP="00941554">
      <w:pPr>
        <w:pStyle w:val="font8"/>
        <w:spacing w:before="0" w:beforeAutospacing="0" w:after="0" w:afterAutospacing="0" w:line="360" w:lineRule="auto"/>
        <w:jc w:val="both"/>
        <w:textAlignment w:val="baseline"/>
        <w:rPr>
          <w:rFonts w:ascii="Century Gothic" w:hAnsi="Century Gothic" w:cs="Arial"/>
          <w:sz w:val="22"/>
          <w:szCs w:val="22"/>
        </w:rPr>
      </w:pPr>
      <w:r w:rsidRPr="00941554">
        <w:rPr>
          <w:rFonts w:ascii="Century Gothic" w:hAnsi="Century Gothic" w:cs="Arial"/>
          <w:sz w:val="22"/>
          <w:szCs w:val="22"/>
        </w:rPr>
        <w:t xml:space="preserve">Una vez leído el mensaje en grupo, cada estudiante descubre en su mesa un contrato de investigador/a, donde tienen que decidir si aceptan el desafío propuesto, desglosando las misiones que tendrían que hacer. Este elemento tiene una relación directa con los contratos </w:t>
      </w:r>
      <w:r w:rsidR="00535D3E" w:rsidRPr="00941554">
        <w:rPr>
          <w:rFonts w:ascii="Century Gothic" w:hAnsi="Century Gothic" w:cs="Arial"/>
          <w:sz w:val="22"/>
          <w:szCs w:val="22"/>
        </w:rPr>
        <w:t>didácticos</w:t>
      </w:r>
      <w:r w:rsidR="00A651EB" w:rsidRPr="00941554">
        <w:rPr>
          <w:rFonts w:ascii="Century Gothic" w:hAnsi="Century Gothic" w:cs="Arial"/>
          <w:sz w:val="22"/>
          <w:szCs w:val="22"/>
        </w:rPr>
        <w:t>. Los contratos didácticos determinan los comportamientos esperados tanto del docente como del alumnado en torno a los objetivos, proyectos, relaciones y evaluaciones relacionadas con el módulo</w:t>
      </w:r>
      <w:r w:rsidR="00535D3E" w:rsidRPr="00941554">
        <w:rPr>
          <w:rFonts w:ascii="Century Gothic" w:hAnsi="Century Gothic" w:cs="Arial"/>
          <w:sz w:val="22"/>
          <w:szCs w:val="22"/>
        </w:rPr>
        <w:t xml:space="preserve"> </w:t>
      </w:r>
      <w:r w:rsidR="00A651EB" w:rsidRPr="00941554">
        <w:rPr>
          <w:rFonts w:ascii="Century Gothic" w:hAnsi="Century Gothic" w:cs="Arial"/>
          <w:sz w:val="22"/>
          <w:szCs w:val="22"/>
        </w:rPr>
        <w:t>(García, 2018), por lo que se utilizan como herramienta didáctica que provoque una predisposición emocional positiva para favorecer el clima de aula y fomente un aprendizaje significativo.</w:t>
      </w:r>
      <w:r w:rsidRPr="00941554">
        <w:rPr>
          <w:rFonts w:ascii="Century Gothic" w:hAnsi="Century Gothic" w:cs="Arial"/>
          <w:sz w:val="22"/>
          <w:szCs w:val="22"/>
        </w:rPr>
        <w:t xml:space="preserve"> Todo el alumnado firmó el contrato, por lo que se agruparon en equipos de 4 a 6 </w:t>
      </w:r>
      <w:r w:rsidR="006E758E" w:rsidRPr="00941554">
        <w:rPr>
          <w:rFonts w:ascii="Century Gothic" w:hAnsi="Century Gothic" w:cs="Arial"/>
          <w:sz w:val="22"/>
          <w:szCs w:val="22"/>
        </w:rPr>
        <w:t>estudiantes.</w:t>
      </w:r>
    </w:p>
    <w:p w:rsidR="00DB3FE8" w:rsidRDefault="00DB3FE8" w:rsidP="00941554">
      <w:pPr>
        <w:pStyle w:val="font8"/>
        <w:spacing w:before="0" w:beforeAutospacing="0" w:after="0" w:afterAutospacing="0" w:line="360" w:lineRule="auto"/>
        <w:jc w:val="both"/>
        <w:textAlignment w:val="baseline"/>
        <w:rPr>
          <w:rFonts w:ascii="Century Gothic" w:hAnsi="Century Gothic" w:cs="Arial"/>
          <w:sz w:val="22"/>
          <w:szCs w:val="22"/>
        </w:rPr>
      </w:pPr>
      <w:r>
        <w:rPr>
          <w:rFonts w:ascii="Century Gothic" w:hAnsi="Century Gothic" w:cs="Arial"/>
          <w:sz w:val="22"/>
          <w:szCs w:val="22"/>
        </w:rPr>
        <w:t>Las actividades gamificadas plantadas fueron las siguientes:</w:t>
      </w:r>
    </w:p>
    <w:p w:rsidR="00DB3FE8" w:rsidRPr="00DB3FE8" w:rsidRDefault="00DB3FE8" w:rsidP="00DB3FE8">
      <w:pPr>
        <w:pStyle w:val="font8"/>
        <w:numPr>
          <w:ilvl w:val="0"/>
          <w:numId w:val="2"/>
        </w:numPr>
        <w:spacing w:before="0" w:beforeAutospacing="0" w:after="0" w:afterAutospacing="0" w:line="360" w:lineRule="auto"/>
        <w:jc w:val="both"/>
        <w:textAlignment w:val="baseline"/>
        <w:rPr>
          <w:rFonts w:ascii="Century Gothic" w:hAnsi="Century Gothic" w:cs="Arial"/>
          <w:sz w:val="22"/>
          <w:szCs w:val="22"/>
        </w:rPr>
      </w:pPr>
      <w:r>
        <w:rPr>
          <w:rFonts w:ascii="Century Gothic" w:hAnsi="Century Gothic" w:cs="Arial"/>
          <w:sz w:val="22"/>
          <w:szCs w:val="22"/>
        </w:rPr>
        <w:t xml:space="preserve">Misiones individuales: Ver un vídeo con Edpuzzle relacionado con el temario y contestar las preguntas; Elegir una aplicación educativa de Android o iOS, investigar sus objetivos y relacionar con que alumnado se podría trabajar esa aplicación. Al realizar las misiones individuales </w:t>
      </w:r>
      <w:r w:rsidRPr="00DB3FE8">
        <w:rPr>
          <w:rFonts w:ascii="Century Gothic" w:hAnsi="Century Gothic" w:cs="Arial"/>
          <w:sz w:val="22"/>
          <w:szCs w:val="22"/>
        </w:rPr>
        <w:t>voluntarias se podían desbloquear puntos para realizar el breakout Edu.</w:t>
      </w:r>
    </w:p>
    <w:p w:rsidR="00DB3FE8" w:rsidRPr="00F9180A" w:rsidRDefault="00DB3FE8" w:rsidP="00306CAE">
      <w:pPr>
        <w:pStyle w:val="Prrafodelista"/>
        <w:numPr>
          <w:ilvl w:val="0"/>
          <w:numId w:val="2"/>
        </w:numPr>
        <w:rPr>
          <w:rFonts w:ascii="Century Gothic" w:hAnsi="Century Gothic"/>
          <w:color w:val="000000" w:themeColor="text1"/>
        </w:rPr>
      </w:pPr>
      <w:r w:rsidRPr="00F9180A">
        <w:rPr>
          <w:rFonts w:ascii="Century Gothic" w:hAnsi="Century Gothic"/>
          <w:color w:val="000000" w:themeColor="text1"/>
        </w:rPr>
        <w:t>Misión grupal: El desafío grupal consiste en un estudio de caso en el que tienen que realizar un proyecto educativo para un caso concreto, teniendo en cuenta su grado de discapacidad, currículum y modalidad educativa y objetivos a alcanzar. Se gamificó utilizando tarjetas relacionadas con la estética donde cada grupo rescataba a uno niño/a en peligro. Esta tarea se relaciona con las unidades de trabajo anteriores, dado que se les pide la justificación de los recursos en función de su modalidad de escolarización, tipo de diversidad funcional, objetivos a trabajar e intereses del alumno/a (Toda la información viene en cada tarjeta).</w:t>
      </w:r>
    </w:p>
    <w:p w:rsidR="00306CAE" w:rsidRPr="00941554" w:rsidRDefault="00306CAE" w:rsidP="00306CAE">
      <w:pPr>
        <w:pStyle w:val="font8"/>
        <w:spacing w:before="0" w:beforeAutospacing="0" w:after="0" w:afterAutospacing="0" w:line="360" w:lineRule="auto"/>
        <w:jc w:val="both"/>
        <w:textAlignment w:val="baseline"/>
        <w:rPr>
          <w:rFonts w:ascii="Century Gothic" w:hAnsi="Century Gothic" w:cs="Arial"/>
          <w:sz w:val="22"/>
          <w:szCs w:val="22"/>
        </w:rPr>
      </w:pPr>
      <w:r w:rsidRPr="00941554">
        <w:rPr>
          <w:rFonts w:ascii="Century Gothic" w:hAnsi="Century Gothic" w:cs="Arial"/>
          <w:noProof/>
          <w:sz w:val="22"/>
          <w:szCs w:val="22"/>
          <w:lang w:eastAsia="es-ES"/>
        </w:rPr>
        <w:drawing>
          <wp:inline distT="0" distB="0" distL="0" distR="0" wp14:anchorId="51F967F9" wp14:editId="6816936C">
            <wp:extent cx="4516581" cy="2885382"/>
            <wp:effectExtent l="0" t="0" r="5080" b="0"/>
            <wp:docPr id="3" name="Imagen 3"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sos.png"/>
                    <pic:cNvPicPr/>
                  </pic:nvPicPr>
                  <pic:blipFill rotWithShape="1">
                    <a:blip r:embed="rId15">
                      <a:extLst>
                        <a:ext uri="{28A0092B-C50C-407E-A947-70E740481C1C}">
                          <a14:useLocalDpi xmlns:a14="http://schemas.microsoft.com/office/drawing/2010/main" val="0"/>
                        </a:ext>
                      </a:extLst>
                    </a:blip>
                    <a:srcRect t="907" b="53947"/>
                    <a:stretch/>
                  </pic:blipFill>
                  <pic:spPr bwMode="auto">
                    <a:xfrm>
                      <a:off x="0" y="0"/>
                      <a:ext cx="4534645" cy="2896922"/>
                    </a:xfrm>
                    <a:prstGeom prst="rect">
                      <a:avLst/>
                    </a:prstGeom>
                    <a:ln>
                      <a:noFill/>
                    </a:ln>
                    <a:extLst>
                      <a:ext uri="{53640926-AAD7-44D8-BBD7-CCE9431645EC}">
                        <a14:shadowObscured xmlns:a14="http://schemas.microsoft.com/office/drawing/2010/main"/>
                      </a:ext>
                    </a:extLst>
                  </pic:spPr>
                </pic:pic>
              </a:graphicData>
            </a:graphic>
          </wp:inline>
        </w:drawing>
      </w:r>
    </w:p>
    <w:p w:rsidR="00306CAE" w:rsidRPr="00F9180A" w:rsidRDefault="00306CAE" w:rsidP="00306CAE">
      <w:pPr>
        <w:spacing w:line="360" w:lineRule="auto"/>
        <w:jc w:val="both"/>
        <w:rPr>
          <w:rFonts w:ascii="Century Gothic" w:hAnsi="Century Gothic"/>
          <w:sz w:val="22"/>
        </w:rPr>
      </w:pPr>
      <w:r w:rsidRPr="00F9180A">
        <w:rPr>
          <w:rFonts w:ascii="Century Gothic" w:hAnsi="Century Gothic"/>
          <w:sz w:val="22"/>
        </w:rPr>
        <w:t>Figura 2. Ejemplo de caso cooperativo. Elaboración propia</w:t>
      </w:r>
    </w:p>
    <w:p w:rsidR="00F9180A" w:rsidRDefault="00F9180A" w:rsidP="00DB3FE8">
      <w:pPr>
        <w:spacing w:line="360" w:lineRule="auto"/>
        <w:jc w:val="both"/>
        <w:rPr>
          <w:rFonts w:ascii="Century Gothic" w:hAnsi="Century Gothic"/>
          <w:color w:val="000000" w:themeColor="text1"/>
          <w:sz w:val="22"/>
        </w:rPr>
      </w:pPr>
    </w:p>
    <w:p w:rsidR="00964681" w:rsidRPr="00F9180A" w:rsidRDefault="00964681" w:rsidP="00DB3FE8">
      <w:pPr>
        <w:spacing w:line="360" w:lineRule="auto"/>
        <w:jc w:val="both"/>
        <w:rPr>
          <w:rFonts w:ascii="Century Gothic" w:hAnsi="Century Gothic"/>
          <w:color w:val="000000"/>
          <w:sz w:val="22"/>
        </w:rPr>
      </w:pPr>
      <w:r w:rsidRPr="00F9180A">
        <w:rPr>
          <w:rFonts w:ascii="Century Gothic" w:hAnsi="Century Gothic"/>
          <w:color w:val="000000" w:themeColor="text1"/>
          <w:sz w:val="22"/>
        </w:rPr>
        <w:t>El evento desbloqueable y los puntos se traducen en un Breakout Edu</w:t>
      </w:r>
      <w:r w:rsidRPr="00F9180A">
        <w:rPr>
          <w:rFonts w:ascii="Century Gothic" w:hAnsi="Century Gothic"/>
          <w:b/>
          <w:color w:val="000000" w:themeColor="text1"/>
          <w:sz w:val="22"/>
        </w:rPr>
        <w:t xml:space="preserve"> </w:t>
      </w:r>
      <w:r w:rsidRPr="00F9180A">
        <w:rPr>
          <w:rFonts w:ascii="Century Gothic" w:hAnsi="Century Gothic"/>
          <w:color w:val="000000" w:themeColor="text1"/>
          <w:sz w:val="22"/>
        </w:rPr>
        <w:t xml:space="preserve">final. Los puntos se consiguen con la participación </w:t>
      </w:r>
      <w:r w:rsidR="00DB3FE8" w:rsidRPr="00F9180A">
        <w:rPr>
          <w:rFonts w:ascii="Century Gothic" w:hAnsi="Century Gothic"/>
          <w:color w:val="000000" w:themeColor="text1"/>
          <w:sz w:val="22"/>
        </w:rPr>
        <w:t xml:space="preserve">en las misiones individuales. </w:t>
      </w:r>
      <w:r w:rsidRPr="00F9180A">
        <w:rPr>
          <w:rFonts w:ascii="Century Gothic" w:hAnsi="Century Gothic"/>
          <w:color w:val="000000" w:themeColor="text1"/>
          <w:sz w:val="22"/>
        </w:rPr>
        <w:t>Si se observa un buen clima de aula y los proyectos en general han sido buenos se realizará el Breakout Edu, que consiste en un juego inmersivo en el que el alumnado tiene una serie de retos para conseguir abrir una caja con candados, dentro de la cual habrá una recompensa relacionada con la narrativa (Nicholson, 2018).</w:t>
      </w:r>
      <w:r w:rsidR="00DB3FE8" w:rsidRPr="00F9180A">
        <w:rPr>
          <w:rFonts w:ascii="Century Gothic" w:hAnsi="Century Gothic"/>
          <w:color w:val="000000"/>
          <w:sz w:val="22"/>
        </w:rPr>
        <w:t xml:space="preserve"> </w:t>
      </w:r>
      <w:r w:rsidRPr="00F9180A">
        <w:rPr>
          <w:rFonts w:ascii="Century Gothic" w:hAnsi="Century Gothic"/>
          <w:color w:val="000000" w:themeColor="text1"/>
          <w:sz w:val="22"/>
        </w:rPr>
        <w:t xml:space="preserve">El Breakout Edu </w:t>
      </w:r>
      <w:r w:rsidR="00306CAE" w:rsidRPr="00F9180A">
        <w:rPr>
          <w:rFonts w:ascii="Century Gothic" w:hAnsi="Century Gothic"/>
          <w:color w:val="000000" w:themeColor="text1"/>
          <w:sz w:val="22"/>
        </w:rPr>
        <w:t xml:space="preserve">diseñado </w:t>
      </w:r>
      <w:r w:rsidRPr="00F9180A">
        <w:rPr>
          <w:rFonts w:ascii="Century Gothic" w:hAnsi="Century Gothic"/>
          <w:color w:val="000000" w:themeColor="text1"/>
          <w:sz w:val="22"/>
        </w:rPr>
        <w:t>consist</w:t>
      </w:r>
      <w:r w:rsidR="00306CAE" w:rsidRPr="00F9180A">
        <w:rPr>
          <w:rFonts w:ascii="Century Gothic" w:hAnsi="Century Gothic"/>
          <w:color w:val="000000" w:themeColor="text1"/>
          <w:sz w:val="22"/>
        </w:rPr>
        <w:t>ió</w:t>
      </w:r>
      <w:r w:rsidRPr="00F9180A">
        <w:rPr>
          <w:rFonts w:ascii="Century Gothic" w:hAnsi="Century Gothic"/>
          <w:color w:val="000000" w:themeColor="text1"/>
          <w:sz w:val="22"/>
        </w:rPr>
        <w:t xml:space="preserve"> en </w:t>
      </w:r>
      <w:r w:rsidR="00306CAE" w:rsidRPr="00F9180A">
        <w:rPr>
          <w:rFonts w:ascii="Century Gothic" w:hAnsi="Century Gothic"/>
          <w:color w:val="000000" w:themeColor="text1"/>
          <w:sz w:val="22"/>
        </w:rPr>
        <w:t xml:space="preserve">abrir </w:t>
      </w:r>
      <w:r w:rsidRPr="00F9180A">
        <w:rPr>
          <w:rFonts w:ascii="Century Gothic" w:hAnsi="Century Gothic"/>
          <w:color w:val="000000" w:themeColor="text1"/>
          <w:sz w:val="22"/>
        </w:rPr>
        <w:t>una caja gris con un candado de 4 dígitos. Se dividi</w:t>
      </w:r>
      <w:r w:rsidR="00306CAE" w:rsidRPr="00F9180A">
        <w:rPr>
          <w:rFonts w:ascii="Century Gothic" w:hAnsi="Century Gothic"/>
          <w:color w:val="000000" w:themeColor="text1"/>
          <w:sz w:val="22"/>
        </w:rPr>
        <w:t>ó</w:t>
      </w:r>
      <w:r w:rsidRPr="00F9180A">
        <w:rPr>
          <w:rFonts w:ascii="Century Gothic" w:hAnsi="Century Gothic"/>
          <w:color w:val="000000" w:themeColor="text1"/>
          <w:sz w:val="22"/>
        </w:rPr>
        <w:t xml:space="preserve"> al alumnado en cuatro grupos y tendrán que realizar varias pruebas que cada grupo consiga un dígito y el orden correcto del candado.</w:t>
      </w:r>
    </w:p>
    <w:p w:rsidR="00964681" w:rsidRPr="00DB3FE8" w:rsidRDefault="00964681" w:rsidP="00DB3FE8">
      <w:pPr>
        <w:pStyle w:val="Prrafodelista"/>
        <w:numPr>
          <w:ilvl w:val="0"/>
          <w:numId w:val="6"/>
        </w:numPr>
        <w:rPr>
          <w:rFonts w:ascii="Century Gothic" w:hAnsi="Century Gothic"/>
          <w:color w:val="000000" w:themeColor="text1"/>
        </w:rPr>
      </w:pPr>
      <w:r w:rsidRPr="00DB3FE8">
        <w:rPr>
          <w:rFonts w:ascii="Century Gothic" w:hAnsi="Century Gothic"/>
          <w:color w:val="000000" w:themeColor="text1"/>
        </w:rPr>
        <w:t xml:space="preserve">Crear un cuento con 5 cartas del juego </w:t>
      </w:r>
      <w:r w:rsidRPr="00DB3FE8">
        <w:rPr>
          <w:rFonts w:ascii="Century Gothic" w:hAnsi="Century Gothic"/>
          <w:i/>
          <w:color w:val="000000" w:themeColor="text1"/>
        </w:rPr>
        <w:t>Imagine</w:t>
      </w:r>
      <w:r w:rsidRPr="00DB3FE8">
        <w:rPr>
          <w:rFonts w:ascii="Century Gothic" w:hAnsi="Century Gothic"/>
          <w:color w:val="000000" w:themeColor="text1"/>
        </w:rPr>
        <w:t xml:space="preserve">, y mandarlo a </w:t>
      </w:r>
      <w:r w:rsidR="00B327FC">
        <w:rPr>
          <w:rFonts w:ascii="Century Gothic" w:hAnsi="Century Gothic"/>
          <w:color w:val="000000" w:themeColor="text1"/>
        </w:rPr>
        <w:t>un</w:t>
      </w:r>
      <w:r w:rsidRPr="00DB3FE8">
        <w:rPr>
          <w:rFonts w:ascii="Century Gothic" w:hAnsi="Century Gothic"/>
          <w:color w:val="000000" w:themeColor="text1"/>
        </w:rPr>
        <w:t xml:space="preserve"> correo electrónico</w:t>
      </w:r>
      <w:r w:rsidR="00B327FC">
        <w:rPr>
          <w:rFonts w:ascii="Century Gothic" w:hAnsi="Century Gothic"/>
          <w:color w:val="000000" w:themeColor="text1"/>
        </w:rPr>
        <w:t xml:space="preserve"> para conseguir una clave</w:t>
      </w:r>
      <w:r w:rsidRPr="00DB3FE8">
        <w:rPr>
          <w:rFonts w:ascii="Century Gothic" w:hAnsi="Century Gothic"/>
          <w:color w:val="000000" w:themeColor="text1"/>
        </w:rPr>
        <w:t xml:space="preserve">. </w:t>
      </w:r>
    </w:p>
    <w:p w:rsidR="00964681" w:rsidRPr="00DB3FE8" w:rsidRDefault="00964681" w:rsidP="00DB3FE8">
      <w:pPr>
        <w:pStyle w:val="Prrafodelista"/>
        <w:numPr>
          <w:ilvl w:val="0"/>
          <w:numId w:val="6"/>
        </w:numPr>
        <w:rPr>
          <w:rFonts w:ascii="Century Gothic" w:hAnsi="Century Gothic"/>
          <w:color w:val="000000" w:themeColor="text1"/>
        </w:rPr>
      </w:pPr>
      <w:r w:rsidRPr="00DB3FE8">
        <w:rPr>
          <w:rFonts w:ascii="Century Gothic" w:hAnsi="Century Gothic"/>
          <w:color w:val="000000" w:themeColor="text1"/>
        </w:rPr>
        <w:t xml:space="preserve">Desde el correo electrónico </w:t>
      </w:r>
      <w:r w:rsidR="00B327FC">
        <w:rPr>
          <w:rFonts w:ascii="Century Gothic" w:hAnsi="Century Gothic"/>
          <w:color w:val="000000" w:themeColor="text1"/>
        </w:rPr>
        <w:t>reciben</w:t>
      </w:r>
      <w:r w:rsidRPr="00DB3FE8">
        <w:rPr>
          <w:rFonts w:ascii="Century Gothic" w:hAnsi="Century Gothic"/>
          <w:color w:val="000000" w:themeColor="text1"/>
        </w:rPr>
        <w:t xml:space="preserve"> un QR con la ubicación dentro de clase de un sobre donde </w:t>
      </w:r>
      <w:r w:rsidR="00B327FC">
        <w:rPr>
          <w:rFonts w:ascii="Century Gothic" w:hAnsi="Century Gothic"/>
          <w:color w:val="000000" w:themeColor="text1"/>
        </w:rPr>
        <w:t>hay</w:t>
      </w:r>
      <w:r w:rsidRPr="00DB3FE8">
        <w:rPr>
          <w:rFonts w:ascii="Century Gothic" w:hAnsi="Century Gothic"/>
          <w:color w:val="000000" w:themeColor="text1"/>
        </w:rPr>
        <w:t xml:space="preserve"> un mensaje encriptado en braille</w:t>
      </w:r>
      <w:r w:rsidR="00B327FC">
        <w:rPr>
          <w:rFonts w:ascii="Century Gothic" w:hAnsi="Century Gothic"/>
          <w:color w:val="000000" w:themeColor="text1"/>
        </w:rPr>
        <w:t>.</w:t>
      </w:r>
    </w:p>
    <w:p w:rsidR="00964681" w:rsidRPr="00DB3FE8" w:rsidRDefault="00964681" w:rsidP="00DB3FE8">
      <w:pPr>
        <w:pStyle w:val="Prrafodelista"/>
        <w:numPr>
          <w:ilvl w:val="0"/>
          <w:numId w:val="6"/>
        </w:numPr>
        <w:rPr>
          <w:rFonts w:ascii="Century Gothic" w:hAnsi="Century Gothic"/>
          <w:color w:val="000000" w:themeColor="text1"/>
        </w:rPr>
      </w:pPr>
      <w:r w:rsidRPr="00DB3FE8">
        <w:rPr>
          <w:rFonts w:ascii="Century Gothic" w:hAnsi="Century Gothic"/>
          <w:color w:val="000000" w:themeColor="text1"/>
        </w:rPr>
        <w:t xml:space="preserve">En ese mensaje se les manda la ubicación fuera de clase del número </w:t>
      </w:r>
      <w:r w:rsidR="00B327FC">
        <w:rPr>
          <w:rFonts w:ascii="Century Gothic" w:hAnsi="Century Gothic"/>
          <w:color w:val="000000" w:themeColor="text1"/>
        </w:rPr>
        <w:t>su</w:t>
      </w:r>
      <w:r w:rsidRPr="00DB3FE8">
        <w:rPr>
          <w:rFonts w:ascii="Century Gothic" w:hAnsi="Century Gothic"/>
          <w:color w:val="000000" w:themeColor="text1"/>
        </w:rPr>
        <w:t xml:space="preserve"> posición </w:t>
      </w:r>
      <w:r w:rsidR="00B327FC">
        <w:rPr>
          <w:rFonts w:ascii="Century Gothic" w:hAnsi="Century Gothic"/>
          <w:color w:val="000000" w:themeColor="text1"/>
        </w:rPr>
        <w:t>para desbloquear el candado</w:t>
      </w:r>
      <w:r w:rsidRPr="00DB3FE8">
        <w:rPr>
          <w:rFonts w:ascii="Century Gothic" w:hAnsi="Century Gothic"/>
          <w:color w:val="000000" w:themeColor="text1"/>
        </w:rPr>
        <w:t>.</w:t>
      </w:r>
    </w:p>
    <w:p w:rsidR="00306CAE" w:rsidRPr="00306CAE" w:rsidRDefault="00964681" w:rsidP="00306CAE">
      <w:pPr>
        <w:pStyle w:val="Prrafodelista"/>
        <w:numPr>
          <w:ilvl w:val="0"/>
          <w:numId w:val="6"/>
        </w:numPr>
        <w:rPr>
          <w:rFonts w:ascii="Century Gothic" w:hAnsi="Century Gothic"/>
          <w:color w:val="000000" w:themeColor="text1"/>
        </w:rPr>
      </w:pPr>
      <w:r w:rsidRPr="00DB3FE8">
        <w:rPr>
          <w:rFonts w:ascii="Century Gothic" w:hAnsi="Century Gothic"/>
          <w:color w:val="000000" w:themeColor="text1"/>
        </w:rPr>
        <w:t>Una vez que lo consigan todos los equipos y abran el cofre, encontrarán un mensaje de los niños y niñas de Grey Place, dándoles las gracias por haberles rescatado.</w:t>
      </w:r>
    </w:p>
    <w:p w:rsidR="00306CAE" w:rsidRPr="00941554" w:rsidRDefault="00306CAE" w:rsidP="00306CAE">
      <w:pPr>
        <w:pStyle w:val="font8"/>
        <w:spacing w:before="0" w:beforeAutospacing="0" w:after="0" w:afterAutospacing="0" w:line="360" w:lineRule="auto"/>
        <w:jc w:val="both"/>
        <w:textAlignment w:val="baseline"/>
        <w:rPr>
          <w:rFonts w:ascii="Century Gothic" w:hAnsi="Century Gothic" w:cs="Arial"/>
          <w:sz w:val="22"/>
          <w:szCs w:val="22"/>
        </w:rPr>
      </w:pPr>
      <w:r w:rsidRPr="00941554">
        <w:rPr>
          <w:rFonts w:ascii="Century Gothic" w:hAnsi="Century Gothic" w:cs="Arial"/>
          <w:noProof/>
          <w:sz w:val="22"/>
          <w:szCs w:val="22"/>
          <w:lang w:eastAsia="es-ES"/>
        </w:rPr>
        <w:drawing>
          <wp:inline distT="0" distB="0" distL="0" distR="0" wp14:anchorId="4B8CE0A1" wp14:editId="7692632A">
            <wp:extent cx="2172335" cy="2563938"/>
            <wp:effectExtent l="0" t="0" r="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sos.png"/>
                    <pic:cNvPicPr/>
                  </pic:nvPicPr>
                  <pic:blipFill rotWithShape="1">
                    <a:blip r:embed="rId16" cstate="print">
                      <a:extLst>
                        <a:ext uri="{28A0092B-C50C-407E-A947-70E740481C1C}">
                          <a14:useLocalDpi xmlns:a14="http://schemas.microsoft.com/office/drawing/2010/main" val="0"/>
                        </a:ext>
                      </a:extLst>
                    </a:blip>
                    <a:srcRect t="11480"/>
                    <a:stretch/>
                  </pic:blipFill>
                  <pic:spPr bwMode="auto">
                    <a:xfrm>
                      <a:off x="0" y="0"/>
                      <a:ext cx="2172691" cy="2564358"/>
                    </a:xfrm>
                    <a:prstGeom prst="rect">
                      <a:avLst/>
                    </a:prstGeom>
                    <a:ln>
                      <a:noFill/>
                    </a:ln>
                    <a:extLst>
                      <a:ext uri="{53640926-AAD7-44D8-BBD7-CCE9431645EC}">
                        <a14:shadowObscured xmlns:a14="http://schemas.microsoft.com/office/drawing/2010/main"/>
                      </a:ext>
                    </a:extLst>
                  </pic:spPr>
                </pic:pic>
              </a:graphicData>
            </a:graphic>
          </wp:inline>
        </w:drawing>
      </w:r>
      <w:r w:rsidRPr="00941554">
        <w:rPr>
          <w:rFonts w:ascii="Century Gothic" w:hAnsi="Century Gothic" w:cs="Arial"/>
          <w:noProof/>
          <w:sz w:val="22"/>
          <w:szCs w:val="22"/>
          <w:lang w:eastAsia="es-ES"/>
        </w:rPr>
        <w:drawing>
          <wp:inline distT="0" distB="0" distL="0" distR="0" wp14:anchorId="68F34AED" wp14:editId="588E4BED">
            <wp:extent cx="2161309" cy="2566670"/>
            <wp:effectExtent l="0" t="0" r="0" b="0"/>
            <wp:docPr id="5" name="Imagen 5" descr="Imagen que contiene persona, interio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19-04-17 at 10.48.31.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72781" cy="2580294"/>
                    </a:xfrm>
                    <a:prstGeom prst="rect">
                      <a:avLst/>
                    </a:prstGeom>
                  </pic:spPr>
                </pic:pic>
              </a:graphicData>
            </a:graphic>
          </wp:inline>
        </w:drawing>
      </w:r>
    </w:p>
    <w:p w:rsidR="00306CAE" w:rsidRPr="00F9180A" w:rsidRDefault="00306CAE" w:rsidP="00F9180A">
      <w:pPr>
        <w:spacing w:line="360" w:lineRule="auto"/>
        <w:jc w:val="both"/>
        <w:rPr>
          <w:rFonts w:ascii="Century Gothic" w:hAnsi="Century Gothic"/>
          <w:sz w:val="22"/>
          <w:szCs w:val="22"/>
          <w:lang w:val="en-US"/>
        </w:rPr>
      </w:pPr>
      <w:r w:rsidRPr="00F9180A">
        <w:rPr>
          <w:rFonts w:ascii="Century Gothic" w:hAnsi="Century Gothic"/>
          <w:sz w:val="22"/>
          <w:szCs w:val="22"/>
          <w:lang w:val="en-US"/>
        </w:rPr>
        <w:t xml:space="preserve">Figura 3. Breakout de Grey Place. </w:t>
      </w:r>
      <w:r w:rsidRPr="00F9180A">
        <w:rPr>
          <w:rFonts w:ascii="Century Gothic" w:hAnsi="Century Gothic"/>
          <w:sz w:val="22"/>
          <w:szCs w:val="22"/>
        </w:rPr>
        <w:t>Elaboración propia</w:t>
      </w:r>
    </w:p>
    <w:p w:rsidR="004E64A9" w:rsidRPr="00F9180A" w:rsidRDefault="004E64A9" w:rsidP="00F9180A">
      <w:pPr>
        <w:spacing w:line="360" w:lineRule="auto"/>
        <w:jc w:val="both"/>
        <w:rPr>
          <w:rFonts w:ascii="Century Gothic" w:hAnsi="Century Gothic"/>
          <w:color w:val="000000" w:themeColor="text1"/>
          <w:sz w:val="22"/>
          <w:szCs w:val="22"/>
        </w:rPr>
      </w:pPr>
      <w:r w:rsidRPr="00F9180A">
        <w:rPr>
          <w:rFonts w:ascii="Century Gothic" w:hAnsi="Century Gothic"/>
          <w:sz w:val="22"/>
          <w:szCs w:val="22"/>
        </w:rPr>
        <w:t>La</w:t>
      </w:r>
      <w:r w:rsidR="004221C4" w:rsidRPr="00F9180A">
        <w:rPr>
          <w:rFonts w:ascii="Century Gothic" w:hAnsi="Century Gothic"/>
          <w:sz w:val="22"/>
          <w:szCs w:val="22"/>
        </w:rPr>
        <w:t xml:space="preserve"> principal </w:t>
      </w:r>
      <w:r w:rsidRPr="00F9180A">
        <w:rPr>
          <w:rFonts w:ascii="Century Gothic" w:hAnsi="Century Gothic"/>
          <w:sz w:val="22"/>
          <w:szCs w:val="22"/>
        </w:rPr>
        <w:t>finalidad</w:t>
      </w:r>
      <w:r w:rsidR="004221C4" w:rsidRPr="00F9180A">
        <w:rPr>
          <w:rFonts w:ascii="Century Gothic" w:hAnsi="Century Gothic"/>
          <w:sz w:val="22"/>
          <w:szCs w:val="22"/>
        </w:rPr>
        <w:t xml:space="preserve"> de gamificar una unidad de trabajo del módulo de apoyo a la intervención educativa en integración social ha sido buscar un aprendizaje significativo a través de una experiencia lúdica</w:t>
      </w:r>
      <w:r w:rsidR="00FD4222" w:rsidRPr="00F9180A">
        <w:rPr>
          <w:rFonts w:ascii="Century Gothic" w:hAnsi="Century Gothic"/>
          <w:sz w:val="22"/>
          <w:szCs w:val="22"/>
        </w:rPr>
        <w:t>, que favorezca la simulación de situaciones reales que puedan encontrar en el desarrollo de su profesión. Este interés se relaciona con la normativa educativa vigente, l</w:t>
      </w:r>
      <w:r w:rsidR="00FD4222" w:rsidRPr="00F9180A">
        <w:rPr>
          <w:rFonts w:ascii="Century Gothic" w:hAnsi="Century Gothic"/>
          <w:color w:val="000000" w:themeColor="text1"/>
          <w:sz w:val="22"/>
          <w:szCs w:val="22"/>
        </w:rPr>
        <w:t>a Ley Orgánica 8/2013, de 9 de diciembre, para la mejora de la calidad educativa (LOMCE) que modifica la LOE (Ley 2/2006, de 3 de mayo de Educación)</w:t>
      </w:r>
      <w:r w:rsidR="00FD4222" w:rsidRPr="00F9180A">
        <w:rPr>
          <w:rFonts w:ascii="Century Gothic" w:hAnsi="Century Gothic"/>
          <w:b/>
          <w:color w:val="000000" w:themeColor="text1"/>
          <w:sz w:val="22"/>
          <w:szCs w:val="22"/>
        </w:rPr>
        <w:t xml:space="preserve"> </w:t>
      </w:r>
      <w:r w:rsidR="00FD4222" w:rsidRPr="00F9180A">
        <w:rPr>
          <w:rFonts w:ascii="Century Gothic" w:hAnsi="Century Gothic"/>
          <w:color w:val="000000" w:themeColor="text1"/>
          <w:sz w:val="22"/>
          <w:szCs w:val="22"/>
        </w:rPr>
        <w:t xml:space="preserve">y establece </w:t>
      </w:r>
      <w:r w:rsidRPr="00F9180A">
        <w:rPr>
          <w:rFonts w:ascii="Century Gothic" w:hAnsi="Century Gothic"/>
          <w:color w:val="000000" w:themeColor="text1"/>
          <w:sz w:val="22"/>
          <w:szCs w:val="22"/>
        </w:rPr>
        <w:t>en su artículo 39:</w:t>
      </w:r>
      <w:r w:rsidR="00FD4222" w:rsidRPr="00F9180A">
        <w:rPr>
          <w:rFonts w:ascii="Century Gothic" w:hAnsi="Century Gothic"/>
          <w:color w:val="000000" w:themeColor="text1"/>
          <w:sz w:val="22"/>
          <w:szCs w:val="22"/>
        </w:rPr>
        <w:t xml:space="preserve"> </w:t>
      </w:r>
    </w:p>
    <w:p w:rsidR="00FD4222" w:rsidRPr="00F9180A" w:rsidRDefault="004E64A9" w:rsidP="00F9180A">
      <w:pPr>
        <w:spacing w:line="360" w:lineRule="auto"/>
        <w:ind w:left="708"/>
        <w:jc w:val="both"/>
        <w:rPr>
          <w:rFonts w:ascii="Century Gothic" w:hAnsi="Century Gothic"/>
          <w:sz w:val="22"/>
          <w:szCs w:val="22"/>
        </w:rPr>
      </w:pPr>
      <w:r w:rsidRPr="00F9180A">
        <w:rPr>
          <w:rFonts w:ascii="Century Gothic" w:hAnsi="Century Gothic"/>
          <w:color w:val="000000" w:themeColor="text1"/>
          <w:sz w:val="22"/>
          <w:szCs w:val="22"/>
        </w:rPr>
        <w:t>L</w:t>
      </w:r>
      <w:r w:rsidR="00FD4222" w:rsidRPr="00F9180A">
        <w:rPr>
          <w:rFonts w:ascii="Century Gothic" w:hAnsi="Century Gothic"/>
          <w:color w:val="000000" w:themeColor="text1"/>
          <w:sz w:val="22"/>
          <w:szCs w:val="22"/>
        </w:rPr>
        <w:t>a Formación Profesional, en el sistema educativo, tiene por finalidad preparar al alumnado para la actividad en un campo profesional y facilitar su adaptación a las modificaciones laborales que pueden producirse a lo largo de su vida, contribuir a su desarrollo personal y al ejercicio de una ciudadanía democrática, y permitir su progresión en el sistema educativo y en sistema de formación profesional para el empleo, así como el aprendizaje a lo largo de toda la vida</w:t>
      </w:r>
      <w:r w:rsidR="00B327FC" w:rsidRPr="00F9180A">
        <w:rPr>
          <w:rFonts w:ascii="Century Gothic" w:hAnsi="Century Gothic"/>
          <w:color w:val="000000" w:themeColor="text1"/>
          <w:sz w:val="22"/>
          <w:szCs w:val="22"/>
        </w:rPr>
        <w:t>.</w:t>
      </w:r>
    </w:p>
    <w:p w:rsidR="00306CAE" w:rsidRPr="00F9180A" w:rsidRDefault="004E64A9" w:rsidP="00F9180A">
      <w:pPr>
        <w:spacing w:line="360" w:lineRule="auto"/>
        <w:jc w:val="both"/>
        <w:rPr>
          <w:rFonts w:ascii="Century Gothic" w:hAnsi="Century Gothic"/>
          <w:sz w:val="22"/>
          <w:szCs w:val="22"/>
        </w:rPr>
      </w:pPr>
      <w:r w:rsidRPr="00F9180A">
        <w:rPr>
          <w:rFonts w:ascii="Century Gothic" w:hAnsi="Century Gothic"/>
          <w:sz w:val="22"/>
          <w:szCs w:val="22"/>
        </w:rPr>
        <w:t xml:space="preserve">Se plantearon diferentes actividades que pudieran desarrollar </w:t>
      </w:r>
      <w:r w:rsidR="00941554" w:rsidRPr="00F9180A">
        <w:rPr>
          <w:rFonts w:ascii="Century Gothic" w:hAnsi="Century Gothic"/>
          <w:sz w:val="22"/>
          <w:szCs w:val="22"/>
        </w:rPr>
        <w:t>favorablemente</w:t>
      </w:r>
      <w:r w:rsidRPr="00F9180A">
        <w:rPr>
          <w:rFonts w:ascii="Century Gothic" w:hAnsi="Century Gothic"/>
          <w:sz w:val="22"/>
          <w:szCs w:val="22"/>
        </w:rPr>
        <w:t xml:space="preserve"> el proceso de enseñanza-aprendizaje del módulo y </w:t>
      </w:r>
      <w:r w:rsidR="00941554" w:rsidRPr="00F9180A">
        <w:rPr>
          <w:rFonts w:ascii="Century Gothic" w:hAnsi="Century Gothic"/>
          <w:sz w:val="22"/>
          <w:szCs w:val="22"/>
        </w:rPr>
        <w:t>potenciara</w:t>
      </w:r>
      <w:r w:rsidRPr="00F9180A">
        <w:rPr>
          <w:rFonts w:ascii="Century Gothic" w:hAnsi="Century Gothic"/>
          <w:sz w:val="22"/>
          <w:szCs w:val="22"/>
        </w:rPr>
        <w:t xml:space="preserve"> </w:t>
      </w:r>
      <w:r w:rsidR="00941554" w:rsidRPr="00F9180A">
        <w:rPr>
          <w:rFonts w:ascii="Century Gothic" w:hAnsi="Century Gothic"/>
          <w:sz w:val="22"/>
          <w:szCs w:val="22"/>
        </w:rPr>
        <w:t>el aprendizaje</w:t>
      </w:r>
      <w:r w:rsidRPr="00F9180A">
        <w:rPr>
          <w:rFonts w:ascii="Century Gothic" w:hAnsi="Century Gothic"/>
          <w:sz w:val="22"/>
          <w:szCs w:val="22"/>
        </w:rPr>
        <w:t xml:space="preserve"> activ</w:t>
      </w:r>
      <w:r w:rsidR="00941554" w:rsidRPr="00F9180A">
        <w:rPr>
          <w:rFonts w:ascii="Century Gothic" w:hAnsi="Century Gothic"/>
          <w:sz w:val="22"/>
          <w:szCs w:val="22"/>
        </w:rPr>
        <w:t>o</w:t>
      </w:r>
      <w:r w:rsidRPr="00F9180A">
        <w:rPr>
          <w:rFonts w:ascii="Century Gothic" w:hAnsi="Century Gothic"/>
          <w:sz w:val="22"/>
          <w:szCs w:val="22"/>
        </w:rPr>
        <w:t xml:space="preserve"> y co</w:t>
      </w:r>
      <w:r w:rsidR="00941554" w:rsidRPr="00F9180A">
        <w:rPr>
          <w:rFonts w:ascii="Century Gothic" w:hAnsi="Century Gothic"/>
          <w:sz w:val="22"/>
          <w:szCs w:val="22"/>
        </w:rPr>
        <w:t>laborativo</w:t>
      </w:r>
      <w:r w:rsidR="008809B8" w:rsidRPr="00F9180A">
        <w:rPr>
          <w:rFonts w:ascii="Century Gothic" w:hAnsi="Century Gothic"/>
          <w:sz w:val="22"/>
          <w:szCs w:val="22"/>
        </w:rPr>
        <w:t>, con el objetivo de hacerles competentes para que en su futuro profesional sean capaces de dialogar y trabajar en equipo con otros profesionales del ámbito social, ya que como apuntan Repetto y Pérez-González (2007), las competencias socioemocionales contribuyen a aumentar la empleabilidad.</w:t>
      </w:r>
    </w:p>
    <w:p w:rsidR="00306CAE" w:rsidRPr="00F9180A" w:rsidRDefault="00BE053A" w:rsidP="00F9180A">
      <w:pPr>
        <w:spacing w:line="360" w:lineRule="auto"/>
        <w:jc w:val="both"/>
        <w:rPr>
          <w:rFonts w:ascii="Century Gothic" w:hAnsi="Century Gothic"/>
          <w:b/>
          <w:sz w:val="22"/>
          <w:szCs w:val="22"/>
        </w:rPr>
      </w:pPr>
      <w:r w:rsidRPr="00F9180A">
        <w:rPr>
          <w:rFonts w:ascii="Century Gothic" w:hAnsi="Century Gothic"/>
          <w:b/>
          <w:sz w:val="22"/>
          <w:szCs w:val="22"/>
        </w:rPr>
        <w:t>2.3 Instrumentos</w:t>
      </w:r>
    </w:p>
    <w:p w:rsidR="00031EF3" w:rsidRPr="00F9180A" w:rsidRDefault="00031EF3" w:rsidP="00F9180A">
      <w:pPr>
        <w:spacing w:line="360" w:lineRule="auto"/>
        <w:jc w:val="both"/>
        <w:rPr>
          <w:rFonts w:ascii="Century Gothic" w:hAnsi="Century Gothic"/>
          <w:sz w:val="22"/>
          <w:szCs w:val="22"/>
        </w:rPr>
      </w:pPr>
      <w:r w:rsidRPr="00F9180A">
        <w:rPr>
          <w:rFonts w:ascii="Century Gothic" w:hAnsi="Century Gothic"/>
          <w:sz w:val="22"/>
          <w:szCs w:val="22"/>
        </w:rPr>
        <w:t xml:space="preserve">Actualmente vivimos una revolución tecnológica que ha incidido y se ha reflejado efusivamente en el contexto educativo (Ramblas, 2018), es por ello, que el instrumento propuesto para conocer las impresiones del alumnado ha sido la entrevista estructurada y abierta, a través de un formulario de Google en formato online. </w:t>
      </w:r>
      <w:r w:rsidRPr="00F9180A">
        <w:rPr>
          <w:rStyle w:val="nfasis"/>
          <w:b w:val="0"/>
          <w:sz w:val="22"/>
          <w:szCs w:val="22"/>
        </w:rPr>
        <w:t>A partir de las preguntas propuestas, se han puesto de manifiesto los pensamientos y reflexiones del alumnado participante en el</w:t>
      </w:r>
      <w:r w:rsidRPr="00F9180A">
        <w:rPr>
          <w:rStyle w:val="nfasis"/>
          <w:sz w:val="22"/>
          <w:szCs w:val="22"/>
        </w:rPr>
        <w:t xml:space="preserve"> </w:t>
      </w:r>
      <w:r w:rsidRPr="00F9180A">
        <w:rPr>
          <w:rFonts w:ascii="Century Gothic" w:hAnsi="Century Gothic"/>
          <w:sz w:val="22"/>
          <w:szCs w:val="22"/>
        </w:rPr>
        <w:t>programa de gamificación Grey Place. La intención de elaborar y poner a disposición estas preguntas, se relaciona con el propósito de conocer las experiencias y vivencias en relación con el proceso de enseñanza-aprendizaje del alumnado participante.</w:t>
      </w:r>
    </w:p>
    <w:p w:rsidR="00031EF3" w:rsidRPr="00F9180A" w:rsidRDefault="00031EF3" w:rsidP="00F9180A">
      <w:pPr>
        <w:spacing w:line="360" w:lineRule="auto"/>
        <w:jc w:val="both"/>
        <w:rPr>
          <w:rFonts w:ascii="Century Gothic" w:hAnsi="Century Gothic"/>
          <w:color w:val="000000" w:themeColor="text1"/>
          <w:sz w:val="22"/>
          <w:szCs w:val="22"/>
        </w:rPr>
      </w:pPr>
      <w:r w:rsidRPr="00F9180A">
        <w:rPr>
          <w:rFonts w:ascii="Century Gothic" w:hAnsi="Century Gothic"/>
          <w:iCs/>
          <w:sz w:val="22"/>
          <w:szCs w:val="22"/>
        </w:rPr>
        <w:t>La modalidad online ha favorecido el anonimato como forma de expresión, lo que ha permitido que el alumnado pueda manifestarse sin limitaciones ni miedos. Esta experiencia de contar en un espacio atemporal ha creado un nuevo marco de evaluación del programa que ha permitido comprender y conocer cuáles han sido sus dificultades y motivaciones con la puesta en marcha de este innovador proceso de aprendizaje en el aula.</w:t>
      </w:r>
    </w:p>
    <w:p w:rsidR="00031EF3" w:rsidRPr="00F9180A" w:rsidRDefault="00BE053A" w:rsidP="00F9180A">
      <w:pPr>
        <w:pStyle w:val="Ttulo4"/>
        <w:jc w:val="both"/>
        <w:rPr>
          <w:rFonts w:cs="Times New Roman"/>
          <w:b/>
          <w:i w:val="0"/>
          <w:sz w:val="22"/>
        </w:rPr>
      </w:pPr>
      <w:r w:rsidRPr="00F9180A">
        <w:rPr>
          <w:rFonts w:cs="Times New Roman"/>
          <w:b/>
          <w:i w:val="0"/>
          <w:sz w:val="22"/>
        </w:rPr>
        <w:t>2.4 Procedimiento</w:t>
      </w:r>
    </w:p>
    <w:p w:rsidR="00031EF3" w:rsidRPr="00F9180A" w:rsidRDefault="00031EF3" w:rsidP="00F9180A">
      <w:pPr>
        <w:pStyle w:val="Ttulo4"/>
        <w:jc w:val="both"/>
        <w:rPr>
          <w:rFonts w:cs="Times New Roman"/>
          <w:i w:val="0"/>
          <w:iCs w:val="0"/>
          <w:color w:val="000000"/>
          <w:sz w:val="22"/>
          <w:lang w:val="es-ES_tradnl"/>
        </w:rPr>
      </w:pPr>
      <w:r w:rsidRPr="00F9180A">
        <w:rPr>
          <w:rFonts w:cs="Times New Roman"/>
          <w:i w:val="0"/>
          <w:iCs w:val="0"/>
          <w:sz w:val="22"/>
        </w:rPr>
        <w:t>Se han recogido micro</w:t>
      </w:r>
      <w:r w:rsidRPr="00F9180A">
        <w:rPr>
          <w:rFonts w:cs="Times New Roman"/>
          <w:b/>
          <w:i w:val="0"/>
          <w:iCs w:val="0"/>
          <w:sz w:val="22"/>
        </w:rPr>
        <w:t xml:space="preserve"> </w:t>
      </w:r>
      <w:r w:rsidRPr="00F9180A">
        <w:rPr>
          <w:rFonts w:cs="Times New Roman"/>
          <w:i w:val="0"/>
          <w:iCs w:val="0"/>
          <w:sz w:val="22"/>
        </w:rPr>
        <w:t xml:space="preserve">relatos experienciales (Espinosa, 2015) de 9 personas que han considerado participar expresando libremente sus opiniones, </w:t>
      </w:r>
      <w:r w:rsidRPr="00F9180A">
        <w:rPr>
          <w:rFonts w:cs="Times New Roman"/>
          <w:i w:val="0"/>
          <w:iCs w:val="0"/>
          <w:color w:val="000000"/>
          <w:sz w:val="22"/>
          <w:lang w:val="es-ES_tradnl"/>
        </w:rPr>
        <w:t xml:space="preserve">“de este modo, la &lt;&lt;voz propia&gt;&gt; de los sujetos de la investigación se convierte en el componente relevante de la misma” (Rivas, 2009, p.19). </w:t>
      </w:r>
    </w:p>
    <w:p w:rsidR="00031EF3" w:rsidRPr="00F9180A" w:rsidRDefault="00031EF3" w:rsidP="00F9180A">
      <w:pPr>
        <w:pStyle w:val="Ttulo4"/>
        <w:jc w:val="both"/>
        <w:rPr>
          <w:rFonts w:cs="Times New Roman"/>
          <w:i w:val="0"/>
          <w:iCs w:val="0"/>
          <w:color w:val="000000"/>
          <w:sz w:val="22"/>
          <w:lang w:val="es-ES_tradnl"/>
        </w:rPr>
      </w:pPr>
      <w:r w:rsidRPr="00F9180A">
        <w:rPr>
          <w:rFonts w:cs="Times New Roman"/>
          <w:i w:val="0"/>
          <w:iCs w:val="0"/>
          <w:color w:val="000000"/>
          <w:sz w:val="22"/>
          <w:lang w:val="es-ES_tradnl"/>
        </w:rPr>
        <w:t>Debemos destacar dos cuestiones que emergen de esta propuesta de participación:</w:t>
      </w:r>
    </w:p>
    <w:p w:rsidR="00031EF3" w:rsidRDefault="00031EF3" w:rsidP="00F9180A">
      <w:pPr>
        <w:pStyle w:val="NormalWeb"/>
        <w:numPr>
          <w:ilvl w:val="0"/>
          <w:numId w:val="2"/>
        </w:numPr>
        <w:spacing w:before="0" w:beforeAutospacing="0" w:after="0" w:afterAutospacing="0" w:line="360" w:lineRule="auto"/>
        <w:jc w:val="both"/>
        <w:rPr>
          <w:rFonts w:ascii="Century Gothic" w:hAnsi="Century Gothic"/>
          <w:color w:val="000000"/>
          <w:sz w:val="22"/>
          <w:szCs w:val="22"/>
          <w:lang w:val="es-ES_tradnl"/>
        </w:rPr>
      </w:pPr>
      <w:r w:rsidRPr="00F9180A">
        <w:rPr>
          <w:rFonts w:ascii="Century Gothic" w:hAnsi="Century Gothic"/>
          <w:color w:val="000000"/>
          <w:sz w:val="22"/>
          <w:szCs w:val="22"/>
          <w:lang w:val="es-ES_tradnl"/>
        </w:rPr>
        <w:t>Ofrecer un espacio virtual para que el alumnado</w:t>
      </w:r>
      <w:r>
        <w:rPr>
          <w:rFonts w:ascii="Century Gothic" w:hAnsi="Century Gothic"/>
          <w:color w:val="000000"/>
          <w:sz w:val="22"/>
          <w:szCs w:val="22"/>
          <w:lang w:val="es-ES_tradnl"/>
        </w:rPr>
        <w:t xml:space="preserve"> pueda reflexionar y compartir sus vivencias en el aula.</w:t>
      </w:r>
    </w:p>
    <w:p w:rsidR="00031EF3" w:rsidRDefault="00031EF3" w:rsidP="00031EF3">
      <w:pPr>
        <w:pStyle w:val="NormalWeb"/>
        <w:numPr>
          <w:ilvl w:val="0"/>
          <w:numId w:val="2"/>
        </w:numPr>
        <w:spacing w:before="0" w:beforeAutospacing="0" w:after="0" w:afterAutospacing="0" w:line="360" w:lineRule="auto"/>
        <w:jc w:val="both"/>
        <w:rPr>
          <w:rFonts w:ascii="Century Gothic" w:hAnsi="Century Gothic"/>
          <w:color w:val="000000"/>
          <w:sz w:val="22"/>
          <w:szCs w:val="22"/>
          <w:lang w:val="es-ES_tradnl"/>
        </w:rPr>
      </w:pPr>
      <w:r>
        <w:rPr>
          <w:rFonts w:ascii="Century Gothic" w:hAnsi="Century Gothic"/>
          <w:color w:val="000000"/>
          <w:sz w:val="22"/>
          <w:szCs w:val="22"/>
          <w:lang w:val="es-ES_tradnl"/>
        </w:rPr>
        <w:t>La creación de micro relatos experienciales que sirvan como elemento evaluativo del programa de gamificación.</w:t>
      </w:r>
    </w:p>
    <w:p w:rsidR="00AF3498" w:rsidRPr="00941554" w:rsidRDefault="00AF3498" w:rsidP="00941554">
      <w:pPr>
        <w:pStyle w:val="APARTADOPRINCIPAL"/>
        <w:rPr>
          <w:rStyle w:val="nfasis"/>
          <w:b/>
          <w:sz w:val="22"/>
          <w:lang w:val="es-ES"/>
        </w:rPr>
      </w:pPr>
      <w:r w:rsidRPr="00941554">
        <w:rPr>
          <w:rStyle w:val="nfasis"/>
          <w:b/>
          <w:sz w:val="22"/>
          <w:lang w:val="es-ES"/>
        </w:rPr>
        <w:t>3. RESULTADOS</w:t>
      </w:r>
      <w:r w:rsidR="00671462">
        <w:rPr>
          <w:rStyle w:val="nfasis"/>
          <w:b/>
          <w:sz w:val="22"/>
          <w:lang w:val="es-ES"/>
        </w:rPr>
        <w:t xml:space="preserve"> Y VALORACIONES DEL PROYECTO</w:t>
      </w:r>
    </w:p>
    <w:p w:rsidR="00031EF3" w:rsidRDefault="00031EF3" w:rsidP="00031EF3">
      <w:pPr>
        <w:pStyle w:val="NormalWeb"/>
        <w:spacing w:before="0" w:beforeAutospacing="0" w:after="0" w:afterAutospacing="0" w:line="360" w:lineRule="auto"/>
        <w:jc w:val="both"/>
        <w:rPr>
          <w:rFonts w:ascii="Century Gothic" w:hAnsi="Century Gothic"/>
          <w:color w:val="000000"/>
          <w:sz w:val="22"/>
          <w:lang w:val="es-ES_tradnl"/>
        </w:rPr>
      </w:pPr>
      <w:r>
        <w:rPr>
          <w:rFonts w:ascii="Century Gothic" w:hAnsi="Century Gothic"/>
          <w:color w:val="000000"/>
          <w:sz w:val="22"/>
          <w:szCs w:val="22"/>
          <w:lang w:val="es-ES_tradnl"/>
        </w:rPr>
        <w:t>El análisis y l</w:t>
      </w:r>
      <w:r w:rsidRPr="00BA2EC1">
        <w:rPr>
          <w:rFonts w:ascii="Century Gothic" w:hAnsi="Century Gothic"/>
          <w:color w:val="000000"/>
          <w:sz w:val="22"/>
          <w:szCs w:val="22"/>
          <w:lang w:val="es-ES_tradnl"/>
        </w:rPr>
        <w:t>a indagación profunda en estos micro</w:t>
      </w:r>
      <w:r>
        <w:rPr>
          <w:rFonts w:ascii="Century Gothic" w:hAnsi="Century Gothic"/>
          <w:color w:val="000000"/>
          <w:sz w:val="22"/>
          <w:szCs w:val="22"/>
          <w:lang w:val="es-ES_tradnl"/>
        </w:rPr>
        <w:t xml:space="preserve"> </w:t>
      </w:r>
      <w:r w:rsidRPr="00BA2EC1">
        <w:rPr>
          <w:rFonts w:ascii="Century Gothic" w:hAnsi="Century Gothic"/>
          <w:color w:val="000000"/>
          <w:sz w:val="22"/>
          <w:szCs w:val="22"/>
          <w:lang w:val="es-ES_tradnl"/>
        </w:rPr>
        <w:t>relatos a partir de la tematización</w:t>
      </w:r>
      <w:r>
        <w:rPr>
          <w:rFonts w:ascii="Century Gothic" w:hAnsi="Century Gothic"/>
          <w:color w:val="000000"/>
          <w:sz w:val="22"/>
          <w:szCs w:val="22"/>
          <w:lang w:val="es-ES_tradnl"/>
        </w:rPr>
        <w:t xml:space="preserve"> (Leite, 2011</w:t>
      </w:r>
      <w:r w:rsidR="00A24267">
        <w:rPr>
          <w:rFonts w:ascii="Century Gothic" w:hAnsi="Century Gothic"/>
          <w:color w:val="000000"/>
          <w:sz w:val="22"/>
          <w:szCs w:val="22"/>
          <w:lang w:val="es-ES_tradnl"/>
        </w:rPr>
        <w:t>;</w:t>
      </w:r>
      <w:r>
        <w:rPr>
          <w:rFonts w:ascii="Century Gothic" w:hAnsi="Century Gothic"/>
          <w:color w:val="000000"/>
          <w:sz w:val="22"/>
          <w:szCs w:val="22"/>
          <w:lang w:val="es-ES_tradnl"/>
        </w:rPr>
        <w:t xml:space="preserve"> Sánchez, 2015)</w:t>
      </w:r>
      <w:r w:rsidRPr="00BA2EC1">
        <w:rPr>
          <w:rFonts w:ascii="Century Gothic" w:hAnsi="Century Gothic"/>
          <w:color w:val="000000"/>
          <w:sz w:val="22"/>
          <w:szCs w:val="22"/>
          <w:lang w:val="es-ES_tradnl"/>
        </w:rPr>
        <w:t xml:space="preserve"> de las informaciones proporcionadas, dan cuenta de grandes núcleos de sentido</w:t>
      </w:r>
      <w:r>
        <w:rPr>
          <w:rFonts w:ascii="Century Gothic" w:hAnsi="Century Gothic"/>
          <w:color w:val="000000"/>
          <w:sz w:val="22"/>
          <w:szCs w:val="22"/>
          <w:lang w:val="es-ES_tradnl"/>
        </w:rPr>
        <w:t xml:space="preserve"> (Suárez, Argnani y Dávila, 2017)</w:t>
      </w:r>
      <w:r w:rsidRPr="00BA2EC1">
        <w:rPr>
          <w:rFonts w:ascii="Century Gothic" w:hAnsi="Century Gothic"/>
          <w:color w:val="000000"/>
          <w:sz w:val="22"/>
          <w:szCs w:val="22"/>
          <w:lang w:val="es-ES_tradnl"/>
        </w:rPr>
        <w:t xml:space="preserve"> que construyen una narrativa común a todos ellos</w:t>
      </w:r>
      <w:r w:rsidR="008E1FAB">
        <w:rPr>
          <w:rFonts w:ascii="Century Gothic" w:hAnsi="Century Gothic"/>
          <w:color w:val="000000"/>
          <w:sz w:val="22"/>
          <w:szCs w:val="22"/>
          <w:lang w:val="es-ES_tradnl"/>
        </w:rPr>
        <w:t xml:space="preserve"> en torno a los objetivos del programa</w:t>
      </w:r>
      <w:r w:rsidR="00EF5131">
        <w:rPr>
          <w:rFonts w:ascii="Century Gothic" w:hAnsi="Century Gothic"/>
          <w:color w:val="000000"/>
          <w:sz w:val="22"/>
          <w:szCs w:val="22"/>
          <w:lang w:val="es-ES_tradnl"/>
        </w:rPr>
        <w:t>:</w:t>
      </w:r>
    </w:p>
    <w:p w:rsidR="00031EF3" w:rsidRPr="002265BD" w:rsidRDefault="002265BD" w:rsidP="002265BD">
      <w:pPr>
        <w:pStyle w:val="Ttulo4"/>
        <w:jc w:val="both"/>
        <w:rPr>
          <w:b/>
          <w:i w:val="0"/>
          <w:sz w:val="22"/>
        </w:rPr>
      </w:pPr>
      <w:r>
        <w:rPr>
          <w:b/>
          <w:i w:val="0"/>
          <w:sz w:val="22"/>
        </w:rPr>
        <w:t>3</w:t>
      </w:r>
      <w:r w:rsidRPr="00941554">
        <w:rPr>
          <w:b/>
          <w:i w:val="0"/>
          <w:sz w:val="22"/>
        </w:rPr>
        <w:t>.</w:t>
      </w:r>
      <w:r>
        <w:rPr>
          <w:b/>
          <w:i w:val="0"/>
          <w:sz w:val="22"/>
        </w:rPr>
        <w:t>1</w:t>
      </w:r>
      <w:r w:rsidRPr="00941554">
        <w:rPr>
          <w:b/>
          <w:i w:val="0"/>
          <w:sz w:val="22"/>
        </w:rPr>
        <w:t xml:space="preserve"> </w:t>
      </w:r>
      <w:r w:rsidR="000605C7">
        <w:rPr>
          <w:b/>
          <w:i w:val="0"/>
          <w:color w:val="000000"/>
          <w:sz w:val="22"/>
          <w:lang w:val="es-ES_tradnl"/>
        </w:rPr>
        <w:t>N</w:t>
      </w:r>
      <w:r w:rsidR="00031EF3" w:rsidRPr="002265BD">
        <w:rPr>
          <w:b/>
          <w:i w:val="0"/>
          <w:color w:val="000000"/>
          <w:sz w:val="22"/>
          <w:lang w:val="es-ES_tradnl"/>
        </w:rPr>
        <w:t xml:space="preserve">uevas formas de aprendizaje en </w:t>
      </w:r>
      <w:r w:rsidR="000605C7">
        <w:rPr>
          <w:b/>
          <w:i w:val="0"/>
          <w:color w:val="000000"/>
          <w:sz w:val="22"/>
          <w:lang w:val="es-ES_tradnl"/>
        </w:rPr>
        <w:t>Formación Profesional: Creatividad y gamificación</w:t>
      </w:r>
    </w:p>
    <w:p w:rsidR="00031EF3" w:rsidRPr="00476A71" w:rsidRDefault="00031EF3" w:rsidP="00031EF3">
      <w:pPr>
        <w:pStyle w:val="NormalWeb"/>
        <w:spacing w:before="0" w:beforeAutospacing="0" w:after="0" w:afterAutospacing="0" w:line="360" w:lineRule="auto"/>
        <w:jc w:val="both"/>
        <w:rPr>
          <w:rFonts w:ascii="Century Gothic" w:hAnsi="Century Gothic"/>
          <w:color w:val="000000"/>
          <w:sz w:val="22"/>
          <w:lang w:val="es-ES_tradnl"/>
        </w:rPr>
      </w:pPr>
      <w:r w:rsidRPr="00476A71">
        <w:rPr>
          <w:rFonts w:ascii="Century Gothic" w:hAnsi="Century Gothic"/>
          <w:sz w:val="22"/>
        </w:rPr>
        <w:t xml:space="preserve">La gamificación educativa facilita la creatividad en el diseño de proyectos educativos debido a que el marco narrativo y la estética hace que el alumnado sienta curiosidad y facilite el seguimiento del itinerario propuesto. </w:t>
      </w:r>
    </w:p>
    <w:p w:rsidR="00031EF3" w:rsidRPr="00476A71" w:rsidRDefault="00031EF3" w:rsidP="00031EF3">
      <w:pPr>
        <w:spacing w:line="360" w:lineRule="auto"/>
        <w:ind w:left="851"/>
        <w:jc w:val="both"/>
        <w:rPr>
          <w:rFonts w:ascii="Century Gothic" w:hAnsi="Century Gothic"/>
          <w:i/>
          <w:iCs/>
          <w:sz w:val="22"/>
        </w:rPr>
      </w:pPr>
      <w:r w:rsidRPr="00476A71">
        <w:rPr>
          <w:rFonts w:ascii="Century Gothic" w:hAnsi="Century Gothic"/>
          <w:i/>
          <w:iCs/>
          <w:sz w:val="22"/>
        </w:rPr>
        <w:t>He aprendido más de lo que me esperaba, ya que la metodología ha sido muy amena y divertida. Además, tener que hacer dinámicas, misiones, juegos… ha sido muy emocionante. Te sentías verdaderamente investigadora de Grey Place, quería saber cómo iba a acabar el juego y ver si podíamos rescatar a todos los niños del gris.</w:t>
      </w:r>
    </w:p>
    <w:p w:rsidR="00031EF3" w:rsidRPr="00476A71" w:rsidRDefault="00031EF3" w:rsidP="00031EF3">
      <w:pPr>
        <w:spacing w:line="360" w:lineRule="auto"/>
        <w:ind w:left="851"/>
        <w:jc w:val="both"/>
        <w:rPr>
          <w:rFonts w:ascii="Century Gothic" w:hAnsi="Century Gothic"/>
          <w:i/>
          <w:iCs/>
          <w:sz w:val="22"/>
        </w:rPr>
      </w:pPr>
      <w:r w:rsidRPr="00476A71">
        <w:rPr>
          <w:rFonts w:ascii="Century Gothic" w:hAnsi="Century Gothic"/>
          <w:i/>
          <w:iCs/>
          <w:sz w:val="22"/>
        </w:rPr>
        <w:t>(Relato 4)</w:t>
      </w:r>
    </w:p>
    <w:p w:rsidR="00476A71" w:rsidRDefault="00AD1441" w:rsidP="00AD1441">
      <w:pPr>
        <w:spacing w:line="360" w:lineRule="auto"/>
        <w:jc w:val="both"/>
        <w:rPr>
          <w:rFonts w:ascii="Century Gothic" w:hAnsi="Century Gothic"/>
          <w:sz w:val="22"/>
        </w:rPr>
      </w:pPr>
      <w:r w:rsidRPr="00476A71">
        <w:rPr>
          <w:rFonts w:ascii="Century Gothic" w:hAnsi="Century Gothic"/>
          <w:sz w:val="22"/>
        </w:rPr>
        <w:t>De acuerdo con Hernández, Alvarado y Luna (2015) los docentes tenemos la responsabilidad en educación superior de despertar y fomentar la creatividad, orientando al alumnado en técnicas y métodos que les ayuden a producir el mayor número de ideas sobre un tema determinado, en este caso, los programas y recursos para el apoyo a la intervención educativa</w:t>
      </w:r>
      <w:r w:rsidR="00476A71">
        <w:rPr>
          <w:rFonts w:ascii="Century Gothic" w:hAnsi="Century Gothic"/>
          <w:sz w:val="22"/>
        </w:rPr>
        <w:t>.</w:t>
      </w:r>
    </w:p>
    <w:p w:rsidR="00AD1441" w:rsidRPr="00476A71" w:rsidRDefault="00AD1441" w:rsidP="00AD1441">
      <w:pPr>
        <w:spacing w:line="360" w:lineRule="auto"/>
        <w:jc w:val="both"/>
        <w:rPr>
          <w:rFonts w:ascii="Century Gothic" w:hAnsi="Century Gothic"/>
          <w:sz w:val="22"/>
        </w:rPr>
      </w:pPr>
      <w:r w:rsidRPr="00476A71">
        <w:rPr>
          <w:rFonts w:ascii="Century Gothic" w:hAnsi="Century Gothic"/>
          <w:sz w:val="22"/>
        </w:rPr>
        <w:t xml:space="preserve">La creatividad se estimula mediante tareas significativas con un nivel equilibrado de dificultad y un componente suficiente de novedad (Nix, Hall y Baker, 2012), fomentando así el flujo de aula. </w:t>
      </w:r>
      <w:r w:rsidR="00476A71">
        <w:rPr>
          <w:rFonts w:ascii="Century Gothic" w:hAnsi="Century Gothic"/>
          <w:sz w:val="22"/>
        </w:rPr>
        <w:t xml:space="preserve">Barata, Gama, Fonseca y Gonçalves (2013) demuestran que el alumnado puede sentirse más motivado para realizar tareas creativas que requieran el conocimiento adquirido en el curso.  </w:t>
      </w:r>
    </w:p>
    <w:p w:rsidR="00AD1441" w:rsidRPr="00476A71" w:rsidRDefault="00AD1441" w:rsidP="000605C7">
      <w:pPr>
        <w:spacing w:line="360" w:lineRule="auto"/>
        <w:jc w:val="both"/>
        <w:rPr>
          <w:rFonts w:ascii="Century Gothic" w:hAnsi="Century Gothic"/>
          <w:sz w:val="22"/>
        </w:rPr>
      </w:pPr>
      <w:r w:rsidRPr="00476A71">
        <w:rPr>
          <w:rFonts w:ascii="Century Gothic" w:hAnsi="Century Gothic"/>
          <w:sz w:val="22"/>
        </w:rPr>
        <w:t>La dualidad fantasía/realidad fomenta a su vez la motivación interna del participante, ya que se siente más poderoso que en la realidad (García y Gutiérrez, 2013). Deja de ser solo un alumno/a en clase, a tener un rol y un personaje dentro de la narrativa propuesta, y esto facilita que los elementos motivacionales de la creatividad e imaginación ejerzan mayor influencia sobre el desempeño del alumnado.</w:t>
      </w:r>
    </w:p>
    <w:p w:rsidR="00031EF3" w:rsidRPr="000605C7" w:rsidRDefault="000605C7" w:rsidP="00031EF3">
      <w:pPr>
        <w:pStyle w:val="NormalWeb"/>
        <w:spacing w:before="0" w:beforeAutospacing="0" w:after="0" w:afterAutospacing="0" w:line="360" w:lineRule="auto"/>
        <w:jc w:val="both"/>
        <w:rPr>
          <w:rFonts w:ascii="Century Gothic" w:hAnsi="Century Gothic"/>
          <w:b/>
          <w:color w:val="000000"/>
          <w:sz w:val="22"/>
          <w:lang w:val="es-ES_tradnl"/>
        </w:rPr>
      </w:pPr>
      <w:r w:rsidRPr="000605C7">
        <w:rPr>
          <w:rFonts w:ascii="Century Gothic" w:hAnsi="Century Gothic"/>
          <w:b/>
          <w:color w:val="000000"/>
          <w:sz w:val="22"/>
          <w:lang w:val="es-ES_tradnl"/>
        </w:rPr>
        <w:t xml:space="preserve">3. </w:t>
      </w:r>
      <w:r w:rsidR="00031EF3" w:rsidRPr="000605C7">
        <w:rPr>
          <w:rFonts w:ascii="Century Gothic" w:hAnsi="Century Gothic"/>
          <w:b/>
          <w:color w:val="000000"/>
          <w:sz w:val="22"/>
          <w:lang w:val="es-ES_tradnl"/>
        </w:rPr>
        <w:t>2 La motivación como elemento transversal al proceso de aprendizaje y a la posibilidad de un futuro profesional</w:t>
      </w:r>
    </w:p>
    <w:p w:rsidR="00031EF3" w:rsidRPr="00EB03D5" w:rsidRDefault="00031EF3" w:rsidP="00031EF3">
      <w:pPr>
        <w:pStyle w:val="NormalWeb"/>
        <w:spacing w:before="0" w:beforeAutospacing="0" w:after="0" w:afterAutospacing="0" w:line="360" w:lineRule="auto"/>
        <w:jc w:val="both"/>
        <w:rPr>
          <w:rFonts w:ascii="Century Gothic" w:hAnsi="Century Gothic"/>
          <w:sz w:val="22"/>
        </w:rPr>
      </w:pPr>
      <w:r w:rsidRPr="00EB03D5">
        <w:rPr>
          <w:rFonts w:ascii="Century Gothic" w:hAnsi="Century Gothic"/>
          <w:sz w:val="22"/>
        </w:rPr>
        <w:t>La gamificación educativa resulta motivadora para el alumnado. Busca emplear elementos del juego en el aula, pudiendo lograr en el alumnado una mayor motivación y mejorando de ese modo su propio proceso de aprendizaje</w:t>
      </w:r>
      <w:r w:rsidR="009336D9">
        <w:rPr>
          <w:rFonts w:ascii="Century Gothic" w:hAnsi="Century Gothic"/>
          <w:sz w:val="22"/>
        </w:rPr>
        <w:t xml:space="preserve"> </w:t>
      </w:r>
      <w:r w:rsidR="000A4190">
        <w:rPr>
          <w:rFonts w:ascii="Century Gothic" w:hAnsi="Century Gothic"/>
          <w:sz w:val="22"/>
        </w:rPr>
        <w:t>(Hamari, Koivisto y Sarsa, 2014).</w:t>
      </w:r>
      <w:r w:rsidRPr="00EB03D5">
        <w:rPr>
          <w:rFonts w:ascii="Century Gothic" w:hAnsi="Century Gothic"/>
          <w:sz w:val="22"/>
        </w:rPr>
        <w:t xml:space="preserve"> </w:t>
      </w:r>
    </w:p>
    <w:p w:rsidR="00031EF3" w:rsidRPr="00476A71" w:rsidRDefault="00031EF3" w:rsidP="00031EF3">
      <w:pPr>
        <w:spacing w:line="360" w:lineRule="auto"/>
        <w:ind w:left="851"/>
        <w:jc w:val="both"/>
        <w:rPr>
          <w:rFonts w:ascii="Century Gothic" w:hAnsi="Century Gothic"/>
          <w:bCs/>
          <w:i/>
          <w:iCs/>
          <w:color w:val="000000" w:themeColor="text1"/>
          <w:sz w:val="22"/>
        </w:rPr>
      </w:pPr>
      <w:r w:rsidRPr="00476A71">
        <w:rPr>
          <w:rFonts w:ascii="Century Gothic" w:hAnsi="Century Gothic"/>
          <w:bCs/>
          <w:i/>
          <w:iCs/>
          <w:color w:val="000000" w:themeColor="text1"/>
          <w:sz w:val="22"/>
        </w:rPr>
        <w:t>Me he sentido muy motivada gracias al buen ambiente que ha habido, a las explicaciones de la profesora y la manera de dar clase.</w:t>
      </w:r>
    </w:p>
    <w:p w:rsidR="00031EF3" w:rsidRPr="00476A71" w:rsidRDefault="00031EF3" w:rsidP="00031EF3">
      <w:pPr>
        <w:spacing w:line="360" w:lineRule="auto"/>
        <w:ind w:left="851"/>
        <w:jc w:val="both"/>
        <w:rPr>
          <w:rFonts w:ascii="Century Gothic" w:hAnsi="Century Gothic"/>
          <w:bCs/>
          <w:i/>
          <w:iCs/>
          <w:color w:val="000000" w:themeColor="text1"/>
          <w:sz w:val="22"/>
        </w:rPr>
      </w:pPr>
      <w:r w:rsidRPr="00476A71">
        <w:rPr>
          <w:rFonts w:ascii="Century Gothic" w:hAnsi="Century Gothic"/>
          <w:bCs/>
          <w:i/>
          <w:iCs/>
          <w:color w:val="000000" w:themeColor="text1"/>
          <w:sz w:val="22"/>
        </w:rPr>
        <w:t>(Relato 3)</w:t>
      </w:r>
    </w:p>
    <w:p w:rsidR="00031EF3" w:rsidRPr="00476A71" w:rsidRDefault="00031EF3" w:rsidP="00031EF3">
      <w:pPr>
        <w:spacing w:line="360" w:lineRule="auto"/>
        <w:ind w:left="851"/>
        <w:jc w:val="both"/>
        <w:rPr>
          <w:rFonts w:ascii="Century Gothic" w:hAnsi="Century Gothic"/>
          <w:bCs/>
          <w:i/>
          <w:iCs/>
          <w:color w:val="000000" w:themeColor="text1"/>
          <w:sz w:val="22"/>
        </w:rPr>
      </w:pPr>
      <w:r w:rsidRPr="00476A71">
        <w:rPr>
          <w:rFonts w:ascii="Century Gothic" w:hAnsi="Century Gothic"/>
          <w:bCs/>
          <w:i/>
          <w:iCs/>
          <w:color w:val="000000" w:themeColor="text1"/>
          <w:sz w:val="22"/>
        </w:rPr>
        <w:t>Me he sentido muy motivado con la gamificación educativa, creo que todo el conjunto de la metodología ha sido muy productiva, gratificante y motivadora, y es, creo, un sentimiento compartido por todos.</w:t>
      </w:r>
    </w:p>
    <w:p w:rsidR="00031EF3" w:rsidRPr="00476A71" w:rsidRDefault="00031EF3" w:rsidP="00031EF3">
      <w:pPr>
        <w:spacing w:line="360" w:lineRule="auto"/>
        <w:ind w:left="851"/>
        <w:jc w:val="both"/>
        <w:rPr>
          <w:rFonts w:ascii="Century Gothic" w:hAnsi="Century Gothic"/>
          <w:bCs/>
          <w:i/>
          <w:iCs/>
          <w:color w:val="000000" w:themeColor="text1"/>
          <w:sz w:val="22"/>
        </w:rPr>
      </w:pPr>
      <w:r w:rsidRPr="00476A71">
        <w:rPr>
          <w:rFonts w:ascii="Century Gothic" w:hAnsi="Century Gothic"/>
          <w:bCs/>
          <w:i/>
          <w:iCs/>
          <w:color w:val="000000" w:themeColor="text1"/>
          <w:sz w:val="22"/>
        </w:rPr>
        <w:t xml:space="preserve">(Relato 5) </w:t>
      </w:r>
    </w:p>
    <w:p w:rsidR="006E2AA0" w:rsidRPr="009336D9" w:rsidRDefault="009336D9" w:rsidP="009336D9">
      <w:pPr>
        <w:pStyle w:val="NormalWeb"/>
        <w:spacing w:before="0" w:beforeAutospacing="0" w:after="0" w:afterAutospacing="0" w:line="360" w:lineRule="auto"/>
        <w:jc w:val="both"/>
        <w:rPr>
          <w:rFonts w:ascii="Century Gothic" w:hAnsi="Century Gothic"/>
          <w:sz w:val="22"/>
        </w:rPr>
      </w:pPr>
      <w:r w:rsidRPr="00EB03D5">
        <w:rPr>
          <w:rFonts w:ascii="Century Gothic" w:hAnsi="Century Gothic"/>
          <w:sz w:val="22"/>
        </w:rPr>
        <w:t xml:space="preserve">Al mejorar la motivación del alumnado, le otorga una predisposición a la participación directa en el aula y al proceso de enseñanza-aprendizaje iniciado por el docente. </w:t>
      </w:r>
    </w:p>
    <w:p w:rsidR="006E2AA0" w:rsidRPr="000A4190" w:rsidRDefault="006E2AA0" w:rsidP="009336D9">
      <w:pPr>
        <w:pStyle w:val="NormalWeb"/>
        <w:spacing w:line="360" w:lineRule="auto"/>
        <w:ind w:left="708"/>
        <w:jc w:val="both"/>
        <w:rPr>
          <w:rFonts w:ascii="Century Gothic" w:hAnsi="Century Gothic"/>
          <w:color w:val="000000" w:themeColor="text1"/>
        </w:rPr>
      </w:pPr>
      <w:r w:rsidRPr="000A4190">
        <w:rPr>
          <w:rFonts w:ascii="Century Gothic" w:hAnsi="Century Gothic"/>
          <w:color w:val="000000" w:themeColor="text1"/>
          <w:sz w:val="22"/>
          <w:szCs w:val="22"/>
        </w:rPr>
        <w:t xml:space="preserve">Utilizar </w:t>
      </w:r>
      <w:r w:rsidR="009336D9" w:rsidRPr="000A4190">
        <w:rPr>
          <w:rFonts w:ascii="Century Gothic" w:hAnsi="Century Gothic"/>
          <w:color w:val="000000" w:themeColor="text1"/>
          <w:sz w:val="22"/>
          <w:szCs w:val="22"/>
        </w:rPr>
        <w:t>gamificación</w:t>
      </w:r>
      <w:r w:rsidRPr="000A4190">
        <w:rPr>
          <w:rFonts w:ascii="Century Gothic" w:hAnsi="Century Gothic"/>
          <w:color w:val="000000" w:themeColor="text1"/>
          <w:sz w:val="22"/>
          <w:szCs w:val="22"/>
        </w:rPr>
        <w:t xml:space="preserve"> en las aulas es eficaz siempre y cuando se utilice para animar a los estudiantes a progresar a </w:t>
      </w:r>
      <w:r w:rsidR="009336D9" w:rsidRPr="000A4190">
        <w:rPr>
          <w:rFonts w:ascii="Century Gothic" w:hAnsi="Century Gothic"/>
          <w:color w:val="000000" w:themeColor="text1"/>
          <w:sz w:val="22"/>
          <w:szCs w:val="22"/>
        </w:rPr>
        <w:t>través</w:t>
      </w:r>
      <w:r w:rsidRPr="000A4190">
        <w:rPr>
          <w:rFonts w:ascii="Century Gothic" w:hAnsi="Century Gothic"/>
          <w:color w:val="000000" w:themeColor="text1"/>
          <w:sz w:val="22"/>
          <w:szCs w:val="22"/>
        </w:rPr>
        <w:t xml:space="preserve"> de los contenidos de aprendizaje, para influir en su comportamiento o acciones y para generar </w:t>
      </w:r>
      <w:r w:rsidR="009336D9" w:rsidRPr="000A4190">
        <w:rPr>
          <w:rFonts w:ascii="Century Gothic" w:hAnsi="Century Gothic"/>
          <w:color w:val="000000" w:themeColor="text1"/>
          <w:sz w:val="22"/>
          <w:szCs w:val="22"/>
        </w:rPr>
        <w:t>motivación</w:t>
      </w:r>
      <w:r w:rsidRPr="000A4190">
        <w:rPr>
          <w:rFonts w:ascii="Century Gothic" w:hAnsi="Century Gothic"/>
          <w:color w:val="000000" w:themeColor="text1"/>
          <w:sz w:val="22"/>
          <w:szCs w:val="22"/>
        </w:rPr>
        <w:t xml:space="preserve">. Es posible motivar a los alumnos con la </w:t>
      </w:r>
      <w:r w:rsidR="009336D9" w:rsidRPr="000A4190">
        <w:rPr>
          <w:rFonts w:ascii="Century Gothic" w:hAnsi="Century Gothic"/>
          <w:color w:val="000000" w:themeColor="text1"/>
          <w:sz w:val="22"/>
          <w:szCs w:val="22"/>
        </w:rPr>
        <w:t>introducción</w:t>
      </w:r>
      <w:r w:rsidRPr="000A4190">
        <w:rPr>
          <w:rFonts w:ascii="Century Gothic" w:hAnsi="Century Gothic"/>
          <w:color w:val="000000" w:themeColor="text1"/>
          <w:sz w:val="22"/>
          <w:szCs w:val="22"/>
        </w:rPr>
        <w:t xml:space="preserve"> de una </w:t>
      </w:r>
      <w:r w:rsidR="009336D9" w:rsidRPr="000A4190">
        <w:rPr>
          <w:rFonts w:ascii="Century Gothic" w:hAnsi="Century Gothic"/>
          <w:color w:val="000000" w:themeColor="text1"/>
          <w:sz w:val="22"/>
          <w:szCs w:val="22"/>
        </w:rPr>
        <w:t>metodología</w:t>
      </w:r>
      <w:r w:rsidRPr="000A4190">
        <w:rPr>
          <w:rFonts w:ascii="Century Gothic" w:hAnsi="Century Gothic"/>
          <w:color w:val="000000" w:themeColor="text1"/>
          <w:sz w:val="22"/>
          <w:szCs w:val="22"/>
        </w:rPr>
        <w:t xml:space="preserve"> que incluya retos, metas, etc. Estos elementos fomentan la </w:t>
      </w:r>
      <w:r w:rsidR="009336D9" w:rsidRPr="000A4190">
        <w:rPr>
          <w:rFonts w:ascii="Century Gothic" w:hAnsi="Century Gothic"/>
          <w:color w:val="000000" w:themeColor="text1"/>
          <w:sz w:val="22"/>
          <w:szCs w:val="22"/>
        </w:rPr>
        <w:t>participación</w:t>
      </w:r>
      <w:r w:rsidRPr="000A4190">
        <w:rPr>
          <w:rFonts w:ascii="Century Gothic" w:hAnsi="Century Gothic"/>
          <w:color w:val="000000" w:themeColor="text1"/>
          <w:sz w:val="22"/>
          <w:szCs w:val="22"/>
        </w:rPr>
        <w:t xml:space="preserve"> o la </w:t>
      </w:r>
      <w:r w:rsidR="009336D9" w:rsidRPr="000A4190">
        <w:rPr>
          <w:rFonts w:ascii="Century Gothic" w:hAnsi="Century Gothic"/>
          <w:color w:val="000000" w:themeColor="text1"/>
          <w:sz w:val="22"/>
          <w:szCs w:val="22"/>
        </w:rPr>
        <w:t>acción</w:t>
      </w:r>
      <w:r w:rsidRPr="000A4190">
        <w:rPr>
          <w:rFonts w:ascii="Century Gothic" w:hAnsi="Century Gothic"/>
          <w:color w:val="000000" w:themeColor="text1"/>
          <w:sz w:val="22"/>
          <w:szCs w:val="22"/>
        </w:rPr>
        <w:t xml:space="preserve"> en los seres humanos en general. Sin embargo</w:t>
      </w:r>
      <w:r w:rsidR="009336D9" w:rsidRPr="000A4190">
        <w:rPr>
          <w:rFonts w:ascii="Century Gothic" w:hAnsi="Century Gothic"/>
          <w:color w:val="000000" w:themeColor="text1"/>
          <w:sz w:val="22"/>
          <w:szCs w:val="22"/>
        </w:rPr>
        <w:t>,</w:t>
      </w:r>
      <w:r w:rsidRPr="000A4190">
        <w:rPr>
          <w:rFonts w:ascii="Century Gothic" w:hAnsi="Century Gothic"/>
          <w:color w:val="000000" w:themeColor="text1"/>
          <w:sz w:val="22"/>
          <w:szCs w:val="22"/>
        </w:rPr>
        <w:t xml:space="preserve"> hay que tomar en cuenta incluso el contexto cultural o las experiencias previas</w:t>
      </w:r>
      <w:r w:rsidR="009336D9" w:rsidRPr="000A4190">
        <w:rPr>
          <w:rFonts w:ascii="Century Gothic" w:hAnsi="Century Gothic"/>
          <w:color w:val="000000" w:themeColor="text1"/>
          <w:sz w:val="22"/>
          <w:szCs w:val="22"/>
        </w:rPr>
        <w:t xml:space="preserve"> (</w:t>
      </w:r>
      <w:r w:rsidR="000A4190" w:rsidRPr="000A4190">
        <w:rPr>
          <w:rFonts w:ascii="Century Gothic" w:hAnsi="Century Gothic"/>
          <w:color w:val="000000" w:themeColor="text1"/>
          <w:sz w:val="22"/>
          <w:szCs w:val="22"/>
        </w:rPr>
        <w:t>Contreras, 2017:16</w:t>
      </w:r>
      <w:r w:rsidR="009336D9" w:rsidRPr="000A4190">
        <w:rPr>
          <w:rFonts w:ascii="Century Gothic" w:hAnsi="Century Gothic"/>
          <w:color w:val="000000" w:themeColor="text1"/>
          <w:sz w:val="22"/>
          <w:szCs w:val="22"/>
        </w:rPr>
        <w:t>)</w:t>
      </w:r>
      <w:r w:rsidRPr="000A4190">
        <w:rPr>
          <w:rFonts w:ascii="Century Gothic" w:hAnsi="Century Gothic"/>
          <w:color w:val="000000" w:themeColor="text1"/>
          <w:sz w:val="22"/>
          <w:szCs w:val="22"/>
        </w:rPr>
        <w:t xml:space="preserve">. </w:t>
      </w:r>
    </w:p>
    <w:p w:rsidR="00031EF3" w:rsidRPr="000605C7" w:rsidRDefault="000605C7" w:rsidP="00031EF3">
      <w:pPr>
        <w:pStyle w:val="NormalWeb"/>
        <w:spacing w:before="0" w:beforeAutospacing="0" w:after="0" w:afterAutospacing="0" w:line="360" w:lineRule="auto"/>
        <w:jc w:val="both"/>
        <w:rPr>
          <w:rFonts w:ascii="Century Gothic" w:hAnsi="Century Gothic"/>
          <w:b/>
          <w:color w:val="000000"/>
          <w:sz w:val="22"/>
          <w:lang w:val="es-ES_tradnl"/>
        </w:rPr>
      </w:pPr>
      <w:r w:rsidRPr="000605C7">
        <w:rPr>
          <w:rFonts w:ascii="Century Gothic" w:hAnsi="Century Gothic"/>
          <w:b/>
          <w:color w:val="000000"/>
          <w:sz w:val="22"/>
          <w:lang w:val="es-ES_tradnl"/>
        </w:rPr>
        <w:t>3.</w:t>
      </w:r>
      <w:r w:rsidR="00031EF3" w:rsidRPr="000605C7">
        <w:rPr>
          <w:rFonts w:ascii="Century Gothic" w:hAnsi="Century Gothic"/>
          <w:b/>
          <w:color w:val="000000"/>
          <w:sz w:val="22"/>
          <w:lang w:val="es-ES_tradnl"/>
        </w:rPr>
        <w:t>3 Las dificultades e inquietudes que el alumnado ha encontrado durante la implementación del programa</w:t>
      </w:r>
    </w:p>
    <w:p w:rsidR="00F82A2C" w:rsidRPr="00F55D6A" w:rsidRDefault="00F82A2C" w:rsidP="00F55D6A">
      <w:pPr>
        <w:pStyle w:val="NormalWeb"/>
        <w:spacing w:before="0" w:beforeAutospacing="0" w:after="0" w:afterAutospacing="0" w:line="360" w:lineRule="auto"/>
        <w:jc w:val="both"/>
        <w:rPr>
          <w:rFonts w:ascii="Century Gothic" w:hAnsi="Century Gothic"/>
          <w:color w:val="000000"/>
          <w:sz w:val="22"/>
          <w:lang w:val="es-ES_tradnl"/>
        </w:rPr>
      </w:pPr>
      <w:r w:rsidRPr="00F55D6A">
        <w:rPr>
          <w:rFonts w:ascii="Century Gothic" w:hAnsi="Century Gothic"/>
          <w:color w:val="000000"/>
          <w:sz w:val="22"/>
          <w:lang w:val="es-ES_tradnl"/>
        </w:rPr>
        <w:t>Como cualquier metodología de enseñanza-aprendizaje, la gamificación educativa presenta algunas desventajas, incluida la propia adaptación del alumnado de una enseñanza tradicional-transmisiva a un modelo de enseñanza-aprendizaje activo</w:t>
      </w:r>
      <w:r w:rsidR="004B2A72" w:rsidRPr="00F55D6A">
        <w:rPr>
          <w:rFonts w:ascii="Century Gothic" w:hAnsi="Century Gothic"/>
          <w:color w:val="000000"/>
          <w:sz w:val="22"/>
          <w:lang w:val="es-ES_tradnl"/>
        </w:rPr>
        <w:t xml:space="preserve">. Esta adaptación puede generar dudas e incertidumbres iniciales al alumnado, que sin un buen entrenamiento en actividades colaborativas, puede encontrar dificultades para superar los retos y desafíos propuestos en la gamificación. </w:t>
      </w:r>
    </w:p>
    <w:p w:rsidR="00031EF3" w:rsidRPr="00F55D6A" w:rsidRDefault="00031EF3" w:rsidP="00F55D6A">
      <w:pPr>
        <w:pStyle w:val="NormalWeb"/>
        <w:spacing w:before="0" w:beforeAutospacing="0" w:after="0" w:afterAutospacing="0" w:line="360" w:lineRule="auto"/>
        <w:ind w:left="851"/>
        <w:jc w:val="both"/>
        <w:rPr>
          <w:rFonts w:ascii="Century Gothic" w:hAnsi="Century Gothic"/>
          <w:i/>
          <w:iCs/>
          <w:color w:val="000000"/>
          <w:sz w:val="22"/>
          <w:lang w:val="es-ES_tradnl"/>
        </w:rPr>
      </w:pPr>
      <w:r w:rsidRPr="00F55D6A">
        <w:rPr>
          <w:rFonts w:ascii="Century Gothic" w:hAnsi="Century Gothic"/>
          <w:i/>
          <w:iCs/>
          <w:color w:val="000000"/>
          <w:sz w:val="22"/>
          <w:lang w:val="es-ES_tradnl"/>
        </w:rPr>
        <w:t>Considero que he adquirido los conocimientos y habilidades de esta unidad, aunque sigo teniendo dudas en algunos aspectos, que espero que en el módulo de prácticas queden resueltas. Para mí ha sido lioso adaptarme desde un estilo docente tradicional a este estilo docente más activo, pero creo que los contenidos han sido suficientes.</w:t>
      </w:r>
    </w:p>
    <w:p w:rsidR="00031EF3" w:rsidRPr="00F55D6A" w:rsidRDefault="00031EF3" w:rsidP="00F55D6A">
      <w:pPr>
        <w:pStyle w:val="NormalWeb"/>
        <w:spacing w:before="0" w:beforeAutospacing="0" w:after="0" w:afterAutospacing="0" w:line="360" w:lineRule="auto"/>
        <w:ind w:left="851"/>
        <w:jc w:val="both"/>
        <w:rPr>
          <w:rFonts w:ascii="Century Gothic" w:hAnsi="Century Gothic"/>
          <w:i/>
          <w:iCs/>
          <w:color w:val="000000"/>
          <w:sz w:val="22"/>
          <w:lang w:val="es-ES_tradnl"/>
        </w:rPr>
      </w:pPr>
      <w:r w:rsidRPr="00F55D6A">
        <w:rPr>
          <w:rFonts w:ascii="Century Gothic" w:hAnsi="Century Gothic"/>
          <w:i/>
          <w:iCs/>
          <w:color w:val="000000"/>
          <w:sz w:val="22"/>
          <w:lang w:val="es-ES_tradnl"/>
        </w:rPr>
        <w:t>(Relato 5)</w:t>
      </w:r>
    </w:p>
    <w:p w:rsidR="00D51383" w:rsidRPr="00F55D6A" w:rsidRDefault="000605C7" w:rsidP="00F55D6A">
      <w:pPr>
        <w:spacing w:line="360" w:lineRule="auto"/>
        <w:jc w:val="both"/>
        <w:rPr>
          <w:rFonts w:ascii="Century Gothic" w:hAnsi="Century Gothic"/>
          <w:b/>
          <w:color w:val="FF0000"/>
          <w:sz w:val="22"/>
        </w:rPr>
      </w:pPr>
      <w:r w:rsidRPr="00F55D6A">
        <w:rPr>
          <w:rFonts w:ascii="Century Gothic" w:hAnsi="Century Gothic"/>
          <w:b/>
          <w:color w:val="000000"/>
          <w:sz w:val="22"/>
          <w:lang w:val="es-ES_tradnl"/>
        </w:rPr>
        <w:t>3.</w:t>
      </w:r>
      <w:r w:rsidR="004B2A72" w:rsidRPr="00F55D6A">
        <w:rPr>
          <w:rFonts w:ascii="Century Gothic" w:hAnsi="Century Gothic"/>
          <w:b/>
          <w:color w:val="000000"/>
          <w:sz w:val="22"/>
          <w:lang w:val="es-ES_tradnl"/>
        </w:rPr>
        <w:t>4</w:t>
      </w:r>
      <w:r w:rsidR="00031EF3" w:rsidRPr="00F55D6A">
        <w:rPr>
          <w:rFonts w:ascii="Century Gothic" w:hAnsi="Century Gothic"/>
          <w:b/>
          <w:color w:val="000000"/>
          <w:sz w:val="22"/>
          <w:lang w:val="es-ES_tradnl"/>
        </w:rPr>
        <w:t xml:space="preserve"> La </w:t>
      </w:r>
      <w:r w:rsidR="00031EF3" w:rsidRPr="00F55D6A">
        <w:rPr>
          <w:rFonts w:ascii="Century Gothic" w:hAnsi="Century Gothic"/>
          <w:b/>
          <w:sz w:val="22"/>
          <w:lang w:val="es-ES_tradnl"/>
        </w:rPr>
        <w:t>g</w:t>
      </w:r>
      <w:r w:rsidR="00031EF3" w:rsidRPr="00F55D6A">
        <w:rPr>
          <w:rFonts w:ascii="Century Gothic" w:hAnsi="Century Gothic"/>
          <w:b/>
          <w:sz w:val="22"/>
        </w:rPr>
        <w:t>amificación fomenta en el</w:t>
      </w:r>
      <w:r w:rsidR="00D51383" w:rsidRPr="00F55D6A">
        <w:rPr>
          <w:rFonts w:ascii="Century Gothic" w:hAnsi="Century Gothic"/>
          <w:b/>
          <w:sz w:val="22"/>
        </w:rPr>
        <w:t xml:space="preserve"> flujo de aula</w:t>
      </w:r>
      <w:r w:rsidR="00031EF3" w:rsidRPr="00F55D6A">
        <w:rPr>
          <w:rFonts w:ascii="Century Gothic" w:hAnsi="Century Gothic"/>
          <w:b/>
          <w:sz w:val="22"/>
        </w:rPr>
        <w:t xml:space="preserve"> con el módulo. </w:t>
      </w:r>
    </w:p>
    <w:p w:rsidR="0081464B" w:rsidRPr="00F55D6A" w:rsidRDefault="00D51383" w:rsidP="00F55D6A">
      <w:pPr>
        <w:spacing w:line="360" w:lineRule="auto"/>
        <w:jc w:val="both"/>
        <w:rPr>
          <w:rFonts w:ascii="Century Gothic" w:hAnsi="Century Gothic"/>
          <w:sz w:val="22"/>
        </w:rPr>
      </w:pPr>
      <w:r w:rsidRPr="00F55D6A">
        <w:rPr>
          <w:rFonts w:ascii="Century Gothic" w:hAnsi="Century Gothic"/>
          <w:sz w:val="22"/>
        </w:rPr>
        <w:t>La gamificación educativa equilibra adecuadamente el flujo de aula</w:t>
      </w:r>
      <w:r w:rsidR="0081464B" w:rsidRPr="00F55D6A">
        <w:rPr>
          <w:rFonts w:ascii="Century Gothic" w:hAnsi="Century Gothic"/>
          <w:sz w:val="22"/>
        </w:rPr>
        <w:t>, entendiéndolo como un estado de máxima concentración y disfrute de una actividad educativa.</w:t>
      </w:r>
    </w:p>
    <w:p w:rsidR="00031EF3" w:rsidRPr="00F55D6A" w:rsidRDefault="00031EF3" w:rsidP="00F55D6A">
      <w:pPr>
        <w:spacing w:line="360" w:lineRule="auto"/>
        <w:ind w:left="851"/>
        <w:jc w:val="both"/>
        <w:rPr>
          <w:rFonts w:ascii="Century Gothic" w:hAnsi="Century Gothic"/>
          <w:bCs/>
          <w:i/>
          <w:iCs/>
          <w:sz w:val="22"/>
        </w:rPr>
      </w:pPr>
      <w:r w:rsidRPr="00F55D6A">
        <w:rPr>
          <w:rFonts w:ascii="Century Gothic" w:hAnsi="Century Gothic"/>
          <w:bCs/>
          <w:i/>
          <w:iCs/>
          <w:sz w:val="22"/>
        </w:rPr>
        <w:t>Fue una maravilla la manera de dar clase porque la parte teórica se quedaba muy clara con esta manera de explicar. Han sido clases a las que me ha gustado mucho venir, he disfrutado de verdad porque me lo pasaba bien y aprendía mucho.</w:t>
      </w:r>
    </w:p>
    <w:p w:rsidR="00031EF3" w:rsidRPr="00F55D6A" w:rsidRDefault="00031EF3" w:rsidP="00F55D6A">
      <w:pPr>
        <w:spacing w:line="360" w:lineRule="auto"/>
        <w:ind w:left="851"/>
        <w:rPr>
          <w:rFonts w:ascii="Century Gothic" w:hAnsi="Century Gothic"/>
          <w:bCs/>
          <w:i/>
          <w:iCs/>
          <w:sz w:val="22"/>
        </w:rPr>
      </w:pPr>
      <w:r w:rsidRPr="00F55D6A">
        <w:rPr>
          <w:rFonts w:ascii="Century Gothic" w:hAnsi="Century Gothic"/>
          <w:bCs/>
          <w:i/>
          <w:iCs/>
          <w:sz w:val="22"/>
        </w:rPr>
        <w:t>(Relato 2)</w:t>
      </w:r>
    </w:p>
    <w:p w:rsidR="00ED41E6" w:rsidRPr="00F55D6A" w:rsidRDefault="00AD1441" w:rsidP="00F55D6A">
      <w:pPr>
        <w:spacing w:line="360" w:lineRule="auto"/>
        <w:jc w:val="both"/>
        <w:rPr>
          <w:rStyle w:val="nfasis"/>
          <w:iCs w:val="0"/>
          <w:sz w:val="22"/>
        </w:rPr>
      </w:pPr>
      <w:r w:rsidRPr="00F55D6A">
        <w:rPr>
          <w:rFonts w:ascii="Century Gothic" w:hAnsi="Century Gothic"/>
          <w:sz w:val="22"/>
        </w:rPr>
        <w:t xml:space="preserve">La gamificación educativa equilibra adecuadamente el flujo de aula. El concepto de </w:t>
      </w:r>
      <w:r w:rsidRPr="00F55D6A">
        <w:rPr>
          <w:rFonts w:ascii="Century Gothic" w:hAnsi="Century Gothic"/>
          <w:i/>
          <w:iCs/>
          <w:sz w:val="22"/>
        </w:rPr>
        <w:t>flow</w:t>
      </w:r>
      <w:r w:rsidRPr="00F55D6A">
        <w:rPr>
          <w:rFonts w:ascii="Century Gothic" w:hAnsi="Century Gothic"/>
          <w:sz w:val="22"/>
        </w:rPr>
        <w:t xml:space="preserve"> fue introducido en la literatura científica por Csikszentmihalyi (1975), quien lo definió como el estado de experiencia óptima que las personas expresan cuando están intensamente implicadas en lo que están haciendo y que les resulta divertido hacer. Para conseguir el estado de flujo en gamificación educativa es necesario que los objetivos sean claros, se realice una retroalimentación inmediata, y, sobre todo, que la relación entre lo que cada estudiante debe conseguir y sus capacidades sea total y unívoca. En esta Unidad de Trabajo gamificada se ha tenido en cuenta el flujo de aula a la hora de calibrar la dificultad de los retos, alcanzando una mayor motivación del alumnado. </w:t>
      </w:r>
    </w:p>
    <w:p w:rsidR="00AF3498" w:rsidRPr="00F55D6A" w:rsidRDefault="00AF3498" w:rsidP="00F55D6A">
      <w:pPr>
        <w:pStyle w:val="APARTADOPRINCIPAL"/>
        <w:spacing w:before="0"/>
        <w:rPr>
          <w:rFonts w:cs="Times New Roman"/>
          <w:color w:val="000000" w:themeColor="text1"/>
          <w:sz w:val="22"/>
          <w:lang w:val="es-ES"/>
        </w:rPr>
      </w:pPr>
      <w:r w:rsidRPr="00F55D6A">
        <w:rPr>
          <w:rFonts w:cs="Times New Roman"/>
          <w:color w:val="000000" w:themeColor="text1"/>
          <w:sz w:val="22"/>
          <w:lang w:val="es-ES"/>
        </w:rPr>
        <w:t>4</w:t>
      </w:r>
      <w:r w:rsidR="00BE053A" w:rsidRPr="00F55D6A">
        <w:rPr>
          <w:rFonts w:cs="Times New Roman"/>
          <w:color w:val="000000" w:themeColor="text1"/>
          <w:sz w:val="22"/>
          <w:lang w:val="es-ES"/>
        </w:rPr>
        <w:t>.</w:t>
      </w:r>
      <w:r w:rsidRPr="00F55D6A">
        <w:rPr>
          <w:rFonts w:cs="Times New Roman"/>
          <w:color w:val="000000" w:themeColor="text1"/>
          <w:sz w:val="22"/>
          <w:lang w:val="es-ES"/>
        </w:rPr>
        <w:t xml:space="preserve"> CONCLUSIONES</w:t>
      </w:r>
    </w:p>
    <w:p w:rsidR="00031EF3" w:rsidRPr="00F55D6A" w:rsidRDefault="00031EF3" w:rsidP="00F55D6A">
      <w:pPr>
        <w:spacing w:line="360" w:lineRule="auto"/>
        <w:jc w:val="both"/>
        <w:rPr>
          <w:rFonts w:ascii="Century Gothic" w:hAnsi="Century Gothic"/>
          <w:sz w:val="22"/>
        </w:rPr>
      </w:pPr>
      <w:r w:rsidRPr="00F55D6A">
        <w:rPr>
          <w:rFonts w:ascii="Century Gothic" w:hAnsi="Century Gothic"/>
          <w:sz w:val="22"/>
        </w:rPr>
        <w:t xml:space="preserve">La aportación que ha hecho esta </w:t>
      </w:r>
      <w:r w:rsidR="00AD1441" w:rsidRPr="00F55D6A">
        <w:rPr>
          <w:rFonts w:ascii="Century Gothic" w:hAnsi="Century Gothic"/>
          <w:sz w:val="22"/>
        </w:rPr>
        <w:t>experiencia de aula</w:t>
      </w:r>
      <w:r w:rsidRPr="00F55D6A">
        <w:rPr>
          <w:rFonts w:ascii="Century Gothic" w:hAnsi="Century Gothic"/>
          <w:sz w:val="22"/>
        </w:rPr>
        <w:t xml:space="preserve"> a la Intervención Sociocomunitaria ha sido la creación </w:t>
      </w:r>
      <w:r w:rsidR="00306CAE" w:rsidRPr="00F55D6A">
        <w:rPr>
          <w:rFonts w:ascii="Century Gothic" w:hAnsi="Century Gothic"/>
          <w:sz w:val="22"/>
        </w:rPr>
        <w:t xml:space="preserve">e implementación </w:t>
      </w:r>
      <w:r w:rsidRPr="00F55D6A">
        <w:rPr>
          <w:rFonts w:ascii="Century Gothic" w:hAnsi="Century Gothic"/>
          <w:sz w:val="22"/>
        </w:rPr>
        <w:t xml:space="preserve">de recursos gamificados </w:t>
      </w:r>
      <w:r w:rsidR="00306CAE" w:rsidRPr="00F55D6A">
        <w:rPr>
          <w:rFonts w:ascii="Century Gothic" w:hAnsi="Century Gothic"/>
          <w:sz w:val="22"/>
        </w:rPr>
        <w:t>en Formación Profesional.</w:t>
      </w:r>
      <w:r w:rsidR="00B327FC" w:rsidRPr="00F55D6A">
        <w:rPr>
          <w:rFonts w:ascii="Century Gothic" w:hAnsi="Century Gothic"/>
          <w:sz w:val="22"/>
        </w:rPr>
        <w:t xml:space="preserve"> </w:t>
      </w:r>
      <w:r w:rsidRPr="00F55D6A">
        <w:rPr>
          <w:rFonts w:ascii="Century Gothic" w:hAnsi="Century Gothic"/>
          <w:sz w:val="22"/>
        </w:rPr>
        <w:t xml:space="preserve">Conforme a los resultados obtenidos en </w:t>
      </w:r>
      <w:r w:rsidR="00306CAE" w:rsidRPr="00F55D6A">
        <w:rPr>
          <w:rFonts w:ascii="Century Gothic" w:hAnsi="Century Gothic"/>
          <w:sz w:val="22"/>
        </w:rPr>
        <w:t xml:space="preserve">y </w:t>
      </w:r>
      <w:r w:rsidR="00227277" w:rsidRPr="00F55D6A">
        <w:rPr>
          <w:rFonts w:ascii="Century Gothic" w:hAnsi="Century Gothic"/>
          <w:sz w:val="22"/>
        </w:rPr>
        <w:t>en relación con</w:t>
      </w:r>
      <w:r w:rsidR="00306CAE" w:rsidRPr="00F55D6A">
        <w:rPr>
          <w:rFonts w:ascii="Century Gothic" w:hAnsi="Century Gothic"/>
          <w:sz w:val="22"/>
        </w:rPr>
        <w:t xml:space="preserve"> estudios anteriores</w:t>
      </w:r>
      <w:r w:rsidRPr="00F55D6A">
        <w:rPr>
          <w:rFonts w:ascii="Century Gothic" w:hAnsi="Century Gothic"/>
          <w:sz w:val="22"/>
        </w:rPr>
        <w:t>, se puede afirmar que, si se utiliza adecuadamente en Formación Profesional, la gamificación potencia el compromiso por el aprendizaje, gracias a que favorece un estilo docente activo y creativo (Kirillova, Vinichenkoa, Melnichuka, Melnichuka y Vinogradovaa, 2016</w:t>
      </w:r>
      <w:r w:rsidR="00A24267" w:rsidRPr="00F55D6A">
        <w:rPr>
          <w:rFonts w:ascii="Century Gothic" w:hAnsi="Century Gothic"/>
          <w:sz w:val="22"/>
        </w:rPr>
        <w:t>; Marczweski, 2015</w:t>
      </w:r>
      <w:r w:rsidRPr="00F55D6A">
        <w:rPr>
          <w:rFonts w:ascii="Century Gothic" w:hAnsi="Century Gothic"/>
          <w:sz w:val="22"/>
        </w:rPr>
        <w:t xml:space="preserve">). </w:t>
      </w:r>
    </w:p>
    <w:p w:rsidR="00031EF3" w:rsidRPr="00F55D6A" w:rsidRDefault="00031EF3" w:rsidP="00F55D6A">
      <w:pPr>
        <w:spacing w:line="360" w:lineRule="auto"/>
        <w:jc w:val="both"/>
        <w:rPr>
          <w:rFonts w:ascii="Century Gothic" w:hAnsi="Century Gothic"/>
          <w:sz w:val="22"/>
        </w:rPr>
      </w:pPr>
      <w:r w:rsidRPr="00F55D6A">
        <w:rPr>
          <w:rFonts w:ascii="Century Gothic" w:hAnsi="Century Gothic"/>
          <w:sz w:val="22"/>
        </w:rPr>
        <w:t>E</w:t>
      </w:r>
      <w:r w:rsidR="00ED41E6" w:rsidRPr="00F55D6A">
        <w:rPr>
          <w:rFonts w:ascii="Century Gothic" w:hAnsi="Century Gothic"/>
          <w:sz w:val="22"/>
        </w:rPr>
        <w:t xml:space="preserve">n el programa </w:t>
      </w:r>
      <w:r w:rsidR="00ED41E6" w:rsidRPr="00F55D6A">
        <w:rPr>
          <w:rFonts w:ascii="Century Gothic" w:hAnsi="Century Gothic"/>
          <w:i/>
          <w:sz w:val="22"/>
        </w:rPr>
        <w:t>Grey Place</w:t>
      </w:r>
      <w:r w:rsidR="00ED41E6" w:rsidRPr="00F55D6A">
        <w:rPr>
          <w:rFonts w:ascii="Century Gothic" w:hAnsi="Century Gothic"/>
          <w:sz w:val="22"/>
        </w:rPr>
        <w:t>, el</w:t>
      </w:r>
      <w:r w:rsidRPr="00F55D6A">
        <w:rPr>
          <w:rFonts w:ascii="Century Gothic" w:hAnsi="Century Gothic"/>
          <w:sz w:val="22"/>
        </w:rPr>
        <w:t xml:space="preserve"> deseo de conocer la narrativa, trabajar en equipo y conseguir puntos dentro del juego ha facilitado que realicen proyectos grupales complejos donde tenían que diseñar y crear recursos y programas de apoyo a la intervención educativa</w:t>
      </w:r>
      <w:r w:rsidR="00B327FC" w:rsidRPr="00F55D6A">
        <w:rPr>
          <w:rFonts w:ascii="Century Gothic" w:hAnsi="Century Gothic"/>
          <w:sz w:val="22"/>
        </w:rPr>
        <w:t xml:space="preserve"> con una mayor motivación</w:t>
      </w:r>
      <w:r w:rsidR="00227277" w:rsidRPr="00F55D6A">
        <w:rPr>
          <w:rFonts w:ascii="Century Gothic" w:hAnsi="Century Gothic"/>
          <w:sz w:val="22"/>
        </w:rPr>
        <w:t>.</w:t>
      </w:r>
      <w:r w:rsidRPr="00F55D6A">
        <w:rPr>
          <w:rFonts w:ascii="Century Gothic" w:hAnsi="Century Gothic"/>
          <w:sz w:val="22"/>
        </w:rPr>
        <w:t xml:space="preserve"> </w:t>
      </w:r>
    </w:p>
    <w:p w:rsidR="00B327FC" w:rsidRDefault="00AD1441" w:rsidP="00F55D6A">
      <w:pPr>
        <w:pStyle w:val="TEXTOSARTICULOS"/>
        <w:jc w:val="both"/>
        <w:rPr>
          <w:lang w:val="es-ES"/>
        </w:rPr>
      </w:pPr>
      <w:r w:rsidRPr="00F55D6A">
        <w:rPr>
          <w:rFonts w:cs="Times New Roman"/>
          <w:lang w:val="es-ES"/>
        </w:rPr>
        <w:t xml:space="preserve">En la actualidad del sistema educativo español, se encuentra el reto de fomentar una formación de calidad dentro de la Formación Profesional, que de respuesta tanto a las necesidades </w:t>
      </w:r>
      <w:r w:rsidRPr="00941554">
        <w:rPr>
          <w:lang w:val="es-ES"/>
        </w:rPr>
        <w:t xml:space="preserve">de un mercado de trabajo cada vez más exigente y globalizado, como a las necesidades e intereses del alumnado, y finalmente al conjunto de la sociedad. </w:t>
      </w:r>
      <w:r w:rsidR="00227277">
        <w:rPr>
          <w:lang w:val="es-ES"/>
        </w:rPr>
        <w:t xml:space="preserve">El uso de metodologías y estrategias de enseñanza activas como </w:t>
      </w:r>
      <w:r w:rsidR="00B327FC">
        <w:rPr>
          <w:lang w:val="es-ES"/>
        </w:rPr>
        <w:t>el aprendizaje cooperativo (</w:t>
      </w:r>
      <w:r w:rsidR="00D56714">
        <w:rPr>
          <w:lang w:val="es-ES"/>
        </w:rPr>
        <w:t>Sutarman, Sunendar y Mulyati, 2019</w:t>
      </w:r>
      <w:r w:rsidR="00B327FC">
        <w:rPr>
          <w:lang w:val="es-ES"/>
        </w:rPr>
        <w:t>)</w:t>
      </w:r>
      <w:r w:rsidR="00D56714">
        <w:rPr>
          <w:lang w:val="es-ES"/>
        </w:rPr>
        <w:t xml:space="preserve"> y</w:t>
      </w:r>
      <w:r w:rsidR="00B327FC">
        <w:rPr>
          <w:lang w:val="es-ES"/>
        </w:rPr>
        <w:t xml:space="preserve"> el aprendizaje basado en proyectos (</w:t>
      </w:r>
      <w:r w:rsidR="00ED41E6">
        <w:rPr>
          <w:lang w:val="es-ES"/>
        </w:rPr>
        <w:t xml:space="preserve">Bell, 2010; </w:t>
      </w:r>
      <w:r w:rsidR="00D56714">
        <w:rPr>
          <w:lang w:val="es-ES"/>
        </w:rPr>
        <w:t>Kanchana, Patcha</w:t>
      </w:r>
      <w:r w:rsidR="00BD7F49">
        <w:rPr>
          <w:lang w:val="es-ES"/>
        </w:rPr>
        <w:t>inayagi y Rajkumar, 2019</w:t>
      </w:r>
      <w:r w:rsidR="00B327FC">
        <w:rPr>
          <w:lang w:val="es-ES"/>
        </w:rPr>
        <w:t xml:space="preserve">) refuerzan la idea de que el </w:t>
      </w:r>
      <w:r w:rsidR="00D56714">
        <w:rPr>
          <w:lang w:val="es-ES"/>
        </w:rPr>
        <w:t>alumnado experimenta un aumento significativo de competencias curriculares y habilidades socioemocionales cuando se les permite trabajar en equipo y trabajar en actividades que les permitan explorar y tomar decisiones para diferentes escenarios reales.</w:t>
      </w:r>
    </w:p>
    <w:p w:rsidR="00F02EED" w:rsidRPr="000A4190" w:rsidRDefault="008E1FAB" w:rsidP="00031EF3">
      <w:pPr>
        <w:spacing w:line="360" w:lineRule="auto"/>
        <w:jc w:val="both"/>
        <w:rPr>
          <w:rFonts w:ascii="Century Gothic" w:hAnsi="Century Gothic"/>
          <w:sz w:val="22"/>
        </w:rPr>
      </w:pPr>
      <w:r w:rsidRPr="000A4190">
        <w:rPr>
          <w:rFonts w:ascii="Century Gothic" w:hAnsi="Century Gothic"/>
          <w:sz w:val="22"/>
        </w:rPr>
        <w:t>Esta experiencia de aul</w:t>
      </w:r>
      <w:r w:rsidR="00227277" w:rsidRPr="000A4190">
        <w:rPr>
          <w:rFonts w:ascii="Century Gothic" w:hAnsi="Century Gothic"/>
          <w:sz w:val="22"/>
        </w:rPr>
        <w:t xml:space="preserve">a pretende reflejar que la gamificación educativa puede ser una herramienta potencial para </w:t>
      </w:r>
      <w:r w:rsidR="00812035" w:rsidRPr="000A4190">
        <w:rPr>
          <w:rFonts w:ascii="Century Gothic" w:hAnsi="Century Gothic"/>
          <w:sz w:val="22"/>
        </w:rPr>
        <w:t>que el alumnado alcance un aprendizaje significativo, a través de la experimentación y el descubrimiento (</w:t>
      </w:r>
      <w:r w:rsidR="009336D9" w:rsidRPr="000A4190">
        <w:rPr>
          <w:rFonts w:ascii="Century Gothic" w:hAnsi="Century Gothic"/>
          <w:sz w:val="22"/>
        </w:rPr>
        <w:t>Nah, Telaprolu, Rallapalli y Venkata, 2013</w:t>
      </w:r>
      <w:r w:rsidR="00812035" w:rsidRPr="000A4190">
        <w:rPr>
          <w:rFonts w:ascii="Century Gothic" w:hAnsi="Century Gothic"/>
          <w:sz w:val="22"/>
        </w:rPr>
        <w:t>) y el planteamiento de actividades más creativas; consiguiendo así un</w:t>
      </w:r>
      <w:r w:rsidR="00F02EED" w:rsidRPr="000A4190">
        <w:rPr>
          <w:rFonts w:ascii="Century Gothic" w:hAnsi="Century Gothic"/>
          <w:sz w:val="22"/>
        </w:rPr>
        <w:t>a</w:t>
      </w:r>
      <w:r w:rsidR="00812035" w:rsidRPr="000A4190">
        <w:rPr>
          <w:rFonts w:ascii="Century Gothic" w:hAnsi="Century Gothic"/>
          <w:sz w:val="22"/>
        </w:rPr>
        <w:t xml:space="preserve"> mayor </w:t>
      </w:r>
      <w:r w:rsidR="00F02EED" w:rsidRPr="000A4190">
        <w:rPr>
          <w:rFonts w:ascii="Century Gothic" w:hAnsi="Century Gothic"/>
          <w:sz w:val="22"/>
        </w:rPr>
        <w:t xml:space="preserve">participación, </w:t>
      </w:r>
      <w:r w:rsidR="00812035" w:rsidRPr="000A4190">
        <w:rPr>
          <w:rFonts w:ascii="Century Gothic" w:hAnsi="Century Gothic"/>
          <w:sz w:val="22"/>
        </w:rPr>
        <w:t>flujo de aula y motivación escolar (</w:t>
      </w:r>
      <w:r w:rsidR="00F02EED" w:rsidRPr="000A4190">
        <w:rPr>
          <w:rFonts w:ascii="Century Gothic" w:hAnsi="Century Gothic"/>
          <w:sz w:val="22"/>
        </w:rPr>
        <w:t>Cheong, Filippou y Cheong, 2014</w:t>
      </w:r>
      <w:r w:rsidR="00812035" w:rsidRPr="000A4190">
        <w:rPr>
          <w:rFonts w:ascii="Century Gothic" w:hAnsi="Century Gothic"/>
          <w:sz w:val="22"/>
        </w:rPr>
        <w:t>)</w:t>
      </w:r>
      <w:r w:rsidR="00227277" w:rsidRPr="000A4190">
        <w:rPr>
          <w:rFonts w:ascii="Century Gothic" w:hAnsi="Century Gothic"/>
          <w:sz w:val="22"/>
        </w:rPr>
        <w:t>.</w:t>
      </w:r>
      <w:r w:rsidR="00C61AA1" w:rsidRPr="000A4190">
        <w:rPr>
          <w:rFonts w:ascii="Century Gothic" w:hAnsi="Century Gothic"/>
          <w:sz w:val="22"/>
        </w:rPr>
        <w:t xml:space="preserve"> Sin embargo, también hay que tener en cuenta que </w:t>
      </w:r>
      <w:r w:rsidR="00812035" w:rsidRPr="000A4190">
        <w:rPr>
          <w:rFonts w:ascii="Century Gothic" w:hAnsi="Century Gothic"/>
          <w:sz w:val="22"/>
        </w:rPr>
        <w:t>no todos los proyectos educativos gamificados funcionan ni son una solución universal a las situaciones que pueden producirse en el aula, e incluso dentro de proyectos gamificados pedagógica y lúdicamente bien estructurados es necesario plantear una evaluación significativa para comprobar si se están cumpliendo los objetivos (Lee y Hammer, 2011).</w:t>
      </w:r>
    </w:p>
    <w:p w:rsidR="00C61AA1" w:rsidRPr="000A4190" w:rsidRDefault="008E1FAB" w:rsidP="00031EF3">
      <w:pPr>
        <w:spacing w:line="360" w:lineRule="auto"/>
        <w:jc w:val="both"/>
        <w:rPr>
          <w:rFonts w:ascii="Century Gothic" w:hAnsi="Century Gothic"/>
          <w:sz w:val="22"/>
        </w:rPr>
      </w:pPr>
      <w:r w:rsidRPr="000A4190">
        <w:rPr>
          <w:rFonts w:ascii="Century Gothic" w:hAnsi="Century Gothic"/>
          <w:sz w:val="22"/>
        </w:rPr>
        <w:t>Como futura línea de investigación se propone realizar un estudio con una mayor muestra donde se pueda cuantificar el impacto en la motivación del alumnado, flujo de aula y aprendizaje significativo para ofrecer una verificación empírica sólida de los beneficios y limitaciones de la gamificación educativa en formación profesional.</w:t>
      </w:r>
    </w:p>
    <w:p w:rsidR="00AF3498" w:rsidRPr="00F82A2C" w:rsidRDefault="00AF3498" w:rsidP="00941554">
      <w:pPr>
        <w:pStyle w:val="APARTADOPRINCIPAL"/>
        <w:rPr>
          <w:sz w:val="22"/>
          <w:lang w:val="en-US"/>
        </w:rPr>
      </w:pPr>
      <w:r w:rsidRPr="00F82A2C">
        <w:rPr>
          <w:sz w:val="22"/>
          <w:lang w:val="en-US"/>
        </w:rPr>
        <w:t>REFERENCIAS</w:t>
      </w:r>
      <w:r w:rsidR="0027749E" w:rsidRPr="00F82A2C">
        <w:rPr>
          <w:sz w:val="22"/>
          <w:lang w:val="en-US"/>
        </w:rPr>
        <w:t xml:space="preserve"> </w:t>
      </w:r>
    </w:p>
    <w:p w:rsidR="00771DBC" w:rsidRDefault="00771DBC" w:rsidP="00F9180A">
      <w:pPr>
        <w:spacing w:line="360" w:lineRule="auto"/>
        <w:ind w:left="709" w:hanging="709"/>
        <w:jc w:val="both"/>
        <w:rPr>
          <w:rFonts w:ascii="Century Gothic" w:hAnsi="Century Gothic"/>
          <w:sz w:val="22"/>
        </w:rPr>
      </w:pPr>
      <w:r w:rsidRPr="00476A71">
        <w:rPr>
          <w:rFonts w:ascii="Century Gothic" w:hAnsi="Century Gothic"/>
          <w:color w:val="000000" w:themeColor="text1"/>
          <w:sz w:val="22"/>
        </w:rPr>
        <w:t xml:space="preserve">BARATA, G., GAMA, S., FONSECA, M. J. y GONÇALVES, D. (2013). Improving student creativity with gamification and virtual worlds. In </w:t>
      </w:r>
      <w:r w:rsidRPr="00476A71">
        <w:rPr>
          <w:rFonts w:ascii="Century Gothic" w:hAnsi="Century Gothic"/>
          <w:i/>
          <w:iCs/>
          <w:color w:val="000000" w:themeColor="text1"/>
          <w:sz w:val="22"/>
        </w:rPr>
        <w:t>ACM International Conference Proceeding Series</w:t>
      </w:r>
      <w:r w:rsidRPr="00476A71">
        <w:rPr>
          <w:rFonts w:ascii="Century Gothic" w:hAnsi="Century Gothic"/>
          <w:color w:val="000000" w:themeColor="text1"/>
          <w:sz w:val="22"/>
        </w:rPr>
        <w:t xml:space="preserve">. </w:t>
      </w:r>
      <w:hyperlink r:id="rId18" w:history="1">
        <w:r w:rsidRPr="00476A71">
          <w:rPr>
            <w:rStyle w:val="Hipervnculo"/>
            <w:rFonts w:ascii="Century Gothic" w:hAnsi="Century Gothic"/>
            <w:sz w:val="22"/>
          </w:rPr>
          <w:t>https://doi.org/10.1145/2583008.2583023</w:t>
        </w:r>
      </w:hyperlink>
      <w:r w:rsidRPr="00476A71">
        <w:rPr>
          <w:rFonts w:ascii="Century Gothic" w:hAnsi="Century Gothic"/>
          <w:sz w:val="22"/>
        </w:rPr>
        <w:t xml:space="preserve"> </w:t>
      </w:r>
    </w:p>
    <w:p w:rsidR="00771DBC" w:rsidRPr="000A4190" w:rsidRDefault="00771DBC" w:rsidP="000A4190">
      <w:pPr>
        <w:spacing w:line="360" w:lineRule="auto"/>
        <w:ind w:left="709" w:hanging="709"/>
        <w:jc w:val="both"/>
        <w:rPr>
          <w:rFonts w:ascii="Century Gothic" w:hAnsi="Century Gothic" w:cs="Arial"/>
          <w:color w:val="333333"/>
          <w:sz w:val="22"/>
          <w:szCs w:val="22"/>
        </w:rPr>
      </w:pPr>
      <w:r w:rsidRPr="000A4190">
        <w:rPr>
          <w:rFonts w:ascii="Century Gothic" w:hAnsi="Century Gothic"/>
          <w:color w:val="000000" w:themeColor="text1"/>
          <w:sz w:val="22"/>
          <w:szCs w:val="22"/>
          <w:shd w:val="clear" w:color="auto" w:fill="FFFFFF"/>
        </w:rPr>
        <w:t xml:space="preserve">BELL, S. (2010). </w:t>
      </w:r>
      <w:r w:rsidRPr="000A4190">
        <w:rPr>
          <w:rFonts w:ascii="Century Gothic" w:hAnsi="Century Gothic"/>
          <w:bCs/>
          <w:color w:val="000000" w:themeColor="text1"/>
          <w:sz w:val="22"/>
          <w:szCs w:val="22"/>
        </w:rPr>
        <w:t>Project-Based Learning for the 21st Century: Skills for the Future.</w:t>
      </w:r>
      <w:r w:rsidRPr="000A4190">
        <w:rPr>
          <w:rFonts w:ascii="Century Gothic" w:hAnsi="Century Gothic"/>
          <w:b/>
          <w:bCs/>
          <w:color w:val="000000" w:themeColor="text1"/>
          <w:sz w:val="22"/>
          <w:szCs w:val="22"/>
        </w:rPr>
        <w:t xml:space="preserve"> </w:t>
      </w:r>
      <w:r w:rsidR="00F654D7">
        <w:rPr>
          <w:rFonts w:ascii="Century Gothic" w:hAnsi="Century Gothic"/>
          <w:bCs/>
          <w:i/>
          <w:color w:val="000000" w:themeColor="text1"/>
          <w:sz w:val="22"/>
          <w:szCs w:val="22"/>
        </w:rPr>
        <w:t>The Clearing House: A Jou</w:t>
      </w:r>
      <w:r w:rsidRPr="000A4190">
        <w:rPr>
          <w:rFonts w:ascii="Century Gothic" w:hAnsi="Century Gothic"/>
          <w:bCs/>
          <w:i/>
          <w:color w:val="000000" w:themeColor="text1"/>
          <w:sz w:val="22"/>
          <w:szCs w:val="22"/>
        </w:rPr>
        <w:t>r</w:t>
      </w:r>
      <w:r w:rsidR="00F654D7">
        <w:rPr>
          <w:rFonts w:ascii="Century Gothic" w:hAnsi="Century Gothic"/>
          <w:bCs/>
          <w:i/>
          <w:color w:val="000000" w:themeColor="text1"/>
          <w:sz w:val="22"/>
          <w:szCs w:val="22"/>
        </w:rPr>
        <w:t>n</w:t>
      </w:r>
      <w:r w:rsidRPr="000A4190">
        <w:rPr>
          <w:rFonts w:ascii="Century Gothic" w:hAnsi="Century Gothic"/>
          <w:bCs/>
          <w:i/>
          <w:color w:val="000000" w:themeColor="text1"/>
          <w:sz w:val="22"/>
          <w:szCs w:val="22"/>
        </w:rPr>
        <w:t>al of Educational Strategies, Issues and Ideas, 83</w:t>
      </w:r>
      <w:r w:rsidRPr="000A4190">
        <w:rPr>
          <w:rFonts w:ascii="Century Gothic" w:hAnsi="Century Gothic"/>
          <w:bCs/>
          <w:color w:val="000000" w:themeColor="text1"/>
          <w:sz w:val="22"/>
          <w:szCs w:val="22"/>
        </w:rPr>
        <w:t>(2), 39-43.</w:t>
      </w:r>
      <w:r>
        <w:rPr>
          <w:rFonts w:ascii="Century Gothic" w:hAnsi="Century Gothic"/>
          <w:bCs/>
          <w:color w:val="000000" w:themeColor="text1"/>
          <w:sz w:val="22"/>
          <w:szCs w:val="22"/>
        </w:rPr>
        <w:t xml:space="preserve"> DOI:</w:t>
      </w:r>
      <w:r w:rsidRPr="000A4190">
        <w:rPr>
          <w:rFonts w:ascii="Century Gothic" w:hAnsi="Century Gothic"/>
          <w:bCs/>
          <w:color w:val="000000" w:themeColor="text1"/>
          <w:sz w:val="22"/>
          <w:szCs w:val="22"/>
        </w:rPr>
        <w:t xml:space="preserve"> </w:t>
      </w:r>
      <w:hyperlink r:id="rId19" w:history="1">
        <w:r w:rsidRPr="000A4190">
          <w:rPr>
            <w:rStyle w:val="Hipervnculo"/>
            <w:rFonts w:ascii="Century Gothic" w:hAnsi="Century Gothic" w:cs="Arial"/>
            <w:color w:val="10147E"/>
            <w:sz w:val="22"/>
            <w:szCs w:val="22"/>
          </w:rPr>
          <w:t>https://doi.org/10.1080/00098650903505415</w:t>
        </w:r>
      </w:hyperlink>
    </w:p>
    <w:p w:rsidR="00771DBC" w:rsidRDefault="00771DBC" w:rsidP="00F9180A">
      <w:pPr>
        <w:spacing w:line="360" w:lineRule="auto"/>
        <w:ind w:left="709" w:hanging="709"/>
        <w:jc w:val="both"/>
        <w:rPr>
          <w:rFonts w:ascii="Century Gothic" w:hAnsi="Century Gothic"/>
          <w:sz w:val="22"/>
        </w:rPr>
      </w:pPr>
      <w:r w:rsidRPr="00F40CD5">
        <w:rPr>
          <w:rFonts w:ascii="Century Gothic" w:hAnsi="Century Gothic"/>
          <w:sz w:val="22"/>
          <w:szCs w:val="22"/>
        </w:rPr>
        <w:t xml:space="preserve">BIEGER, C., SOUTO, J.D., PIN, J.M. y GARCÍA, P. </w:t>
      </w:r>
      <w:r w:rsidRPr="00F40CD5">
        <w:rPr>
          <w:rFonts w:ascii="Century Gothic" w:hAnsi="Century Gothic"/>
          <w:i/>
          <w:sz w:val="22"/>
          <w:szCs w:val="22"/>
        </w:rPr>
        <w:t xml:space="preserve">Reflexiones sobre la Formación Profesional de Grado Medio y Superior en España. </w:t>
      </w:r>
      <w:r w:rsidRPr="00F40CD5">
        <w:rPr>
          <w:rFonts w:ascii="Century Gothic" w:hAnsi="Century Gothic"/>
          <w:sz w:val="22"/>
          <w:szCs w:val="22"/>
        </w:rPr>
        <w:t xml:space="preserve">Recuperado de: </w:t>
      </w:r>
      <w:hyperlink r:id="rId20" w:history="1">
        <w:r w:rsidRPr="00F40CD5">
          <w:rPr>
            <w:rFonts w:ascii="Century Gothic" w:hAnsi="Century Gothic"/>
            <w:color w:val="0000FF"/>
            <w:sz w:val="22"/>
            <w:szCs w:val="22"/>
            <w:u w:val="single"/>
          </w:rPr>
          <w:t>https://media.iese.edu/research/pdfs/ST-0476.pdf</w:t>
        </w:r>
      </w:hyperlink>
    </w:p>
    <w:p w:rsidR="00771DBC" w:rsidRPr="000A4190" w:rsidRDefault="00771DBC" w:rsidP="000A4190">
      <w:pPr>
        <w:spacing w:line="360" w:lineRule="auto"/>
        <w:ind w:left="709" w:hanging="709"/>
        <w:jc w:val="both"/>
        <w:rPr>
          <w:rFonts w:ascii="Century Gothic" w:hAnsi="Century Gothic"/>
          <w:sz w:val="22"/>
          <w:szCs w:val="22"/>
        </w:rPr>
      </w:pPr>
      <w:r w:rsidRPr="000A4190">
        <w:rPr>
          <w:rFonts w:ascii="Century Gothic" w:hAnsi="Century Gothic"/>
          <w:sz w:val="22"/>
          <w:szCs w:val="22"/>
        </w:rPr>
        <w:t xml:space="preserve">CHEONG, C., FILIPPOU, J. y CHEONG, F. (2014). Towards the Gamification of Learning: Investigating Student Perceptions of Game Elements. </w:t>
      </w:r>
      <w:r w:rsidRPr="000A4190">
        <w:rPr>
          <w:rFonts w:ascii="Century Gothic" w:hAnsi="Century Gothic"/>
          <w:i/>
          <w:sz w:val="22"/>
          <w:szCs w:val="22"/>
        </w:rPr>
        <w:t>Journal of Information Systems Education, 25</w:t>
      </w:r>
      <w:r w:rsidRPr="000A4190">
        <w:rPr>
          <w:rFonts w:ascii="Century Gothic" w:hAnsi="Century Gothic"/>
          <w:sz w:val="22"/>
          <w:szCs w:val="22"/>
        </w:rPr>
        <w:t>(3), 233-244.</w:t>
      </w:r>
    </w:p>
    <w:p w:rsidR="00771DBC" w:rsidRPr="00F9180A" w:rsidRDefault="00771DBC" w:rsidP="00F9180A">
      <w:pPr>
        <w:spacing w:line="360" w:lineRule="auto"/>
        <w:ind w:left="709" w:hanging="709"/>
        <w:jc w:val="both"/>
        <w:rPr>
          <w:rFonts w:ascii="Century Gothic" w:hAnsi="Century Gothic"/>
          <w:color w:val="000000" w:themeColor="text1"/>
          <w:sz w:val="22"/>
        </w:rPr>
      </w:pPr>
      <w:r w:rsidRPr="00F9180A">
        <w:rPr>
          <w:rFonts w:ascii="Century Gothic" w:hAnsi="Century Gothic"/>
          <w:color w:val="000000" w:themeColor="text1"/>
          <w:sz w:val="22"/>
        </w:rPr>
        <w:t xml:space="preserve">CONTRERAS, R. </w:t>
      </w:r>
      <w:r>
        <w:rPr>
          <w:rFonts w:ascii="Century Gothic" w:hAnsi="Century Gothic"/>
          <w:color w:val="000000" w:themeColor="text1"/>
          <w:sz w:val="22"/>
        </w:rPr>
        <w:t>y</w:t>
      </w:r>
      <w:r w:rsidRPr="00F9180A">
        <w:rPr>
          <w:rFonts w:ascii="Century Gothic" w:hAnsi="Century Gothic"/>
          <w:color w:val="000000" w:themeColor="text1"/>
          <w:sz w:val="22"/>
        </w:rPr>
        <w:t xml:space="preserve"> EGUIAS, J. (2016). </w:t>
      </w:r>
      <w:r w:rsidRPr="00F9180A">
        <w:rPr>
          <w:rFonts w:ascii="Century Gothic" w:hAnsi="Century Gothic"/>
          <w:i/>
          <w:color w:val="000000" w:themeColor="text1"/>
          <w:sz w:val="22"/>
        </w:rPr>
        <w:t>Gamificación en aulas universitarias</w:t>
      </w:r>
      <w:r w:rsidRPr="00F9180A">
        <w:rPr>
          <w:rFonts w:ascii="Century Gothic" w:hAnsi="Century Gothic"/>
          <w:color w:val="000000" w:themeColor="text1"/>
          <w:sz w:val="22"/>
        </w:rPr>
        <w:t>. Barcelona, España: Institut de la Comunicació. Universitat Autònoma de Barcelona</w:t>
      </w:r>
    </w:p>
    <w:p w:rsidR="00771DBC" w:rsidRDefault="00771DBC" w:rsidP="00476A71">
      <w:pPr>
        <w:spacing w:line="360" w:lineRule="auto"/>
        <w:ind w:left="709" w:hanging="709"/>
        <w:jc w:val="both"/>
        <w:rPr>
          <w:rFonts w:ascii="Century Gothic" w:hAnsi="Century Gothic"/>
          <w:sz w:val="22"/>
          <w:szCs w:val="22"/>
        </w:rPr>
      </w:pPr>
      <w:r w:rsidRPr="00476A71">
        <w:rPr>
          <w:rFonts w:ascii="Century Gothic" w:hAnsi="Century Gothic"/>
          <w:color w:val="000000" w:themeColor="text1"/>
          <w:sz w:val="22"/>
          <w:lang w:val="en-US"/>
        </w:rPr>
        <w:t>CONTRERAS, R.</w:t>
      </w:r>
      <w:r w:rsidR="00F654D7">
        <w:rPr>
          <w:rFonts w:ascii="Century Gothic" w:hAnsi="Century Gothic"/>
          <w:color w:val="000000" w:themeColor="text1"/>
          <w:sz w:val="22"/>
          <w:lang w:val="en-US"/>
        </w:rPr>
        <w:t xml:space="preserve"> </w:t>
      </w:r>
      <w:r w:rsidRPr="00476A71">
        <w:rPr>
          <w:rFonts w:ascii="Century Gothic" w:hAnsi="Century Gothic"/>
          <w:color w:val="000000" w:themeColor="text1"/>
          <w:sz w:val="22"/>
          <w:lang w:val="en-US"/>
        </w:rPr>
        <w:t>S</w:t>
      </w:r>
      <w:r w:rsidRPr="00476A71">
        <w:rPr>
          <w:rFonts w:ascii="Century Gothic" w:hAnsi="Century Gothic"/>
          <w:color w:val="000000" w:themeColor="text1"/>
          <w:sz w:val="22"/>
          <w:szCs w:val="22"/>
          <w:lang w:val="en-US"/>
        </w:rPr>
        <w:t xml:space="preserve">. (2017). Gamificación en escenarios educativos. Revisando literature para aclarar conceptos. En Contreras, R.S. y Eguia, J.L. (Eds.) </w:t>
      </w:r>
      <w:r w:rsidRPr="00476A71">
        <w:rPr>
          <w:rFonts w:ascii="Century Gothic" w:hAnsi="Century Gothic"/>
          <w:i/>
          <w:color w:val="000000" w:themeColor="text1"/>
          <w:sz w:val="22"/>
          <w:szCs w:val="22"/>
          <w:lang w:val="en-US"/>
        </w:rPr>
        <w:t>Experiencias de gamificación en aulas</w:t>
      </w:r>
      <w:r w:rsidRPr="00476A71">
        <w:rPr>
          <w:rFonts w:ascii="Century Gothic" w:hAnsi="Century Gothic"/>
          <w:color w:val="000000" w:themeColor="text1"/>
          <w:sz w:val="22"/>
          <w:szCs w:val="22"/>
          <w:lang w:val="en-US"/>
        </w:rPr>
        <w:t xml:space="preserve">. InCom-UAB Publicacions. Bellaterra: Institut de la Comunicació, Universitat Autonòma de Barcelona. ISBN 978-84-944171-6-0. Recuperado de: </w:t>
      </w:r>
      <w:hyperlink r:id="rId21" w:history="1">
        <w:r w:rsidRPr="000A4190">
          <w:rPr>
            <w:rStyle w:val="Hipervnculo"/>
            <w:rFonts w:ascii="Century Gothic" w:hAnsi="Century Gothic"/>
            <w:sz w:val="22"/>
            <w:szCs w:val="22"/>
          </w:rPr>
          <w:t>https://ddd.uab.cat/pub/llibres/2018/188188/ebook15.pdf</w:t>
        </w:r>
      </w:hyperlink>
      <w:r w:rsidRPr="000A4190">
        <w:rPr>
          <w:rFonts w:ascii="Century Gothic" w:hAnsi="Century Gothic"/>
          <w:sz w:val="22"/>
          <w:szCs w:val="22"/>
        </w:rPr>
        <w:t xml:space="preserve"> </w:t>
      </w:r>
    </w:p>
    <w:p w:rsidR="00771DBC" w:rsidRPr="000A4190" w:rsidRDefault="00771DBC" w:rsidP="000A4190">
      <w:pPr>
        <w:pStyle w:val="Puesto"/>
        <w:pBdr>
          <w:bottom w:val="none" w:sz="0" w:space="0" w:color="auto"/>
        </w:pBdr>
        <w:ind w:left="709" w:hanging="709"/>
        <w:jc w:val="both"/>
        <w:rPr>
          <w:rFonts w:eastAsia="Times New Roman" w:cs="Times New Roman"/>
          <w:color w:val="000000" w:themeColor="text1"/>
          <w:szCs w:val="22"/>
          <w:lang w:val="en-US" w:eastAsia="es-ES_tradnl"/>
        </w:rPr>
      </w:pPr>
      <w:r w:rsidRPr="00F82A2C">
        <w:rPr>
          <w:rFonts w:eastAsia="Times New Roman" w:cs="Times New Roman"/>
          <w:color w:val="000000" w:themeColor="text1"/>
          <w:lang w:val="en-US" w:eastAsia="es-ES_tradnl"/>
        </w:rPr>
        <w:t xml:space="preserve">CSIKSZENTMIHALYI, M. (1975). </w:t>
      </w:r>
      <w:r w:rsidRPr="00726B53">
        <w:rPr>
          <w:rFonts w:eastAsia="Times New Roman" w:cs="Arial"/>
          <w:i/>
          <w:iCs/>
          <w:color w:val="000000" w:themeColor="text1"/>
          <w:lang w:val="en-US" w:eastAsia="es-ES_tradnl"/>
        </w:rPr>
        <w:t>Beyond boredom and anxiety</w:t>
      </w:r>
      <w:r w:rsidRPr="00726B53">
        <w:rPr>
          <w:rFonts w:eastAsia="Times New Roman" w:cs="Times New Roman"/>
          <w:color w:val="000000" w:themeColor="text1"/>
          <w:lang w:val="en-US" w:eastAsia="es-ES_tradnl"/>
        </w:rPr>
        <w:t xml:space="preserve">. </w:t>
      </w:r>
      <w:r w:rsidRPr="00F82A2C">
        <w:rPr>
          <w:rFonts w:eastAsia="Times New Roman" w:cs="Times New Roman"/>
          <w:color w:val="000000" w:themeColor="text1"/>
          <w:lang w:val="en-US" w:eastAsia="es-ES_tradnl"/>
        </w:rPr>
        <w:t xml:space="preserve">San Francisco: </w:t>
      </w:r>
      <w:r w:rsidRPr="000A4190">
        <w:rPr>
          <w:rFonts w:eastAsia="Times New Roman" w:cs="Times New Roman"/>
          <w:color w:val="000000" w:themeColor="text1"/>
          <w:szCs w:val="22"/>
          <w:lang w:val="en-US" w:eastAsia="es-ES_tradnl"/>
        </w:rPr>
        <w:t xml:space="preserve">Jossey-Bass. </w:t>
      </w:r>
    </w:p>
    <w:p w:rsidR="00771DBC" w:rsidRPr="000A4190" w:rsidRDefault="00771DBC" w:rsidP="000A4190">
      <w:pPr>
        <w:pStyle w:val="Puesto"/>
        <w:pBdr>
          <w:bottom w:val="none" w:sz="0" w:space="0" w:color="auto"/>
        </w:pBdr>
        <w:ind w:left="709" w:hanging="709"/>
        <w:jc w:val="both"/>
        <w:rPr>
          <w:color w:val="000000" w:themeColor="text1"/>
          <w:szCs w:val="22"/>
        </w:rPr>
      </w:pPr>
      <w:r w:rsidRPr="000A4190">
        <w:rPr>
          <w:color w:val="000000" w:themeColor="text1"/>
          <w:szCs w:val="22"/>
          <w:lang w:val="en-GB"/>
        </w:rPr>
        <w:t>DETERDING, S., KHALED, R., NACKE, L. y DIXON, D. (2011). Gamification: Toward a Definition. En</w:t>
      </w:r>
      <w:r w:rsidRPr="000A4190">
        <w:rPr>
          <w:rStyle w:val="apple-converted-space"/>
          <w:color w:val="000000" w:themeColor="text1"/>
          <w:szCs w:val="22"/>
          <w:lang w:val="en-GB"/>
        </w:rPr>
        <w:t> </w:t>
      </w:r>
      <w:r w:rsidRPr="000A4190">
        <w:rPr>
          <w:i/>
          <w:iCs/>
          <w:color w:val="000000" w:themeColor="text1"/>
          <w:szCs w:val="22"/>
          <w:lang w:val="en-GB"/>
        </w:rPr>
        <w:t>CHI 2011 Gamification Workshop Proceedings</w:t>
      </w:r>
      <w:r w:rsidRPr="000A4190">
        <w:rPr>
          <w:color w:val="000000" w:themeColor="text1"/>
          <w:szCs w:val="22"/>
          <w:lang w:val="en-GB"/>
        </w:rPr>
        <w:t xml:space="preserve">, Vancouver, BC, Canada. </w:t>
      </w:r>
      <w:r w:rsidRPr="000A4190">
        <w:rPr>
          <w:color w:val="000000" w:themeColor="text1"/>
          <w:szCs w:val="22"/>
        </w:rPr>
        <w:t xml:space="preserve">Recuperado de: </w:t>
      </w:r>
      <w:hyperlink r:id="rId22" w:history="1">
        <w:r w:rsidRPr="000A4190">
          <w:rPr>
            <w:rStyle w:val="Hipervnculo"/>
            <w:szCs w:val="22"/>
          </w:rPr>
          <w:t>http://gamification-research.org/wp-content/uploads/2011/04/02-Deterding-Khaled-Nacke-Dixon.pdf</w:t>
        </w:r>
      </w:hyperlink>
      <w:r w:rsidRPr="000A4190">
        <w:rPr>
          <w:color w:val="000000" w:themeColor="text1"/>
          <w:szCs w:val="22"/>
        </w:rPr>
        <w:t xml:space="preserve"> </w:t>
      </w:r>
    </w:p>
    <w:p w:rsidR="00771DBC" w:rsidRDefault="00771DBC" w:rsidP="00F9180A">
      <w:pPr>
        <w:spacing w:line="360" w:lineRule="auto"/>
        <w:ind w:left="709" w:hanging="709"/>
        <w:jc w:val="both"/>
        <w:rPr>
          <w:rFonts w:ascii="Century Gothic" w:hAnsi="Century Gothic"/>
          <w:sz w:val="22"/>
        </w:rPr>
      </w:pPr>
      <w:r w:rsidRPr="00F9180A">
        <w:rPr>
          <w:rFonts w:ascii="Century Gothic" w:hAnsi="Century Gothic"/>
          <w:sz w:val="22"/>
          <w:szCs w:val="22"/>
        </w:rPr>
        <w:t xml:space="preserve">DICHEVA, D., DICHEV, C., AGRE, G. y ANGELOVA, G. (2015). Gamification in Education: A Systematic Mapping Study. </w:t>
      </w:r>
      <w:r w:rsidRPr="00F9180A">
        <w:rPr>
          <w:rFonts w:ascii="Century Gothic" w:hAnsi="Century Gothic"/>
          <w:i/>
          <w:sz w:val="22"/>
          <w:szCs w:val="22"/>
        </w:rPr>
        <w:t>Educational Technology &amp; Society, 18</w:t>
      </w:r>
      <w:r w:rsidRPr="00F9180A">
        <w:rPr>
          <w:rFonts w:ascii="Century Gothic" w:hAnsi="Century Gothic"/>
          <w:sz w:val="22"/>
          <w:szCs w:val="22"/>
        </w:rPr>
        <w:t>(3).</w:t>
      </w:r>
    </w:p>
    <w:p w:rsidR="00771DBC" w:rsidRDefault="00771DBC" w:rsidP="00F9180A">
      <w:pPr>
        <w:spacing w:line="360" w:lineRule="auto"/>
        <w:ind w:left="709" w:hanging="709"/>
        <w:jc w:val="both"/>
        <w:rPr>
          <w:rFonts w:ascii="Century Gothic" w:hAnsi="Century Gothic"/>
          <w:color w:val="000000" w:themeColor="text1"/>
          <w:sz w:val="22"/>
        </w:rPr>
      </w:pPr>
      <w:r w:rsidRPr="00F9180A">
        <w:rPr>
          <w:rFonts w:ascii="Century Gothic" w:hAnsi="Century Gothic"/>
          <w:color w:val="000000" w:themeColor="text1"/>
          <w:sz w:val="22"/>
        </w:rPr>
        <w:t>DODERO, G., GENNARI, R., MELONIO, A.</w:t>
      </w:r>
      <w:r>
        <w:rPr>
          <w:rFonts w:ascii="Century Gothic" w:hAnsi="Century Gothic"/>
          <w:color w:val="000000" w:themeColor="text1"/>
          <w:sz w:val="22"/>
        </w:rPr>
        <w:t xml:space="preserve"> y </w:t>
      </w:r>
      <w:r w:rsidRPr="00F9180A">
        <w:rPr>
          <w:rFonts w:ascii="Century Gothic" w:hAnsi="Century Gothic"/>
          <w:color w:val="000000" w:themeColor="text1"/>
          <w:sz w:val="22"/>
        </w:rPr>
        <w:t xml:space="preserve">TORELLO, S. (2014). </w:t>
      </w:r>
      <w:r w:rsidRPr="00F9180A">
        <w:rPr>
          <w:rFonts w:ascii="Century Gothic" w:hAnsi="Century Gothic"/>
          <w:color w:val="000000" w:themeColor="text1"/>
          <w:sz w:val="22"/>
          <w:lang w:val="en-US"/>
        </w:rPr>
        <w:t>Gamified co-design with cooperative learning. </w:t>
      </w:r>
      <w:r w:rsidRPr="00F9180A">
        <w:rPr>
          <w:rFonts w:ascii="Century Gothic" w:hAnsi="Century Gothic"/>
          <w:i/>
          <w:color w:val="000000" w:themeColor="text1"/>
          <w:sz w:val="22"/>
          <w:lang w:val="en-US"/>
        </w:rPr>
        <w:t xml:space="preserve">Proceedings </w:t>
      </w:r>
      <w:r>
        <w:rPr>
          <w:rFonts w:ascii="Century Gothic" w:hAnsi="Century Gothic"/>
          <w:i/>
          <w:color w:val="000000" w:themeColor="text1"/>
          <w:sz w:val="22"/>
          <w:lang w:val="en-US"/>
        </w:rPr>
        <w:t>o</w:t>
      </w:r>
      <w:r w:rsidRPr="00F9180A">
        <w:rPr>
          <w:rFonts w:ascii="Century Gothic" w:hAnsi="Century Gothic"/>
          <w:i/>
          <w:color w:val="000000" w:themeColor="text1"/>
          <w:sz w:val="22"/>
          <w:lang w:val="en-US"/>
        </w:rPr>
        <w:t xml:space="preserve">f </w:t>
      </w:r>
      <w:r>
        <w:rPr>
          <w:rFonts w:ascii="Century Gothic" w:hAnsi="Century Gothic"/>
          <w:i/>
          <w:color w:val="000000" w:themeColor="text1"/>
          <w:sz w:val="22"/>
          <w:lang w:val="en-US"/>
        </w:rPr>
        <w:t>t</w:t>
      </w:r>
      <w:r w:rsidRPr="00F9180A">
        <w:rPr>
          <w:rFonts w:ascii="Century Gothic" w:hAnsi="Century Gothic"/>
          <w:i/>
          <w:color w:val="000000" w:themeColor="text1"/>
          <w:sz w:val="22"/>
          <w:lang w:val="en-US"/>
        </w:rPr>
        <w:t xml:space="preserve">he Extended Abstracts </w:t>
      </w:r>
      <w:r>
        <w:rPr>
          <w:rFonts w:ascii="Century Gothic" w:hAnsi="Century Gothic"/>
          <w:i/>
          <w:color w:val="000000" w:themeColor="text1"/>
          <w:sz w:val="22"/>
          <w:lang w:val="en-US"/>
        </w:rPr>
        <w:t>o</w:t>
      </w:r>
      <w:r w:rsidRPr="00F9180A">
        <w:rPr>
          <w:rFonts w:ascii="Century Gothic" w:hAnsi="Century Gothic"/>
          <w:i/>
          <w:color w:val="000000" w:themeColor="text1"/>
          <w:sz w:val="22"/>
          <w:lang w:val="en-US"/>
        </w:rPr>
        <w:t xml:space="preserve">f </w:t>
      </w:r>
      <w:r>
        <w:rPr>
          <w:rFonts w:ascii="Century Gothic" w:hAnsi="Century Gothic"/>
          <w:i/>
          <w:color w:val="000000" w:themeColor="text1"/>
          <w:sz w:val="22"/>
          <w:lang w:val="en-US"/>
        </w:rPr>
        <w:t>t</w:t>
      </w:r>
      <w:r w:rsidRPr="00F9180A">
        <w:rPr>
          <w:rFonts w:ascii="Century Gothic" w:hAnsi="Century Gothic"/>
          <w:i/>
          <w:color w:val="000000" w:themeColor="text1"/>
          <w:sz w:val="22"/>
          <w:lang w:val="en-US"/>
        </w:rPr>
        <w:t xml:space="preserve">he 32Nd Annual ACM Conference </w:t>
      </w:r>
      <w:r>
        <w:rPr>
          <w:rFonts w:ascii="Century Gothic" w:hAnsi="Century Gothic"/>
          <w:i/>
          <w:color w:val="000000" w:themeColor="text1"/>
          <w:sz w:val="22"/>
          <w:lang w:val="en-US"/>
        </w:rPr>
        <w:t>o</w:t>
      </w:r>
      <w:r w:rsidRPr="00F9180A">
        <w:rPr>
          <w:rFonts w:ascii="Century Gothic" w:hAnsi="Century Gothic"/>
          <w:i/>
          <w:color w:val="000000" w:themeColor="text1"/>
          <w:sz w:val="22"/>
          <w:lang w:val="en-US"/>
        </w:rPr>
        <w:t xml:space="preserve">n Human Factors In Computing Systems - CHI EA 14. </w:t>
      </w:r>
      <w:r w:rsidRPr="00F9180A">
        <w:rPr>
          <w:rFonts w:ascii="Century Gothic" w:hAnsi="Century Gothic"/>
          <w:color w:val="000000" w:themeColor="text1"/>
          <w:sz w:val="22"/>
          <w:lang w:val="en-US"/>
        </w:rPr>
        <w:t xml:space="preserve">DOI: </w:t>
      </w:r>
      <w:hyperlink r:id="rId23" w:history="1">
        <w:r w:rsidRPr="00F9180A">
          <w:rPr>
            <w:rStyle w:val="Hipervnculo"/>
            <w:rFonts w:ascii="Century Gothic" w:eastAsiaTheme="majorEastAsia" w:hAnsi="Century Gothic"/>
            <w:sz w:val="22"/>
            <w:lang w:val="en-US"/>
          </w:rPr>
          <w:t>http://dx.doi.org/10.1145/2559206.2578870</w:t>
        </w:r>
      </w:hyperlink>
      <w:r w:rsidRPr="00F9180A">
        <w:rPr>
          <w:rFonts w:ascii="Century Gothic" w:hAnsi="Century Gothic"/>
          <w:color w:val="000000" w:themeColor="text1"/>
          <w:sz w:val="22"/>
          <w:lang w:val="en-US"/>
        </w:rPr>
        <w:t xml:space="preserve"> </w:t>
      </w:r>
    </w:p>
    <w:p w:rsidR="00771DBC" w:rsidRPr="000A4190" w:rsidRDefault="00771DBC" w:rsidP="000A4190">
      <w:pPr>
        <w:spacing w:line="360" w:lineRule="auto"/>
        <w:ind w:left="709" w:hanging="709"/>
        <w:jc w:val="both"/>
        <w:rPr>
          <w:rFonts w:ascii="Century Gothic" w:hAnsi="Century Gothic"/>
          <w:sz w:val="22"/>
          <w:szCs w:val="22"/>
        </w:rPr>
      </w:pPr>
      <w:r w:rsidRPr="000A4190">
        <w:rPr>
          <w:rFonts w:ascii="Century Gothic" w:eastAsiaTheme="majorEastAsia" w:hAnsi="Century Gothic" w:cstheme="majorBidi"/>
          <w:color w:val="000000" w:themeColor="text1"/>
          <w:spacing w:val="5"/>
          <w:kern w:val="28"/>
          <w:sz w:val="22"/>
          <w:szCs w:val="22"/>
        </w:rPr>
        <w:t>ESPINOSA, I.</w:t>
      </w:r>
      <w:r w:rsidRPr="000A4190">
        <w:rPr>
          <w:rFonts w:ascii="Century Gothic" w:hAnsi="Century Gothic"/>
          <w:sz w:val="22"/>
          <w:szCs w:val="22"/>
        </w:rPr>
        <w:t xml:space="preserve"> J. (2015).</w:t>
      </w:r>
      <w:r w:rsidRPr="000A4190">
        <w:rPr>
          <w:rFonts w:ascii="Century Gothic" w:hAnsi="Century Gothic"/>
          <w:i/>
          <w:iCs/>
          <w:sz w:val="22"/>
          <w:szCs w:val="22"/>
        </w:rPr>
        <w:t xml:space="preserve"> La escuela habitada. Experiencias escolares, pensamiento crítico y transformación social en una región intercultural</w:t>
      </w:r>
      <w:r w:rsidRPr="000A4190">
        <w:rPr>
          <w:rFonts w:ascii="Century Gothic" w:hAnsi="Century Gothic"/>
          <w:sz w:val="22"/>
          <w:szCs w:val="22"/>
        </w:rPr>
        <w:t>. Tesis Doctoral. Universidad de Málaga.</w:t>
      </w:r>
    </w:p>
    <w:p w:rsidR="00771DBC" w:rsidRPr="000A4190" w:rsidRDefault="00783E6E" w:rsidP="000A4190">
      <w:pPr>
        <w:pStyle w:val="Puesto"/>
        <w:pBdr>
          <w:bottom w:val="none" w:sz="0" w:space="0" w:color="auto"/>
        </w:pBdr>
        <w:ind w:left="709" w:hanging="709"/>
        <w:jc w:val="both"/>
        <w:rPr>
          <w:rFonts w:eastAsia="Times New Roman"/>
          <w:color w:val="000000" w:themeColor="text1"/>
          <w:szCs w:val="22"/>
          <w:shd w:val="clear" w:color="auto" w:fill="FFFFFF"/>
          <w:lang w:val="en-US"/>
        </w:rPr>
      </w:pPr>
      <w:r>
        <w:rPr>
          <w:color w:val="000000" w:themeColor="text1"/>
          <w:szCs w:val="22"/>
        </w:rPr>
        <w:t xml:space="preserve">FERREIRO-GONZÁLEZ, M., AMORES, A., ESPADA-BELLIDO, E., ALIAÑO-GONZÁLEZ, M. J., VÁZQUEZ, M., VELASCO, A.,…, CEJUDO, C. </w:t>
      </w:r>
      <w:bookmarkStart w:id="0" w:name="_GoBack"/>
      <w:bookmarkEnd w:id="0"/>
      <w:r w:rsidR="00771DBC" w:rsidRPr="000A4190">
        <w:rPr>
          <w:color w:val="000000" w:themeColor="text1"/>
          <w:szCs w:val="22"/>
        </w:rPr>
        <w:t xml:space="preserve">(2019). </w:t>
      </w:r>
      <w:r w:rsidR="00771DBC" w:rsidRPr="0043029F">
        <w:rPr>
          <w:color w:val="000000" w:themeColor="text1"/>
          <w:szCs w:val="22"/>
          <w:lang w:val="en-GB"/>
        </w:rPr>
        <w:t xml:space="preserve">Escape Classroom: Can you solve a crime using the analytical process? </w:t>
      </w:r>
      <w:r w:rsidR="00771DBC" w:rsidRPr="0043029F">
        <w:rPr>
          <w:i/>
          <w:color w:val="000000" w:themeColor="text1"/>
          <w:szCs w:val="22"/>
          <w:lang w:val="en-GB"/>
        </w:rPr>
        <w:t>Journal of Chemical Education, 96</w:t>
      </w:r>
      <w:r w:rsidR="00771DBC" w:rsidRPr="0043029F">
        <w:rPr>
          <w:color w:val="000000" w:themeColor="text1"/>
          <w:szCs w:val="22"/>
          <w:lang w:val="en-GB"/>
        </w:rPr>
        <w:t xml:space="preserve">(2), 267-273. </w:t>
      </w:r>
      <w:r w:rsidR="00771DBC">
        <w:rPr>
          <w:color w:val="000000" w:themeColor="text1"/>
          <w:szCs w:val="22"/>
          <w:lang w:val="en-GB"/>
        </w:rPr>
        <w:t>DOI</w:t>
      </w:r>
      <w:r w:rsidR="00771DBC" w:rsidRPr="0043029F">
        <w:rPr>
          <w:color w:val="000000" w:themeColor="text1"/>
          <w:szCs w:val="22"/>
          <w:lang w:val="en-GB"/>
        </w:rPr>
        <w:t xml:space="preserve">: </w:t>
      </w:r>
      <w:r w:rsidR="00771DBC" w:rsidRPr="0043029F">
        <w:rPr>
          <w:rFonts w:eastAsia="Times New Roman"/>
          <w:color w:val="000000" w:themeColor="text1"/>
          <w:szCs w:val="22"/>
          <w:shd w:val="clear" w:color="auto" w:fill="FFFFFF"/>
          <w:lang w:val="en-GB"/>
        </w:rPr>
        <w:t>10.1021/acs.jchemed.8b00601</w:t>
      </w:r>
      <w:r w:rsidR="00771DBC">
        <w:rPr>
          <w:rFonts w:eastAsia="Times New Roman"/>
          <w:color w:val="000000" w:themeColor="text1"/>
          <w:szCs w:val="22"/>
          <w:shd w:val="clear" w:color="auto" w:fill="FFFFFF"/>
          <w:lang w:val="en-GB"/>
        </w:rPr>
        <w:t xml:space="preserve"> </w:t>
      </w:r>
      <w:r w:rsidR="00771DBC" w:rsidRPr="000A4190">
        <w:rPr>
          <w:rFonts w:eastAsia="Times New Roman"/>
          <w:color w:val="000000" w:themeColor="text1"/>
          <w:szCs w:val="22"/>
          <w:shd w:val="clear" w:color="auto" w:fill="FFFFFF"/>
          <w:lang w:val="en-US"/>
        </w:rPr>
        <w:t xml:space="preserve"> </w:t>
      </w:r>
    </w:p>
    <w:p w:rsidR="00771DBC" w:rsidRPr="000A4190" w:rsidRDefault="00771DBC" w:rsidP="000A4190">
      <w:pPr>
        <w:pStyle w:val="Puesto"/>
        <w:pBdr>
          <w:bottom w:val="none" w:sz="0" w:space="0" w:color="auto"/>
        </w:pBdr>
        <w:ind w:left="709" w:hanging="709"/>
        <w:jc w:val="both"/>
        <w:rPr>
          <w:rFonts w:eastAsia="Times New Roman" w:cs="Times New Roman"/>
          <w:szCs w:val="22"/>
          <w:lang w:eastAsia="es-ES_tradnl"/>
        </w:rPr>
      </w:pPr>
      <w:r w:rsidRPr="000A4190">
        <w:rPr>
          <w:rFonts w:eastAsia="Times New Roman" w:cs="Times New Roman"/>
          <w:szCs w:val="22"/>
          <w:lang w:val="en-US" w:eastAsia="es-ES_tradnl"/>
        </w:rPr>
        <w:t xml:space="preserve">GARCÍA, A. Y GUTIÉRREZ, R. (2013). </w:t>
      </w:r>
      <w:r w:rsidRPr="000A4190">
        <w:rPr>
          <w:rFonts w:eastAsia="Times New Roman" w:cs="Arial"/>
          <w:i/>
          <w:iCs/>
          <w:szCs w:val="22"/>
          <w:lang w:eastAsia="es-ES_tradnl"/>
        </w:rPr>
        <w:t xml:space="preserve">Diseño de una guía de ludificación de contenidos educativos en Entornos Virtuales de Aprendizaje (E.V.A.) </w:t>
      </w:r>
      <w:r w:rsidRPr="000A4190">
        <w:rPr>
          <w:rFonts w:eastAsia="Times New Roman" w:cs="Times New Roman"/>
          <w:szCs w:val="22"/>
          <w:lang w:eastAsia="es-ES_tradnl"/>
        </w:rPr>
        <w:t xml:space="preserve">(Tesis de maestría). Universidad de Salamanca, España. </w:t>
      </w:r>
    </w:p>
    <w:p w:rsidR="00771DBC" w:rsidRPr="000A4190" w:rsidRDefault="00771DBC" w:rsidP="000A4190">
      <w:pPr>
        <w:pStyle w:val="Puesto"/>
        <w:pBdr>
          <w:bottom w:val="none" w:sz="0" w:space="0" w:color="auto"/>
        </w:pBdr>
        <w:ind w:left="709" w:hanging="709"/>
        <w:jc w:val="both"/>
        <w:rPr>
          <w:iCs/>
          <w:szCs w:val="22"/>
        </w:rPr>
      </w:pPr>
      <w:r w:rsidRPr="000A4190">
        <w:rPr>
          <w:szCs w:val="22"/>
        </w:rPr>
        <w:t xml:space="preserve">GARCÍA, V.D. (2018). Desde una didáctica instrumental a una didáctica situada. </w:t>
      </w:r>
      <w:r w:rsidRPr="000A4190">
        <w:rPr>
          <w:i/>
          <w:szCs w:val="22"/>
        </w:rPr>
        <w:t xml:space="preserve">Revistas de </w:t>
      </w:r>
      <w:r w:rsidR="00F654D7">
        <w:rPr>
          <w:i/>
          <w:szCs w:val="22"/>
        </w:rPr>
        <w:t>E</w:t>
      </w:r>
      <w:r w:rsidRPr="000A4190">
        <w:rPr>
          <w:i/>
          <w:szCs w:val="22"/>
        </w:rPr>
        <w:t xml:space="preserve">studios y </w:t>
      </w:r>
      <w:r w:rsidR="00F654D7">
        <w:rPr>
          <w:i/>
          <w:szCs w:val="22"/>
        </w:rPr>
        <w:t>E</w:t>
      </w:r>
      <w:r w:rsidRPr="000A4190">
        <w:rPr>
          <w:i/>
          <w:szCs w:val="22"/>
        </w:rPr>
        <w:t xml:space="preserve">xperiencias en </w:t>
      </w:r>
      <w:r w:rsidR="00F654D7">
        <w:rPr>
          <w:i/>
          <w:szCs w:val="22"/>
        </w:rPr>
        <w:t>E</w:t>
      </w:r>
      <w:r w:rsidRPr="000A4190">
        <w:rPr>
          <w:i/>
          <w:szCs w:val="22"/>
        </w:rPr>
        <w:t>ducación, 17</w:t>
      </w:r>
      <w:r w:rsidRPr="000A4190">
        <w:rPr>
          <w:szCs w:val="22"/>
        </w:rPr>
        <w:t xml:space="preserve">(34), 129-138. </w:t>
      </w:r>
      <w:r>
        <w:rPr>
          <w:iCs/>
          <w:szCs w:val="22"/>
        </w:rPr>
        <w:t>DOI</w:t>
      </w:r>
      <w:r w:rsidRPr="000A4190">
        <w:rPr>
          <w:iCs/>
          <w:szCs w:val="22"/>
        </w:rPr>
        <w:t>: 10.21703/rexe.20181734vgarcia1</w:t>
      </w:r>
      <w:r>
        <w:rPr>
          <w:iCs/>
          <w:szCs w:val="22"/>
        </w:rPr>
        <w:t xml:space="preserve"> </w:t>
      </w:r>
      <w:r w:rsidRPr="000A4190">
        <w:rPr>
          <w:iCs/>
          <w:szCs w:val="22"/>
        </w:rPr>
        <w:t xml:space="preserve"> </w:t>
      </w:r>
    </w:p>
    <w:p w:rsidR="00771DBC" w:rsidRPr="000A4190" w:rsidRDefault="00771DBC" w:rsidP="000A4190">
      <w:pPr>
        <w:pStyle w:val="Puesto"/>
        <w:pBdr>
          <w:bottom w:val="none" w:sz="0" w:space="0" w:color="auto"/>
        </w:pBdr>
        <w:ind w:left="709" w:hanging="709"/>
        <w:jc w:val="both"/>
        <w:rPr>
          <w:color w:val="000000" w:themeColor="text1"/>
          <w:szCs w:val="22"/>
        </w:rPr>
      </w:pPr>
      <w:r w:rsidRPr="000A4190">
        <w:rPr>
          <w:color w:val="000000" w:themeColor="text1"/>
          <w:szCs w:val="22"/>
        </w:rPr>
        <w:t xml:space="preserve">GLOVER, I. (2013). </w:t>
      </w:r>
      <w:r w:rsidRPr="000A4190">
        <w:rPr>
          <w:color w:val="000000" w:themeColor="text1"/>
          <w:szCs w:val="22"/>
          <w:lang w:val="en-US"/>
        </w:rPr>
        <w:t xml:space="preserve">Play as you learn: gamification as a technique for motivating learners. En Herrington, J., Couros, A. y Irvine, V. (Eds.) </w:t>
      </w:r>
      <w:r w:rsidRPr="000A4190">
        <w:rPr>
          <w:i/>
          <w:color w:val="000000" w:themeColor="text1"/>
          <w:szCs w:val="22"/>
          <w:lang w:val="en-US"/>
        </w:rPr>
        <w:t>Proceedings of World Conference on Educational Multimedia, Hypermedia and Telecommunications 2013</w:t>
      </w:r>
      <w:r w:rsidRPr="000A4190">
        <w:rPr>
          <w:color w:val="000000" w:themeColor="text1"/>
          <w:szCs w:val="22"/>
          <w:lang w:val="en-US"/>
        </w:rPr>
        <w:t xml:space="preserve">. </w:t>
      </w:r>
      <w:r w:rsidRPr="000A4190">
        <w:rPr>
          <w:color w:val="000000" w:themeColor="text1"/>
          <w:szCs w:val="22"/>
        </w:rPr>
        <w:t xml:space="preserve">Chesapeake, VA. Recuperado de: </w:t>
      </w:r>
      <w:hyperlink r:id="rId24" w:history="1">
        <w:r w:rsidRPr="000A4190">
          <w:rPr>
            <w:rStyle w:val="Hipervnculo"/>
            <w:szCs w:val="22"/>
          </w:rPr>
          <w:t>https://shura.shu.ac.uk/7172/1/Glover_-_Play_As_You_Learn_-_proceeding_112246.pdf</w:t>
        </w:r>
      </w:hyperlink>
      <w:r w:rsidRPr="000A4190">
        <w:rPr>
          <w:color w:val="000000" w:themeColor="text1"/>
          <w:szCs w:val="22"/>
        </w:rPr>
        <w:t xml:space="preserve"> </w:t>
      </w:r>
    </w:p>
    <w:p w:rsidR="00771DBC" w:rsidRPr="000A4190" w:rsidRDefault="00771DBC" w:rsidP="000A4190">
      <w:pPr>
        <w:spacing w:line="360" w:lineRule="auto"/>
        <w:ind w:left="709" w:hanging="709"/>
        <w:jc w:val="both"/>
        <w:rPr>
          <w:rFonts w:ascii="Century Gothic" w:hAnsi="Century Gothic"/>
          <w:color w:val="000000" w:themeColor="text1"/>
          <w:sz w:val="22"/>
          <w:szCs w:val="22"/>
          <w:lang w:val="en-US"/>
        </w:rPr>
      </w:pPr>
      <w:r w:rsidRPr="000A4190">
        <w:rPr>
          <w:rFonts w:ascii="Century Gothic" w:hAnsi="Century Gothic"/>
          <w:color w:val="000000" w:themeColor="text1"/>
          <w:sz w:val="22"/>
          <w:szCs w:val="22"/>
          <w:lang w:val="en-US"/>
        </w:rPr>
        <w:t xml:space="preserve">GLOVER, I. (2013). Play as you learn: gamification as a technique for motivating learners. En Herrington, J., Couros, A. y Irvine, V. (Eds.) </w:t>
      </w:r>
      <w:r w:rsidRPr="000A4190">
        <w:rPr>
          <w:rFonts w:ascii="Century Gothic" w:hAnsi="Century Gothic"/>
          <w:i/>
          <w:color w:val="000000" w:themeColor="text1"/>
          <w:sz w:val="22"/>
          <w:szCs w:val="22"/>
          <w:lang w:val="en-US"/>
        </w:rPr>
        <w:t>Proceedings of World Conference on Educational Multimedia, Hypermedia and Telecommunications 2013</w:t>
      </w:r>
      <w:r w:rsidRPr="000A4190">
        <w:rPr>
          <w:rFonts w:ascii="Century Gothic" w:hAnsi="Century Gothic"/>
          <w:color w:val="000000" w:themeColor="text1"/>
          <w:sz w:val="22"/>
          <w:szCs w:val="22"/>
          <w:lang w:val="en-US"/>
        </w:rPr>
        <w:t>. Chesapeake, VA.</w:t>
      </w:r>
    </w:p>
    <w:p w:rsidR="00771DBC" w:rsidRPr="000A4190" w:rsidRDefault="00771DBC" w:rsidP="000A4190">
      <w:pPr>
        <w:pStyle w:val="Puesto"/>
        <w:pBdr>
          <w:bottom w:val="none" w:sz="0" w:space="0" w:color="auto"/>
        </w:pBdr>
        <w:ind w:left="709" w:hanging="709"/>
        <w:jc w:val="both"/>
        <w:rPr>
          <w:rFonts w:eastAsia="Times New Roman"/>
          <w:color w:val="000000"/>
          <w:szCs w:val="22"/>
          <w:shd w:val="clear" w:color="auto" w:fill="FFFFFF"/>
          <w:lang w:val="en-US"/>
        </w:rPr>
      </w:pPr>
      <w:r w:rsidRPr="000A4190">
        <w:rPr>
          <w:rFonts w:eastAsia="Times New Roman"/>
          <w:color w:val="000000"/>
          <w:szCs w:val="22"/>
          <w:shd w:val="clear" w:color="auto" w:fill="FFFFFF"/>
        </w:rPr>
        <w:t xml:space="preserve">GOOCH, D., VASALOU, A., BENTON, L. y KHALED, R. (2016). </w:t>
      </w:r>
      <w:r w:rsidRPr="000A4190">
        <w:rPr>
          <w:rFonts w:eastAsia="Times New Roman"/>
          <w:color w:val="000000"/>
          <w:szCs w:val="22"/>
          <w:shd w:val="clear" w:color="auto" w:fill="FFFFFF"/>
          <w:lang w:val="en-US"/>
        </w:rPr>
        <w:t>Using Gamification to Motivate Students with Dyslexia. </w:t>
      </w:r>
      <w:r w:rsidRPr="000A4190">
        <w:rPr>
          <w:rFonts w:eastAsia="Times New Roman"/>
          <w:i/>
          <w:iCs/>
          <w:color w:val="000000"/>
          <w:szCs w:val="22"/>
          <w:lang w:val="en-US"/>
        </w:rPr>
        <w:t>Proceedings of the 2016 CHI Conference On Human Factors In Computing Systems - CHI '16</w:t>
      </w:r>
      <w:r w:rsidRPr="000A4190">
        <w:rPr>
          <w:rFonts w:eastAsia="Times New Roman"/>
          <w:color w:val="000000"/>
          <w:szCs w:val="22"/>
          <w:shd w:val="clear" w:color="auto" w:fill="FFFFFF"/>
          <w:lang w:val="en-US"/>
        </w:rPr>
        <w:t xml:space="preserve">. </w:t>
      </w:r>
      <w:r>
        <w:rPr>
          <w:rFonts w:eastAsia="Times New Roman"/>
          <w:color w:val="000000"/>
          <w:szCs w:val="22"/>
          <w:shd w:val="clear" w:color="auto" w:fill="FFFFFF"/>
          <w:lang w:val="en-US"/>
        </w:rPr>
        <w:t>DOI</w:t>
      </w:r>
      <w:r w:rsidRPr="000A4190">
        <w:rPr>
          <w:rFonts w:eastAsia="Times New Roman"/>
          <w:color w:val="000000"/>
          <w:szCs w:val="22"/>
          <w:shd w:val="clear" w:color="auto" w:fill="FFFFFF"/>
          <w:lang w:val="en-US"/>
        </w:rPr>
        <w:t>: 10.1145/2858036.2858231</w:t>
      </w:r>
    </w:p>
    <w:p w:rsidR="00771DBC" w:rsidRPr="00476A71" w:rsidRDefault="00771DBC" w:rsidP="000A4190">
      <w:pPr>
        <w:spacing w:line="360" w:lineRule="auto"/>
        <w:ind w:left="709" w:hanging="709"/>
        <w:jc w:val="both"/>
        <w:rPr>
          <w:rFonts w:ascii="Century Gothic" w:hAnsi="Century Gothic"/>
          <w:color w:val="000000" w:themeColor="text1"/>
          <w:sz w:val="22"/>
        </w:rPr>
      </w:pPr>
      <w:r w:rsidRPr="000A4190">
        <w:rPr>
          <w:rFonts w:ascii="Century Gothic" w:hAnsi="Century Gothic"/>
          <w:color w:val="000000" w:themeColor="text1"/>
          <w:sz w:val="22"/>
        </w:rPr>
        <w:t xml:space="preserve">HAMARI, J., KOIVISTO, J., </w:t>
      </w:r>
      <w:r>
        <w:rPr>
          <w:rFonts w:ascii="Century Gothic" w:hAnsi="Century Gothic"/>
          <w:color w:val="000000" w:themeColor="text1"/>
          <w:sz w:val="22"/>
        </w:rPr>
        <w:t>y</w:t>
      </w:r>
      <w:r w:rsidRPr="000A4190">
        <w:rPr>
          <w:rFonts w:ascii="Century Gothic" w:hAnsi="Century Gothic"/>
          <w:color w:val="000000" w:themeColor="text1"/>
          <w:sz w:val="22"/>
        </w:rPr>
        <w:t xml:space="preserve"> SARSA, H. (2014) Does Gamification Work? – A Literature Review of Empirical Studies on Gamification. </w:t>
      </w:r>
      <w:r w:rsidRPr="000A4190">
        <w:rPr>
          <w:rFonts w:ascii="Century Gothic" w:hAnsi="Century Gothic"/>
          <w:i/>
          <w:color w:val="000000" w:themeColor="text1"/>
          <w:sz w:val="22"/>
        </w:rPr>
        <w:t>47th Hawaii Int. Conference on System Sciences</w:t>
      </w:r>
      <w:r w:rsidRPr="00476A71">
        <w:rPr>
          <w:rFonts w:ascii="Century Gothic" w:hAnsi="Century Gothic"/>
          <w:i/>
          <w:color w:val="000000" w:themeColor="text1"/>
          <w:sz w:val="22"/>
        </w:rPr>
        <w:t>,</w:t>
      </w:r>
      <w:r w:rsidRPr="000A4190">
        <w:rPr>
          <w:rFonts w:ascii="Century Gothic" w:hAnsi="Century Gothic"/>
          <w:color w:val="000000" w:themeColor="text1"/>
          <w:sz w:val="22"/>
        </w:rPr>
        <w:t xml:space="preserve"> 3025-3034. Hawaii, USA.</w:t>
      </w:r>
    </w:p>
    <w:p w:rsidR="00771DBC" w:rsidRPr="000A4190" w:rsidRDefault="00771DBC" w:rsidP="000A4190">
      <w:pPr>
        <w:pStyle w:val="Puesto"/>
        <w:pBdr>
          <w:bottom w:val="none" w:sz="0" w:space="0" w:color="auto"/>
        </w:pBdr>
        <w:ind w:left="709" w:hanging="709"/>
        <w:jc w:val="both"/>
        <w:rPr>
          <w:rFonts w:eastAsia="Times New Roman" w:cs="Times New Roman"/>
          <w:szCs w:val="22"/>
          <w:lang w:eastAsia="es-ES_tradnl"/>
        </w:rPr>
      </w:pPr>
      <w:r w:rsidRPr="000A4190">
        <w:rPr>
          <w:rFonts w:eastAsia="Times New Roman" w:cs="Times New Roman"/>
          <w:szCs w:val="22"/>
          <w:lang w:eastAsia="es-ES_tradnl"/>
        </w:rPr>
        <w:t xml:space="preserve">HERNÁNDEZ, I., ALVARADO, J.C, LUNA, S.M. (2015). Creatividad e innovación: competencias genéricas o transversales en la formación profesional. </w:t>
      </w:r>
      <w:r w:rsidRPr="000A4190">
        <w:rPr>
          <w:rFonts w:eastAsia="Times New Roman" w:cs="Arial"/>
          <w:i/>
          <w:iCs/>
          <w:szCs w:val="22"/>
          <w:lang w:eastAsia="es-ES_tradnl"/>
        </w:rPr>
        <w:t>Revista Virtual Universidad Católica del Norte, 44</w:t>
      </w:r>
      <w:r w:rsidRPr="000A4190">
        <w:rPr>
          <w:rFonts w:eastAsia="Times New Roman" w:cs="Times New Roman"/>
          <w:szCs w:val="22"/>
          <w:lang w:eastAsia="es-ES_tradnl"/>
        </w:rPr>
        <w:t xml:space="preserve">, 135-151. </w:t>
      </w:r>
    </w:p>
    <w:p w:rsidR="00771DBC" w:rsidRPr="000A4190" w:rsidRDefault="00771DBC" w:rsidP="000A4190">
      <w:pPr>
        <w:pStyle w:val="Puesto"/>
        <w:pBdr>
          <w:bottom w:val="none" w:sz="0" w:space="0" w:color="auto"/>
        </w:pBdr>
        <w:ind w:left="1416" w:hanging="1416"/>
        <w:jc w:val="both"/>
        <w:rPr>
          <w:iCs/>
          <w:szCs w:val="22"/>
        </w:rPr>
      </w:pPr>
      <w:r w:rsidRPr="000A4190">
        <w:rPr>
          <w:rFonts w:eastAsia="Times New Roman" w:cs="Times New Roman"/>
          <w:szCs w:val="22"/>
          <w:lang w:eastAsia="es-ES_tradnl"/>
        </w:rPr>
        <w:t xml:space="preserve">HUNICKE, R., LEBLANC, M., Y ZUBEK, R. (2004). </w:t>
      </w:r>
      <w:r w:rsidRPr="000A4190">
        <w:rPr>
          <w:rFonts w:eastAsia="Times New Roman" w:cs="Times New Roman"/>
          <w:szCs w:val="22"/>
          <w:lang w:val="en-US" w:eastAsia="es-ES_tradnl"/>
        </w:rPr>
        <w:t xml:space="preserve">MDA: A formal approach to game design and game research. En </w:t>
      </w:r>
      <w:r w:rsidRPr="000A4190">
        <w:rPr>
          <w:rFonts w:eastAsia="Times New Roman" w:cs="Times New Roman"/>
          <w:i/>
          <w:szCs w:val="22"/>
          <w:lang w:val="en-US" w:eastAsia="es-ES_tradnl"/>
        </w:rPr>
        <w:t xml:space="preserve">Proceedings of the AAAI Workshop on Challenges in Game AI (Vol. 4). </w:t>
      </w:r>
      <w:r w:rsidRPr="000A4190">
        <w:rPr>
          <w:rFonts w:eastAsia="Times New Roman" w:cs="Times New Roman"/>
          <w:szCs w:val="22"/>
          <w:lang w:eastAsia="es-ES_tradnl"/>
        </w:rPr>
        <w:t xml:space="preserve">Recuperado de: </w:t>
      </w:r>
      <w:hyperlink r:id="rId25" w:history="1">
        <w:r w:rsidRPr="000A4190">
          <w:rPr>
            <w:rStyle w:val="Hipervnculo"/>
            <w:rFonts w:eastAsia="Times New Roman" w:cs="Times New Roman"/>
            <w:szCs w:val="22"/>
            <w:lang w:eastAsia="es-ES_tradnl"/>
          </w:rPr>
          <w:t>http://users.cs.northwestern.edu/~hunicke/MDA.pdf</w:t>
        </w:r>
      </w:hyperlink>
      <w:r w:rsidRPr="000A4190">
        <w:rPr>
          <w:rFonts w:eastAsia="Times New Roman" w:cs="Times New Roman"/>
          <w:szCs w:val="22"/>
          <w:lang w:eastAsia="es-ES_tradnl"/>
        </w:rPr>
        <w:t xml:space="preserve"> </w:t>
      </w:r>
    </w:p>
    <w:p w:rsidR="00771DBC" w:rsidRPr="000A4190" w:rsidRDefault="00771DBC" w:rsidP="000A4190">
      <w:pPr>
        <w:spacing w:line="360" w:lineRule="auto"/>
        <w:ind w:left="709" w:hanging="709"/>
        <w:jc w:val="both"/>
        <w:rPr>
          <w:rFonts w:ascii="Century Gothic" w:hAnsi="Century Gothic"/>
          <w:sz w:val="22"/>
          <w:szCs w:val="22"/>
        </w:rPr>
      </w:pPr>
      <w:r w:rsidRPr="000A4190">
        <w:rPr>
          <w:rFonts w:ascii="Century Gothic" w:hAnsi="Century Gothic"/>
          <w:sz w:val="22"/>
          <w:szCs w:val="22"/>
          <w:shd w:val="clear" w:color="auto" w:fill="FFFFFF"/>
        </w:rPr>
        <w:t>KANCHANA, D.S., PATCHAINAYAGI, D.S. y RAJKUMAR, D.S. (2019). Empowering students to become effective learners through activity based learning.</w:t>
      </w:r>
      <w:r w:rsidRPr="000A4190">
        <w:rPr>
          <w:rStyle w:val="apple-converted-space"/>
          <w:rFonts w:ascii="Century Gothic" w:hAnsi="Century Gothic"/>
          <w:sz w:val="22"/>
          <w:szCs w:val="22"/>
          <w:shd w:val="clear" w:color="auto" w:fill="FFFFFF"/>
        </w:rPr>
        <w:t> </w:t>
      </w:r>
      <w:r w:rsidRPr="000A4190">
        <w:rPr>
          <w:rFonts w:ascii="Century Gothic" w:hAnsi="Century Gothic"/>
          <w:i/>
          <w:iCs/>
          <w:sz w:val="22"/>
          <w:szCs w:val="22"/>
        </w:rPr>
        <w:t>Humanities &amp; Social Sciences Reviews</w:t>
      </w:r>
      <w:r w:rsidRPr="000A4190">
        <w:rPr>
          <w:rFonts w:ascii="Century Gothic" w:hAnsi="Century Gothic"/>
          <w:sz w:val="22"/>
          <w:szCs w:val="22"/>
          <w:shd w:val="clear" w:color="auto" w:fill="FFFFFF"/>
        </w:rPr>
        <w:t>,</w:t>
      </w:r>
      <w:r w:rsidRPr="000A4190">
        <w:rPr>
          <w:rStyle w:val="apple-converted-space"/>
          <w:rFonts w:ascii="Century Gothic" w:hAnsi="Century Gothic"/>
          <w:sz w:val="22"/>
          <w:szCs w:val="22"/>
          <w:shd w:val="clear" w:color="auto" w:fill="FFFFFF"/>
        </w:rPr>
        <w:t> </w:t>
      </w:r>
      <w:r w:rsidRPr="000A4190">
        <w:rPr>
          <w:rFonts w:ascii="Century Gothic" w:hAnsi="Century Gothic"/>
          <w:i/>
          <w:iCs/>
          <w:sz w:val="22"/>
          <w:szCs w:val="22"/>
        </w:rPr>
        <w:t>7</w:t>
      </w:r>
      <w:r w:rsidRPr="000A4190">
        <w:rPr>
          <w:rFonts w:ascii="Century Gothic" w:hAnsi="Century Gothic"/>
          <w:sz w:val="22"/>
          <w:szCs w:val="22"/>
          <w:shd w:val="clear" w:color="auto" w:fill="FFFFFF"/>
        </w:rPr>
        <w:t xml:space="preserve">(5), 57-62. </w:t>
      </w:r>
      <w:r>
        <w:rPr>
          <w:rFonts w:ascii="Century Gothic" w:hAnsi="Century Gothic"/>
          <w:sz w:val="22"/>
          <w:szCs w:val="22"/>
          <w:shd w:val="clear" w:color="auto" w:fill="FFFFFF"/>
        </w:rPr>
        <w:t xml:space="preserve">DOI: </w:t>
      </w:r>
      <w:hyperlink r:id="rId26" w:history="1">
        <w:r w:rsidRPr="00F32575">
          <w:rPr>
            <w:rStyle w:val="Hipervnculo"/>
            <w:rFonts w:ascii="Century Gothic" w:hAnsi="Century Gothic"/>
            <w:sz w:val="22"/>
            <w:szCs w:val="22"/>
            <w:shd w:val="clear" w:color="auto" w:fill="FFFFFF"/>
          </w:rPr>
          <w:t>https://doi.org/10.18510/hssr.2019.757</w:t>
        </w:r>
      </w:hyperlink>
      <w:r w:rsidRPr="000A4190">
        <w:rPr>
          <w:rFonts w:ascii="Century Gothic" w:hAnsi="Century Gothic"/>
          <w:sz w:val="22"/>
          <w:szCs w:val="22"/>
          <w:shd w:val="clear" w:color="auto" w:fill="FFFFFF"/>
        </w:rPr>
        <w:t xml:space="preserve"> </w:t>
      </w:r>
    </w:p>
    <w:p w:rsidR="00771DBC" w:rsidRPr="000A4190" w:rsidRDefault="00771DBC" w:rsidP="000A4190">
      <w:pPr>
        <w:pStyle w:val="Puesto"/>
        <w:pBdr>
          <w:bottom w:val="none" w:sz="0" w:space="0" w:color="auto"/>
        </w:pBdr>
        <w:ind w:left="709" w:hanging="709"/>
        <w:jc w:val="both"/>
        <w:rPr>
          <w:color w:val="000000" w:themeColor="text1"/>
          <w:szCs w:val="22"/>
          <w:lang w:val="en-GB"/>
        </w:rPr>
      </w:pPr>
      <w:r w:rsidRPr="000A4190">
        <w:rPr>
          <w:color w:val="000000" w:themeColor="text1"/>
          <w:szCs w:val="22"/>
        </w:rPr>
        <w:t xml:space="preserve">KAPP, K. (2012). </w:t>
      </w:r>
      <w:r w:rsidRPr="000A4190">
        <w:rPr>
          <w:i/>
          <w:color w:val="000000" w:themeColor="text1"/>
          <w:szCs w:val="22"/>
          <w:lang w:val="en-GB"/>
        </w:rPr>
        <w:t>The gamification of Learning and Instruction Game-Based Methods and Strategies for Training and Education.</w:t>
      </w:r>
      <w:r w:rsidRPr="000A4190">
        <w:rPr>
          <w:color w:val="000000" w:themeColor="text1"/>
          <w:szCs w:val="22"/>
          <w:lang w:val="en-GB"/>
        </w:rPr>
        <w:t xml:space="preserve"> New Jersey, EEUU: John Wiley y Sons.</w:t>
      </w:r>
    </w:p>
    <w:p w:rsidR="00771DBC" w:rsidRPr="0043029F" w:rsidRDefault="00771DBC" w:rsidP="0043029F">
      <w:pPr>
        <w:pStyle w:val="Puesto"/>
        <w:pBdr>
          <w:bottom w:val="none" w:sz="0" w:space="0" w:color="auto"/>
        </w:pBdr>
        <w:ind w:left="709" w:hanging="709"/>
        <w:jc w:val="both"/>
        <w:rPr>
          <w:color w:val="000000" w:themeColor="text1"/>
          <w:szCs w:val="22"/>
        </w:rPr>
      </w:pPr>
      <w:r w:rsidRPr="000A4190">
        <w:rPr>
          <w:color w:val="000000" w:themeColor="text1"/>
          <w:szCs w:val="22"/>
          <w:lang w:val="en-GB"/>
        </w:rPr>
        <w:t xml:space="preserve">KIRILLOVA, A., VINICHENKOA, M., MELNICHUKA, A., MELNICHUKA, Y. y VINOGRADOVAA, M. (2016). </w:t>
      </w:r>
      <w:r w:rsidRPr="000A4190">
        <w:rPr>
          <w:color w:val="000000" w:themeColor="text1"/>
          <w:szCs w:val="22"/>
          <w:lang w:val="en-US"/>
        </w:rPr>
        <w:t xml:space="preserve">Improvement in the Learning Environment through Gamification of the Educational Process. </w:t>
      </w:r>
      <w:r w:rsidRPr="000A4190">
        <w:rPr>
          <w:i/>
          <w:color w:val="000000" w:themeColor="text1"/>
          <w:szCs w:val="22"/>
        </w:rPr>
        <w:t>International Electronic Journal of Mathematics Education, 11</w:t>
      </w:r>
      <w:r w:rsidRPr="000A4190">
        <w:rPr>
          <w:color w:val="000000" w:themeColor="text1"/>
          <w:szCs w:val="22"/>
        </w:rPr>
        <w:t>(7), 2071-2085.</w:t>
      </w:r>
    </w:p>
    <w:p w:rsidR="00771DBC" w:rsidRPr="000A4190" w:rsidRDefault="00771DBC" w:rsidP="000A4190">
      <w:pPr>
        <w:spacing w:line="360" w:lineRule="auto"/>
        <w:ind w:left="709" w:hanging="709"/>
        <w:jc w:val="both"/>
        <w:rPr>
          <w:rFonts w:ascii="Century Gothic" w:hAnsi="Century Gothic" w:cs="Arial"/>
          <w:color w:val="333333"/>
          <w:sz w:val="22"/>
          <w:szCs w:val="22"/>
        </w:rPr>
      </w:pPr>
      <w:r w:rsidRPr="000A4190">
        <w:rPr>
          <w:rFonts w:ascii="Century Gothic" w:hAnsi="Century Gothic"/>
          <w:sz w:val="22"/>
          <w:szCs w:val="22"/>
        </w:rPr>
        <w:t>LEE, J. J. y HAMMER</w:t>
      </w:r>
      <w:r w:rsidRPr="00812035">
        <w:rPr>
          <w:rFonts w:ascii="Century Gothic" w:hAnsi="Century Gothic"/>
          <w:sz w:val="22"/>
          <w:szCs w:val="22"/>
        </w:rPr>
        <w:t xml:space="preserve">, J. (2011). Gamification in Education: What, How, Why Bother? </w:t>
      </w:r>
      <w:r w:rsidRPr="00812035">
        <w:rPr>
          <w:rFonts w:ascii="Century Gothic" w:hAnsi="Century Gothic"/>
          <w:i/>
          <w:sz w:val="22"/>
          <w:szCs w:val="22"/>
        </w:rPr>
        <w:t>Academic Exchange Quarterly, 15</w:t>
      </w:r>
      <w:r w:rsidRPr="00812035">
        <w:rPr>
          <w:rFonts w:ascii="Century Gothic" w:hAnsi="Century Gothic"/>
          <w:sz w:val="22"/>
          <w:szCs w:val="22"/>
        </w:rPr>
        <w:t>(2)</w:t>
      </w:r>
    </w:p>
    <w:p w:rsidR="00771DBC" w:rsidRPr="000A4190" w:rsidRDefault="00771DBC" w:rsidP="000A4190">
      <w:pPr>
        <w:spacing w:line="360" w:lineRule="auto"/>
        <w:ind w:left="709" w:hanging="709"/>
        <w:jc w:val="both"/>
        <w:rPr>
          <w:rFonts w:ascii="Century Gothic" w:hAnsi="Century Gothic"/>
          <w:iCs/>
          <w:sz w:val="22"/>
          <w:szCs w:val="22"/>
        </w:rPr>
      </w:pPr>
      <w:r w:rsidRPr="000A4190">
        <w:rPr>
          <w:rFonts w:ascii="Century Gothic" w:hAnsi="Century Gothic"/>
          <w:sz w:val="22"/>
          <w:szCs w:val="22"/>
        </w:rPr>
        <w:t xml:space="preserve">LEITE, A. E. (2011). </w:t>
      </w:r>
      <w:r w:rsidRPr="000A4190">
        <w:rPr>
          <w:rFonts w:ascii="Century Gothic" w:eastAsia="Meiryo UI" w:hAnsi="Century Gothic"/>
          <w:i/>
          <w:sz w:val="22"/>
          <w:szCs w:val="22"/>
        </w:rPr>
        <w:t xml:space="preserve">Historias de vida de maestros y maestras. La interminable construcción de las identidades: Vida Personal, Trabajo y Desarrollo Profesional. </w:t>
      </w:r>
      <w:r w:rsidRPr="000A4190">
        <w:rPr>
          <w:rFonts w:ascii="Century Gothic" w:eastAsia="Meiryo UI" w:hAnsi="Century Gothic"/>
          <w:iCs/>
          <w:sz w:val="22"/>
          <w:szCs w:val="22"/>
        </w:rPr>
        <w:t>Tesis Doctoral. Universidad de Málaga.</w:t>
      </w:r>
    </w:p>
    <w:p w:rsidR="00771DBC" w:rsidRPr="000A4190" w:rsidRDefault="00771DBC" w:rsidP="000A4190">
      <w:pPr>
        <w:pStyle w:val="Puesto"/>
        <w:pBdr>
          <w:bottom w:val="none" w:sz="0" w:space="0" w:color="auto"/>
        </w:pBdr>
        <w:ind w:left="709" w:hanging="709"/>
        <w:jc w:val="both"/>
        <w:rPr>
          <w:rFonts w:eastAsiaTheme="minorHAnsi" w:cstheme="minorBidi"/>
          <w:color w:val="000000"/>
          <w:spacing w:val="0"/>
          <w:kern w:val="0"/>
          <w:szCs w:val="22"/>
        </w:rPr>
      </w:pPr>
      <w:r w:rsidRPr="000A4190">
        <w:rPr>
          <w:rFonts w:eastAsiaTheme="minorHAnsi" w:cstheme="minorBidi"/>
          <w:color w:val="000000"/>
          <w:spacing w:val="0"/>
          <w:kern w:val="0"/>
          <w:szCs w:val="22"/>
        </w:rPr>
        <w:t>Ley Orgánica 8/2013, de 9 de diciembre, para la Mejora de la Calidad Educativa (LOMCE). Boletín Oficial del Estado (BOE), España, 10 de diciembre de 2013.</w:t>
      </w:r>
    </w:p>
    <w:p w:rsidR="00771DBC" w:rsidRPr="000A4190" w:rsidRDefault="00771DBC" w:rsidP="000A4190">
      <w:pPr>
        <w:pStyle w:val="Puesto"/>
        <w:pBdr>
          <w:bottom w:val="none" w:sz="0" w:space="0" w:color="auto"/>
        </w:pBdr>
        <w:ind w:left="709" w:hanging="709"/>
        <w:jc w:val="both"/>
        <w:rPr>
          <w:rFonts w:eastAsia="Times New Roman" w:cs="Times New Roman"/>
          <w:color w:val="000000" w:themeColor="text1"/>
          <w:szCs w:val="22"/>
          <w:lang w:eastAsia="es-ES_tradnl"/>
        </w:rPr>
      </w:pPr>
      <w:r w:rsidRPr="000A4190">
        <w:rPr>
          <w:rFonts w:eastAsia="Times New Roman" w:cs="Times New Roman"/>
          <w:color w:val="000000" w:themeColor="text1"/>
          <w:szCs w:val="22"/>
          <w:lang w:eastAsia="es-ES_tradnl"/>
        </w:rPr>
        <w:t xml:space="preserve">MARCZEWSKI, A. (2015). </w:t>
      </w:r>
      <w:r w:rsidRPr="000A4190">
        <w:rPr>
          <w:rFonts w:eastAsia="Times New Roman" w:cs="Arial"/>
          <w:i/>
          <w:iCs/>
          <w:color w:val="000000" w:themeColor="text1"/>
          <w:szCs w:val="22"/>
          <w:lang w:val="en-US" w:eastAsia="es-ES_tradnl"/>
        </w:rPr>
        <w:t xml:space="preserve">Even ninja monkeys like to play: Gamification, game thinking and motivational design. </w:t>
      </w:r>
      <w:r w:rsidRPr="000A4190">
        <w:rPr>
          <w:rFonts w:eastAsia="Times New Roman" w:cs="Times New Roman"/>
          <w:color w:val="000000" w:themeColor="text1"/>
          <w:szCs w:val="22"/>
          <w:lang w:eastAsia="es-ES_tradnl"/>
        </w:rPr>
        <w:t xml:space="preserve">United Kingdom: CreateSpace Independent Publishing Platform. </w:t>
      </w:r>
    </w:p>
    <w:p w:rsidR="00771DBC" w:rsidRDefault="00771DBC" w:rsidP="000A4190">
      <w:pPr>
        <w:spacing w:line="360" w:lineRule="auto"/>
        <w:ind w:left="709" w:hanging="709"/>
        <w:jc w:val="both"/>
        <w:rPr>
          <w:color w:val="333333"/>
          <w:spacing w:val="4"/>
          <w:sz w:val="22"/>
        </w:rPr>
      </w:pPr>
      <w:r w:rsidRPr="000A4190">
        <w:rPr>
          <w:rFonts w:ascii="Century Gothic" w:hAnsi="Century Gothic"/>
          <w:color w:val="000000" w:themeColor="text1"/>
          <w:spacing w:val="4"/>
          <w:sz w:val="22"/>
          <w:szCs w:val="22"/>
        </w:rPr>
        <w:t>NAH F.FH., TELAPROLU V.R., RALLAPALLI S. y VENKATA P.R. (</w:t>
      </w:r>
      <w:r w:rsidRPr="00F02EED">
        <w:rPr>
          <w:rFonts w:ascii="Century Gothic" w:hAnsi="Century Gothic"/>
          <w:color w:val="000000" w:themeColor="text1"/>
          <w:spacing w:val="4"/>
          <w:sz w:val="22"/>
          <w:szCs w:val="22"/>
        </w:rPr>
        <w:t>2013) Gamification of Education Using Computer Games. In: Yamamoto S. (</w:t>
      </w:r>
      <w:r w:rsidRPr="000A4190">
        <w:rPr>
          <w:rFonts w:ascii="Century Gothic" w:hAnsi="Century Gothic"/>
          <w:color w:val="000000" w:themeColor="text1"/>
          <w:spacing w:val="4"/>
          <w:sz w:val="22"/>
          <w:szCs w:val="22"/>
        </w:rPr>
        <w:t>E</w:t>
      </w:r>
      <w:r w:rsidRPr="00F02EED">
        <w:rPr>
          <w:rFonts w:ascii="Century Gothic" w:hAnsi="Century Gothic"/>
          <w:color w:val="000000" w:themeColor="text1"/>
          <w:spacing w:val="4"/>
          <w:sz w:val="22"/>
          <w:szCs w:val="22"/>
        </w:rPr>
        <w:t>ds)</w:t>
      </w:r>
      <w:r w:rsidRPr="000A4190">
        <w:rPr>
          <w:rFonts w:ascii="Century Gothic" w:hAnsi="Century Gothic"/>
          <w:color w:val="000000" w:themeColor="text1"/>
          <w:spacing w:val="4"/>
          <w:sz w:val="22"/>
          <w:szCs w:val="22"/>
        </w:rPr>
        <w:t>.</w:t>
      </w:r>
      <w:r w:rsidRPr="00F02EED">
        <w:rPr>
          <w:rFonts w:ascii="Century Gothic" w:hAnsi="Century Gothic"/>
          <w:color w:val="000000" w:themeColor="text1"/>
          <w:spacing w:val="4"/>
          <w:sz w:val="22"/>
          <w:szCs w:val="22"/>
        </w:rPr>
        <w:t xml:space="preserve"> </w:t>
      </w:r>
      <w:r w:rsidRPr="00F02EED">
        <w:rPr>
          <w:rFonts w:ascii="Century Gothic" w:hAnsi="Century Gothic"/>
          <w:i/>
          <w:color w:val="000000" w:themeColor="text1"/>
          <w:spacing w:val="4"/>
          <w:sz w:val="22"/>
          <w:szCs w:val="22"/>
        </w:rPr>
        <w:t>Human Interface and the Management of Information. Information and Interaction for Learning, Culture, Collaboration and Business. HIMI 2013. Lecture Notes in Computer Science, 8018</w:t>
      </w:r>
      <w:r w:rsidRPr="00F02EED">
        <w:rPr>
          <w:rFonts w:ascii="Century Gothic" w:hAnsi="Century Gothic"/>
          <w:color w:val="000000" w:themeColor="text1"/>
          <w:spacing w:val="4"/>
          <w:sz w:val="22"/>
          <w:szCs w:val="22"/>
        </w:rPr>
        <w:t>. Springer, Berlin</w:t>
      </w:r>
      <w:r w:rsidRPr="000A4190">
        <w:rPr>
          <w:rFonts w:ascii="Century Gothic" w:hAnsi="Century Gothic"/>
          <w:color w:val="000000" w:themeColor="text1"/>
          <w:spacing w:val="4"/>
          <w:sz w:val="22"/>
          <w:szCs w:val="22"/>
        </w:rPr>
        <w:t xml:space="preserve">. </w:t>
      </w:r>
      <w:r>
        <w:rPr>
          <w:rFonts w:ascii="Century Gothic" w:hAnsi="Century Gothic"/>
          <w:color w:val="000000" w:themeColor="text1"/>
          <w:spacing w:val="4"/>
          <w:sz w:val="22"/>
          <w:szCs w:val="22"/>
        </w:rPr>
        <w:t xml:space="preserve">DOI: </w:t>
      </w:r>
      <w:hyperlink r:id="rId27" w:history="1">
        <w:r w:rsidRPr="00F02EED">
          <w:rPr>
            <w:rStyle w:val="Hipervnculo"/>
            <w:rFonts w:ascii="Century Gothic" w:hAnsi="Century Gothic"/>
            <w:spacing w:val="4"/>
            <w:sz w:val="22"/>
            <w:szCs w:val="22"/>
          </w:rPr>
          <w:t>https://doi.org/10.1007/978-3-642-39226-9_12</w:t>
        </w:r>
      </w:hyperlink>
      <w:r w:rsidRPr="000A4190">
        <w:rPr>
          <w:rFonts w:ascii="Century Gothic" w:hAnsi="Century Gothic"/>
          <w:color w:val="333333"/>
          <w:spacing w:val="4"/>
          <w:sz w:val="22"/>
          <w:szCs w:val="22"/>
        </w:rPr>
        <w:t xml:space="preserve"> </w:t>
      </w:r>
    </w:p>
    <w:p w:rsidR="00771DBC" w:rsidRPr="00F9180A" w:rsidRDefault="00771DBC" w:rsidP="00F9180A">
      <w:pPr>
        <w:spacing w:line="360" w:lineRule="auto"/>
        <w:ind w:left="709" w:hanging="709"/>
        <w:jc w:val="both"/>
        <w:rPr>
          <w:rFonts w:ascii="Century Gothic" w:hAnsi="Century Gothic"/>
          <w:color w:val="000000" w:themeColor="text1"/>
          <w:sz w:val="21"/>
        </w:rPr>
      </w:pPr>
      <w:r w:rsidRPr="00F9180A">
        <w:rPr>
          <w:rFonts w:ascii="Century Gothic" w:hAnsi="Century Gothic"/>
          <w:color w:val="000000" w:themeColor="text1"/>
          <w:sz w:val="22"/>
          <w:lang w:val="en-US"/>
        </w:rPr>
        <w:t xml:space="preserve">NICHOLSON, S. (2018). Creating Engaging Escape Rooms for the Classroom. </w:t>
      </w:r>
      <w:r w:rsidRPr="00F9180A">
        <w:rPr>
          <w:rFonts w:ascii="Century Gothic" w:hAnsi="Century Gothic"/>
          <w:i/>
          <w:color w:val="000000" w:themeColor="text1"/>
          <w:sz w:val="22"/>
        </w:rPr>
        <w:t>Childhood Education, 94</w:t>
      </w:r>
      <w:r w:rsidRPr="00F9180A">
        <w:rPr>
          <w:rFonts w:ascii="Century Gothic" w:hAnsi="Century Gothic"/>
          <w:color w:val="000000" w:themeColor="text1"/>
          <w:sz w:val="22"/>
        </w:rPr>
        <w:t>(1), 44-49. DOI: 10.1080/00094056.2018.1420363</w:t>
      </w:r>
    </w:p>
    <w:p w:rsidR="00771DBC" w:rsidRPr="000A4190" w:rsidRDefault="00771DBC" w:rsidP="000A4190">
      <w:pPr>
        <w:pStyle w:val="Puesto"/>
        <w:pBdr>
          <w:bottom w:val="none" w:sz="0" w:space="0" w:color="auto"/>
        </w:pBdr>
        <w:ind w:left="709" w:hanging="709"/>
        <w:jc w:val="both"/>
        <w:rPr>
          <w:rFonts w:eastAsia="Times New Roman" w:cs="Times New Roman"/>
          <w:color w:val="6DAA1C"/>
          <w:szCs w:val="22"/>
          <w:lang w:eastAsia="es-ES_tradnl"/>
        </w:rPr>
      </w:pPr>
      <w:r w:rsidRPr="000A4190">
        <w:rPr>
          <w:rFonts w:eastAsia="Times New Roman" w:cs="Times New Roman"/>
          <w:szCs w:val="22"/>
          <w:lang w:val="en-US" w:eastAsia="es-ES_tradnl"/>
        </w:rPr>
        <w:t xml:space="preserve">NIX, I., HALL, M. Y BAKER, K. (2012). </w:t>
      </w:r>
      <w:r w:rsidRPr="000A4190">
        <w:rPr>
          <w:rFonts w:eastAsia="Times New Roman" w:cs="Arial"/>
          <w:i/>
          <w:iCs/>
          <w:szCs w:val="22"/>
          <w:lang w:val="en-US" w:eastAsia="es-ES_tradnl"/>
        </w:rPr>
        <w:t>Why bother? Learner perceptions of digital literacy skills development – learning design implications</w:t>
      </w:r>
      <w:r w:rsidRPr="000A4190">
        <w:rPr>
          <w:rFonts w:eastAsia="Times New Roman" w:cs="Times New Roman"/>
          <w:szCs w:val="22"/>
          <w:lang w:val="en-US" w:eastAsia="es-ES_tradnl"/>
        </w:rPr>
        <w:t xml:space="preserve">. En 11th European Conference on e- Learning ECEL – 2012. University of Groningen, The Netherlands. </w:t>
      </w:r>
      <w:r w:rsidRPr="000A4190">
        <w:rPr>
          <w:rFonts w:eastAsia="Times New Roman" w:cs="Times New Roman"/>
          <w:szCs w:val="22"/>
          <w:lang w:eastAsia="es-ES_tradnl"/>
        </w:rPr>
        <w:t xml:space="preserve">Recuperado de: </w:t>
      </w:r>
      <w:r w:rsidRPr="000A4190">
        <w:rPr>
          <w:rFonts w:eastAsia="Times New Roman" w:cs="Times New Roman"/>
          <w:color w:val="6DAA1C"/>
          <w:szCs w:val="22"/>
          <w:lang w:eastAsia="es-ES_tradnl"/>
        </w:rPr>
        <w:t xml:space="preserve">http://oro.open.ac.uk/35581/ </w:t>
      </w:r>
    </w:p>
    <w:p w:rsidR="00771DBC" w:rsidRPr="000A4190" w:rsidRDefault="00771DBC" w:rsidP="000A4190">
      <w:pPr>
        <w:spacing w:line="360" w:lineRule="auto"/>
        <w:ind w:left="709" w:hanging="709"/>
        <w:jc w:val="both"/>
        <w:rPr>
          <w:rFonts w:ascii="Century Gothic" w:hAnsi="Century Gothic"/>
          <w:color w:val="000000" w:themeColor="text1"/>
          <w:sz w:val="22"/>
          <w:szCs w:val="22"/>
        </w:rPr>
      </w:pPr>
      <w:r w:rsidRPr="000A4190">
        <w:rPr>
          <w:rFonts w:ascii="Century Gothic" w:hAnsi="Century Gothic"/>
          <w:color w:val="000000" w:themeColor="text1"/>
          <w:sz w:val="22"/>
          <w:szCs w:val="22"/>
        </w:rPr>
        <w:t xml:space="preserve">PAREJA, J.A., FERNÁNDEZ, M. y FUENTES, J. (2019). Innovación metodológica en el máster profesionalizador de formación del profesorado: Aprendizaje basado en proyectos desde la interdisciplinariedad. </w:t>
      </w:r>
      <w:r w:rsidRPr="000A4190">
        <w:rPr>
          <w:rFonts w:ascii="Century Gothic" w:hAnsi="Century Gothic"/>
          <w:i/>
          <w:color w:val="000000" w:themeColor="text1"/>
          <w:sz w:val="22"/>
          <w:szCs w:val="22"/>
        </w:rPr>
        <w:t xml:space="preserve">Profesorado. Revista de </w:t>
      </w:r>
      <w:r w:rsidR="00F654D7">
        <w:rPr>
          <w:rFonts w:ascii="Century Gothic" w:hAnsi="Century Gothic"/>
          <w:i/>
          <w:color w:val="000000" w:themeColor="text1"/>
          <w:sz w:val="22"/>
          <w:szCs w:val="22"/>
        </w:rPr>
        <w:t>C</w:t>
      </w:r>
      <w:r w:rsidRPr="000A4190">
        <w:rPr>
          <w:rFonts w:ascii="Century Gothic" w:hAnsi="Century Gothic"/>
          <w:i/>
          <w:color w:val="000000" w:themeColor="text1"/>
          <w:sz w:val="22"/>
          <w:szCs w:val="22"/>
        </w:rPr>
        <w:t xml:space="preserve">urrículum y </w:t>
      </w:r>
      <w:r w:rsidR="00F654D7">
        <w:rPr>
          <w:rFonts w:ascii="Century Gothic" w:hAnsi="Century Gothic"/>
          <w:i/>
          <w:color w:val="000000" w:themeColor="text1"/>
          <w:sz w:val="22"/>
          <w:szCs w:val="22"/>
        </w:rPr>
        <w:t>F</w:t>
      </w:r>
      <w:r w:rsidRPr="000A4190">
        <w:rPr>
          <w:rFonts w:ascii="Century Gothic" w:hAnsi="Century Gothic"/>
          <w:i/>
          <w:color w:val="000000" w:themeColor="text1"/>
          <w:sz w:val="22"/>
          <w:szCs w:val="22"/>
        </w:rPr>
        <w:t xml:space="preserve">ormación del </w:t>
      </w:r>
      <w:r w:rsidR="00F654D7">
        <w:rPr>
          <w:rFonts w:ascii="Century Gothic" w:hAnsi="Century Gothic"/>
          <w:i/>
          <w:color w:val="000000" w:themeColor="text1"/>
          <w:sz w:val="22"/>
          <w:szCs w:val="22"/>
        </w:rPr>
        <w:t>P</w:t>
      </w:r>
      <w:r w:rsidRPr="000A4190">
        <w:rPr>
          <w:rFonts w:ascii="Century Gothic" w:hAnsi="Century Gothic"/>
          <w:i/>
          <w:color w:val="000000" w:themeColor="text1"/>
          <w:sz w:val="22"/>
          <w:szCs w:val="22"/>
        </w:rPr>
        <w:t>rofesorado, 23</w:t>
      </w:r>
      <w:r w:rsidRPr="000A4190">
        <w:rPr>
          <w:rFonts w:ascii="Century Gothic" w:hAnsi="Century Gothic"/>
          <w:color w:val="000000" w:themeColor="text1"/>
          <w:sz w:val="22"/>
          <w:szCs w:val="22"/>
        </w:rPr>
        <w:t xml:space="preserve">(3), 113-128. </w:t>
      </w:r>
      <w:r>
        <w:rPr>
          <w:rFonts w:ascii="Century Gothic" w:hAnsi="Century Gothic"/>
          <w:color w:val="000000" w:themeColor="text1"/>
          <w:sz w:val="22"/>
          <w:szCs w:val="22"/>
        </w:rPr>
        <w:t>DOI</w:t>
      </w:r>
      <w:r w:rsidRPr="000A4190">
        <w:rPr>
          <w:rFonts w:ascii="Century Gothic" w:hAnsi="Century Gothic"/>
          <w:color w:val="000000" w:themeColor="text1"/>
          <w:sz w:val="22"/>
          <w:szCs w:val="22"/>
        </w:rPr>
        <w:t>: 10.30827/profesorado.v23i3.9497</w:t>
      </w:r>
    </w:p>
    <w:p w:rsidR="00771DBC" w:rsidRPr="00F9180A" w:rsidRDefault="00771DBC" w:rsidP="00F9180A">
      <w:pPr>
        <w:spacing w:line="360" w:lineRule="auto"/>
        <w:ind w:left="709" w:hanging="709"/>
        <w:jc w:val="both"/>
        <w:rPr>
          <w:rFonts w:ascii="Century Gothic" w:hAnsi="Century Gothic"/>
          <w:color w:val="000000" w:themeColor="text1"/>
          <w:sz w:val="22"/>
        </w:rPr>
      </w:pPr>
      <w:r>
        <w:rPr>
          <w:rFonts w:ascii="Century Gothic" w:hAnsi="Century Gothic"/>
          <w:color w:val="000000" w:themeColor="text1"/>
          <w:sz w:val="22"/>
        </w:rPr>
        <w:t>POMATA</w:t>
      </w:r>
      <w:r w:rsidRPr="00F9180A">
        <w:rPr>
          <w:rFonts w:ascii="Century Gothic" w:hAnsi="Century Gothic"/>
          <w:color w:val="000000" w:themeColor="text1"/>
          <w:sz w:val="22"/>
        </w:rPr>
        <w:t xml:space="preserve">, J. y </w:t>
      </w:r>
      <w:r>
        <w:rPr>
          <w:rFonts w:ascii="Century Gothic" w:hAnsi="Century Gothic"/>
          <w:color w:val="000000" w:themeColor="text1"/>
          <w:sz w:val="22"/>
        </w:rPr>
        <w:t>DÍAZ</w:t>
      </w:r>
      <w:r w:rsidRPr="00F9180A">
        <w:rPr>
          <w:rFonts w:ascii="Century Gothic" w:hAnsi="Century Gothic"/>
          <w:color w:val="000000" w:themeColor="text1"/>
          <w:sz w:val="22"/>
        </w:rPr>
        <w:t xml:space="preserve">, J. (2017). La integración de las TIC y la gamificación en la enseñanza de español como LE/L2: propuesta de adaptación para las universidades japonesas. </w:t>
      </w:r>
      <w:r w:rsidRPr="00F9180A">
        <w:rPr>
          <w:rFonts w:ascii="Century Gothic" w:hAnsi="Century Gothic"/>
          <w:i/>
          <w:color w:val="000000" w:themeColor="text1"/>
          <w:sz w:val="22"/>
        </w:rPr>
        <w:t>Cuadernos Canela, 28</w:t>
      </w:r>
      <w:r w:rsidRPr="00F9180A">
        <w:rPr>
          <w:rFonts w:ascii="Century Gothic" w:hAnsi="Century Gothic"/>
          <w:color w:val="000000" w:themeColor="text1"/>
          <w:sz w:val="22"/>
        </w:rPr>
        <w:t>, 79-101.</w:t>
      </w:r>
    </w:p>
    <w:p w:rsidR="00771DBC" w:rsidRDefault="00771DBC" w:rsidP="00F9180A">
      <w:pPr>
        <w:spacing w:line="360" w:lineRule="auto"/>
        <w:ind w:left="709" w:hanging="709"/>
        <w:jc w:val="both"/>
        <w:rPr>
          <w:rFonts w:ascii="Century Gothic" w:hAnsi="Century Gothic"/>
          <w:sz w:val="22"/>
          <w:szCs w:val="22"/>
        </w:rPr>
      </w:pPr>
      <w:r w:rsidRPr="00F9180A">
        <w:rPr>
          <w:rFonts w:ascii="Century Gothic" w:hAnsi="Century Gothic"/>
          <w:sz w:val="22"/>
          <w:szCs w:val="22"/>
        </w:rPr>
        <w:t xml:space="preserve">RAHN, D. (2009). Enhancing Web-Based Simulations With Game Elements For Increased Engagement. </w:t>
      </w:r>
      <w:r w:rsidRPr="00F9180A">
        <w:rPr>
          <w:rFonts w:ascii="Century Gothic" w:hAnsi="Century Gothic"/>
          <w:i/>
          <w:sz w:val="22"/>
          <w:szCs w:val="22"/>
        </w:rPr>
        <w:t>Developments in Business Simulation and Experiential Learning, 36</w:t>
      </w:r>
      <w:r w:rsidRPr="00F9180A">
        <w:rPr>
          <w:rFonts w:ascii="Century Gothic" w:hAnsi="Century Gothic"/>
          <w:sz w:val="22"/>
          <w:szCs w:val="22"/>
        </w:rPr>
        <w:t>, 303-311.</w:t>
      </w:r>
    </w:p>
    <w:p w:rsidR="00771DBC" w:rsidRPr="000A4190" w:rsidRDefault="00771DBC" w:rsidP="000A4190">
      <w:pPr>
        <w:spacing w:line="360" w:lineRule="auto"/>
        <w:ind w:left="709" w:hanging="709"/>
        <w:jc w:val="both"/>
        <w:rPr>
          <w:rFonts w:ascii="Century Gothic" w:hAnsi="Century Gothic"/>
          <w:color w:val="000000" w:themeColor="text1"/>
          <w:sz w:val="22"/>
          <w:szCs w:val="22"/>
          <w:lang w:val="en-US"/>
        </w:rPr>
      </w:pPr>
      <w:r w:rsidRPr="000A4190">
        <w:rPr>
          <w:rFonts w:ascii="Century Gothic" w:eastAsiaTheme="majorEastAsia" w:hAnsi="Century Gothic" w:cstheme="majorBidi"/>
          <w:color w:val="000000" w:themeColor="text1"/>
          <w:spacing w:val="5"/>
          <w:kern w:val="28"/>
          <w:sz w:val="22"/>
          <w:szCs w:val="22"/>
        </w:rPr>
        <w:t>RAMBLAS, M.</w:t>
      </w:r>
      <w:r w:rsidRPr="000A4190">
        <w:rPr>
          <w:rFonts w:ascii="Century Gothic" w:hAnsi="Century Gothic"/>
          <w:sz w:val="22"/>
          <w:szCs w:val="22"/>
        </w:rPr>
        <w:t xml:space="preserve"> D. (2018). Narrativa Transmedia: La fantasía como vínculo entre narrativas textuales y multimedia. En González, B. Mañas, M., Cortés, P. y Morena, Á. (coords.). </w:t>
      </w:r>
      <w:r w:rsidRPr="000A4190">
        <w:rPr>
          <w:rFonts w:ascii="Century Gothic" w:hAnsi="Century Gothic"/>
          <w:i/>
          <w:iCs/>
          <w:color w:val="000000" w:themeColor="text1"/>
          <w:sz w:val="22"/>
          <w:szCs w:val="22"/>
          <w:shd w:val="clear" w:color="auto" w:fill="FFFFFF"/>
          <w:lang w:val="en-US"/>
        </w:rPr>
        <w:t>Libro de actas del 3rd International Summerworkshop on Alternative Methods in Social Research Transformative and Inclusive Social and Educational Research</w:t>
      </w:r>
      <w:r w:rsidRPr="000A4190">
        <w:rPr>
          <w:rFonts w:ascii="Century Gothic" w:hAnsi="Century Gothic"/>
          <w:color w:val="000000" w:themeColor="text1"/>
          <w:sz w:val="22"/>
          <w:szCs w:val="22"/>
          <w:shd w:val="clear" w:color="auto" w:fill="FFFFFF"/>
          <w:lang w:val="en-US"/>
        </w:rPr>
        <w:t>. Universidad de Málaga, 63-71.</w:t>
      </w:r>
    </w:p>
    <w:p w:rsidR="00771DBC" w:rsidRPr="000A4190" w:rsidRDefault="00771DBC" w:rsidP="000A4190">
      <w:pPr>
        <w:pStyle w:val="Puesto"/>
        <w:pBdr>
          <w:bottom w:val="none" w:sz="0" w:space="0" w:color="auto"/>
        </w:pBdr>
        <w:ind w:left="709" w:hanging="709"/>
        <w:jc w:val="both"/>
        <w:rPr>
          <w:rFonts w:eastAsia="Times New Roman"/>
          <w:color w:val="FF0000"/>
          <w:szCs w:val="22"/>
          <w:lang w:val="en-US"/>
        </w:rPr>
      </w:pPr>
      <w:r w:rsidRPr="000A4190">
        <w:rPr>
          <w:color w:val="000000" w:themeColor="text1"/>
          <w:szCs w:val="22"/>
          <w:lang w:val="en-US"/>
        </w:rPr>
        <w:t>REEVE, E. (2016). 21</w:t>
      </w:r>
      <w:r w:rsidRPr="000A4190">
        <w:rPr>
          <w:color w:val="000000" w:themeColor="text1"/>
          <w:szCs w:val="22"/>
          <w:vertAlign w:val="superscript"/>
          <w:lang w:val="en-US"/>
        </w:rPr>
        <w:t>th</w:t>
      </w:r>
      <w:r w:rsidRPr="000A4190">
        <w:rPr>
          <w:color w:val="000000" w:themeColor="text1"/>
          <w:szCs w:val="22"/>
          <w:lang w:val="en-US"/>
        </w:rPr>
        <w:t xml:space="preserve"> century skills needed by students in technical and vocational education and training (TVET). </w:t>
      </w:r>
      <w:r w:rsidRPr="000A4190">
        <w:rPr>
          <w:i/>
          <w:color w:val="000000" w:themeColor="text1"/>
          <w:szCs w:val="22"/>
          <w:lang w:val="en-US"/>
        </w:rPr>
        <w:t>Asian International Journal of Social Sciences, 16</w:t>
      </w:r>
      <w:r w:rsidRPr="000A4190">
        <w:rPr>
          <w:color w:val="000000" w:themeColor="text1"/>
          <w:szCs w:val="22"/>
          <w:lang w:val="en-US"/>
        </w:rPr>
        <w:t xml:space="preserve">(4), 65-82. </w:t>
      </w:r>
      <w:r>
        <w:rPr>
          <w:color w:val="000000" w:themeColor="text1"/>
          <w:szCs w:val="22"/>
          <w:lang w:val="en-US"/>
        </w:rPr>
        <w:t>DOI</w:t>
      </w:r>
      <w:r w:rsidRPr="000A4190">
        <w:rPr>
          <w:color w:val="000000" w:themeColor="text1"/>
          <w:szCs w:val="22"/>
          <w:lang w:val="en-US"/>
        </w:rPr>
        <w:t xml:space="preserve">: </w:t>
      </w:r>
      <w:hyperlink r:id="rId28" w:history="1">
        <w:r w:rsidRPr="000A4190">
          <w:rPr>
            <w:rStyle w:val="Hipervnculo"/>
            <w:rFonts w:eastAsia="Times New Roman"/>
            <w:szCs w:val="22"/>
            <w:lang w:val="en-US"/>
          </w:rPr>
          <w:t>https://doi.org/10.29139/aijss.20160404</w:t>
        </w:r>
      </w:hyperlink>
      <w:r w:rsidRPr="000A4190">
        <w:rPr>
          <w:rFonts w:eastAsia="Times New Roman"/>
          <w:color w:val="FF0000"/>
          <w:szCs w:val="22"/>
          <w:lang w:val="en-US"/>
        </w:rPr>
        <w:t xml:space="preserve">  </w:t>
      </w:r>
    </w:p>
    <w:p w:rsidR="00771DBC" w:rsidRPr="000A4190" w:rsidRDefault="00771DBC" w:rsidP="000A4190">
      <w:pPr>
        <w:pStyle w:val="Puesto"/>
        <w:pBdr>
          <w:bottom w:val="none" w:sz="0" w:space="0" w:color="auto"/>
        </w:pBdr>
        <w:ind w:left="709" w:hanging="709"/>
        <w:jc w:val="both"/>
        <w:rPr>
          <w:color w:val="000000" w:themeColor="text1"/>
          <w:szCs w:val="22"/>
        </w:rPr>
      </w:pPr>
      <w:r w:rsidRPr="000A4190">
        <w:rPr>
          <w:color w:val="000000" w:themeColor="text1"/>
          <w:szCs w:val="22"/>
        </w:rPr>
        <w:t xml:space="preserve">RENÉS, P., y CASTRO, A. (2013). Análisis de la situación de la formación profesional desde el punto de vista de sus protagonistas. </w:t>
      </w:r>
      <w:r w:rsidRPr="000A4190">
        <w:rPr>
          <w:i/>
          <w:color w:val="000000" w:themeColor="text1"/>
          <w:szCs w:val="22"/>
        </w:rPr>
        <w:t>Educatio Siglo XXI, 31</w:t>
      </w:r>
      <w:r w:rsidRPr="000A4190">
        <w:rPr>
          <w:color w:val="000000" w:themeColor="text1"/>
          <w:szCs w:val="22"/>
        </w:rPr>
        <w:t>(2), 255-276.</w:t>
      </w:r>
    </w:p>
    <w:p w:rsidR="00771DBC" w:rsidRPr="000A4190" w:rsidRDefault="00771DBC" w:rsidP="000A4190">
      <w:pPr>
        <w:pStyle w:val="Puesto"/>
        <w:pBdr>
          <w:bottom w:val="none" w:sz="0" w:space="0" w:color="auto"/>
        </w:pBdr>
        <w:ind w:left="709" w:hanging="709"/>
        <w:jc w:val="both"/>
        <w:rPr>
          <w:szCs w:val="22"/>
          <w:lang w:val="en-US"/>
        </w:rPr>
      </w:pPr>
      <w:r w:rsidRPr="000A4190">
        <w:rPr>
          <w:szCs w:val="22"/>
        </w:rPr>
        <w:t xml:space="preserve">REPETTO, E. y PÉREZ-GONZÁLEZ, J.C. (2007). Formación en competencias socioemocionales a través de las prácticas en empresas. </w:t>
      </w:r>
      <w:r w:rsidRPr="000A4190">
        <w:rPr>
          <w:i/>
          <w:szCs w:val="22"/>
          <w:lang w:val="en-US"/>
        </w:rPr>
        <w:t>Revista Europea en Formación Profesional, 40</w:t>
      </w:r>
      <w:r w:rsidRPr="000A4190">
        <w:rPr>
          <w:szCs w:val="22"/>
          <w:lang w:val="en-US"/>
        </w:rPr>
        <w:t>, 92-112.</w:t>
      </w:r>
    </w:p>
    <w:p w:rsidR="00771DBC" w:rsidRPr="000A4190" w:rsidRDefault="00771DBC" w:rsidP="000A4190">
      <w:pPr>
        <w:spacing w:line="360" w:lineRule="auto"/>
        <w:ind w:left="709" w:hanging="709"/>
        <w:jc w:val="both"/>
        <w:rPr>
          <w:rFonts w:ascii="Century Gothic" w:hAnsi="Century Gothic"/>
          <w:sz w:val="22"/>
          <w:szCs w:val="22"/>
        </w:rPr>
      </w:pPr>
      <w:r w:rsidRPr="000A4190">
        <w:rPr>
          <w:rFonts w:ascii="Century Gothic" w:hAnsi="Century Gothic"/>
          <w:color w:val="000000" w:themeColor="text1"/>
          <w:sz w:val="22"/>
          <w:szCs w:val="22"/>
          <w:lang w:val="en-US"/>
        </w:rPr>
        <w:t xml:space="preserve">REVUELTA, F.I., GUERRA, J. Y PEDRERA M.I. (2017). Gamificación con PBL para una asignatura del grado de maestro de educación infantile. En Contreras, R.S. y Eguia, J.L. (Eds.) </w:t>
      </w:r>
      <w:r w:rsidRPr="000A4190">
        <w:rPr>
          <w:rFonts w:ascii="Century Gothic" w:hAnsi="Century Gothic"/>
          <w:i/>
          <w:color w:val="000000" w:themeColor="text1"/>
          <w:sz w:val="22"/>
          <w:szCs w:val="22"/>
          <w:lang w:val="en-US"/>
        </w:rPr>
        <w:t>Experiencias de gamificación en aulas</w:t>
      </w:r>
      <w:r w:rsidRPr="000A4190">
        <w:rPr>
          <w:rFonts w:ascii="Century Gothic" w:hAnsi="Century Gothic"/>
          <w:color w:val="000000" w:themeColor="text1"/>
          <w:sz w:val="22"/>
          <w:szCs w:val="22"/>
          <w:lang w:val="en-US"/>
        </w:rPr>
        <w:t xml:space="preserve">. InCom-UAB Publicacions. Bellaterra: Institut de la Comunicació, Universitat Autonòma de Barcelona. Recuperado de: </w:t>
      </w:r>
      <w:hyperlink r:id="rId29" w:history="1">
        <w:r w:rsidRPr="000A4190">
          <w:rPr>
            <w:rStyle w:val="Hipervnculo"/>
            <w:rFonts w:ascii="Century Gothic" w:hAnsi="Century Gothic"/>
            <w:sz w:val="22"/>
            <w:szCs w:val="22"/>
          </w:rPr>
          <w:t>https://ddd.uab.cat/pub/llibres/2018/188188/ebook15.pdf</w:t>
        </w:r>
      </w:hyperlink>
      <w:r w:rsidRPr="000A4190">
        <w:rPr>
          <w:rFonts w:ascii="Century Gothic" w:hAnsi="Century Gothic"/>
          <w:sz w:val="22"/>
          <w:szCs w:val="22"/>
        </w:rPr>
        <w:t xml:space="preserve"> </w:t>
      </w:r>
    </w:p>
    <w:p w:rsidR="00771DBC" w:rsidRPr="000A4190" w:rsidRDefault="00771DBC" w:rsidP="000A4190">
      <w:pPr>
        <w:pStyle w:val="Puesto"/>
        <w:pBdr>
          <w:bottom w:val="none" w:sz="0" w:space="0" w:color="auto"/>
        </w:pBdr>
        <w:ind w:left="709" w:hanging="709"/>
        <w:jc w:val="both"/>
        <w:rPr>
          <w:color w:val="000000" w:themeColor="text1"/>
          <w:szCs w:val="22"/>
          <w:lang w:val="en-GB"/>
        </w:rPr>
      </w:pPr>
      <w:r w:rsidRPr="000A4190">
        <w:rPr>
          <w:color w:val="000000" w:themeColor="text1"/>
          <w:szCs w:val="22"/>
          <w:lang w:val="en-GB"/>
        </w:rPr>
        <w:t xml:space="preserve">RHAN, D. (2009). Enhancing web-based simulations with game elements for increased engagement. </w:t>
      </w:r>
      <w:r w:rsidRPr="000A4190">
        <w:rPr>
          <w:i/>
          <w:color w:val="000000" w:themeColor="text1"/>
          <w:szCs w:val="22"/>
          <w:lang w:val="en-GB"/>
        </w:rPr>
        <w:t>Developments in Business Simulation and Experiential Learning, 36</w:t>
      </w:r>
      <w:r w:rsidRPr="000A4190">
        <w:rPr>
          <w:color w:val="000000" w:themeColor="text1"/>
          <w:szCs w:val="22"/>
          <w:lang w:val="en-GB"/>
        </w:rPr>
        <w:t>, 303-311.</w:t>
      </w:r>
      <w:r w:rsidRPr="000A4190">
        <w:rPr>
          <w:i/>
          <w:color w:val="000000" w:themeColor="text1"/>
          <w:szCs w:val="22"/>
          <w:lang w:val="en-GB"/>
        </w:rPr>
        <w:t xml:space="preserve"> </w:t>
      </w:r>
      <w:r w:rsidRPr="000A4190">
        <w:rPr>
          <w:color w:val="000000" w:themeColor="text1"/>
          <w:szCs w:val="22"/>
          <w:lang w:val="en-GB"/>
        </w:rPr>
        <w:t xml:space="preserve"> </w:t>
      </w:r>
    </w:p>
    <w:p w:rsidR="00771DBC" w:rsidRPr="000A4190" w:rsidRDefault="00771DBC" w:rsidP="000A4190">
      <w:pPr>
        <w:autoSpaceDE w:val="0"/>
        <w:autoSpaceDN w:val="0"/>
        <w:adjustRightInd w:val="0"/>
        <w:spacing w:after="120" w:line="360" w:lineRule="auto"/>
        <w:ind w:left="709" w:hanging="709"/>
        <w:jc w:val="both"/>
        <w:rPr>
          <w:rFonts w:ascii="Century Gothic" w:hAnsi="Century Gothic"/>
          <w:sz w:val="22"/>
          <w:szCs w:val="22"/>
        </w:rPr>
      </w:pPr>
      <w:r w:rsidRPr="000A4190">
        <w:rPr>
          <w:rFonts w:ascii="Century Gothic" w:hAnsi="Century Gothic"/>
          <w:sz w:val="22"/>
          <w:szCs w:val="22"/>
          <w:lang w:val="en-US"/>
        </w:rPr>
        <w:t xml:space="preserve">RIVAS, J. I. (2009). </w:t>
      </w:r>
      <w:r w:rsidRPr="000A4190">
        <w:rPr>
          <w:rFonts w:ascii="Century Gothic" w:hAnsi="Century Gothic"/>
          <w:sz w:val="22"/>
          <w:szCs w:val="22"/>
        </w:rPr>
        <w:t xml:space="preserve">Narración, conocimiento y realidad. Un cambio de argumento en la investigación educativa. En Rivas, J. I. y Herrera, D. (2009), (coord.). </w:t>
      </w:r>
      <w:r w:rsidRPr="000A4190">
        <w:rPr>
          <w:rFonts w:ascii="Century Gothic" w:hAnsi="Century Gothic"/>
          <w:i/>
          <w:sz w:val="22"/>
          <w:szCs w:val="22"/>
        </w:rPr>
        <w:t>Voz y Educación</w:t>
      </w:r>
      <w:r w:rsidRPr="000A4190">
        <w:rPr>
          <w:rFonts w:ascii="Century Gothic" w:hAnsi="Century Gothic"/>
          <w:sz w:val="22"/>
          <w:szCs w:val="22"/>
        </w:rPr>
        <w:t>. Barcelona: Octaedro.</w:t>
      </w:r>
    </w:p>
    <w:p w:rsidR="00771DBC" w:rsidRPr="000A4190" w:rsidRDefault="00771DBC" w:rsidP="000A4190">
      <w:pPr>
        <w:spacing w:line="360" w:lineRule="auto"/>
        <w:ind w:left="709" w:hanging="709"/>
        <w:jc w:val="both"/>
        <w:rPr>
          <w:rFonts w:ascii="Century Gothic" w:hAnsi="Century Gothic"/>
          <w:sz w:val="22"/>
          <w:szCs w:val="22"/>
        </w:rPr>
      </w:pPr>
      <w:r w:rsidRPr="000A4190">
        <w:rPr>
          <w:rFonts w:ascii="Century Gothic" w:hAnsi="Century Gothic"/>
          <w:sz w:val="22"/>
          <w:szCs w:val="22"/>
        </w:rPr>
        <w:t xml:space="preserve">SÁNCHEZ, M. (2015). Historia de vida una maestra. Reconstruyendo la identidad profesional docente. </w:t>
      </w:r>
      <w:r w:rsidRPr="000A4190">
        <w:rPr>
          <w:rFonts w:ascii="Century Gothic" w:hAnsi="Century Gothic"/>
          <w:color w:val="000000" w:themeColor="text1"/>
          <w:sz w:val="22"/>
          <w:szCs w:val="22"/>
        </w:rPr>
        <w:t xml:space="preserve">En </w:t>
      </w:r>
      <w:r w:rsidRPr="000A4190">
        <w:rPr>
          <w:rFonts w:ascii="Century Gothic" w:hAnsi="Century Gothic"/>
          <w:color w:val="000000" w:themeColor="text1"/>
          <w:sz w:val="22"/>
          <w:szCs w:val="22"/>
          <w:shd w:val="clear" w:color="auto" w:fill="FFFFFF"/>
        </w:rPr>
        <w:t xml:space="preserve">Torrego, A., Acebes, A., Sonlleva, M., Barba, R.A., Fernández, E., Piñataro, B., Adame, L., Mateo, C. (Eds.). </w:t>
      </w:r>
      <w:r w:rsidRPr="000A4190">
        <w:rPr>
          <w:rFonts w:ascii="Century Gothic" w:hAnsi="Century Gothic"/>
          <w:i/>
          <w:iCs/>
          <w:color w:val="000000" w:themeColor="text1"/>
          <w:sz w:val="22"/>
          <w:szCs w:val="22"/>
          <w:shd w:val="clear" w:color="auto" w:fill="FFFFFF"/>
        </w:rPr>
        <w:t>Investigación en Educación para el Siglo XXI</w:t>
      </w:r>
      <w:r w:rsidRPr="000A4190">
        <w:rPr>
          <w:rFonts w:ascii="Century Gothic" w:hAnsi="Century Gothic"/>
          <w:color w:val="000000" w:themeColor="text1"/>
          <w:sz w:val="22"/>
          <w:szCs w:val="22"/>
          <w:shd w:val="clear" w:color="auto" w:fill="FFFFFF"/>
        </w:rPr>
        <w:t>. Segovia: Facultad de Educación de Segovia, 623-639.</w:t>
      </w:r>
    </w:p>
    <w:p w:rsidR="00771DBC" w:rsidRPr="000A4190" w:rsidRDefault="00771DBC" w:rsidP="000A4190">
      <w:pPr>
        <w:pStyle w:val="Puesto"/>
        <w:pBdr>
          <w:bottom w:val="none" w:sz="0" w:space="0" w:color="auto"/>
        </w:pBdr>
        <w:ind w:left="709" w:hanging="709"/>
        <w:jc w:val="both"/>
        <w:rPr>
          <w:rFonts w:eastAsia="Times New Roman"/>
          <w:color w:val="000000" w:themeColor="text1"/>
          <w:szCs w:val="22"/>
          <w:shd w:val="clear" w:color="auto" w:fill="FFFFFF"/>
          <w:lang w:val="en-US"/>
        </w:rPr>
      </w:pPr>
      <w:r w:rsidRPr="000A4190">
        <w:rPr>
          <w:rFonts w:eastAsia="Times New Roman"/>
          <w:color w:val="000000"/>
          <w:szCs w:val="22"/>
          <w:shd w:val="clear" w:color="auto" w:fill="FFFFFF"/>
          <w:lang w:val="en-US"/>
        </w:rPr>
        <w:t xml:space="preserve">SITRA, O., KATSIGIANNAKIS, V., KARAGIANNIDIS, C., y MAVROPOULOU, S. (2017). The effect of badges on the engagement of students with </w:t>
      </w:r>
      <w:r w:rsidRPr="000A4190">
        <w:rPr>
          <w:rFonts w:eastAsia="Times New Roman"/>
          <w:color w:val="000000" w:themeColor="text1"/>
          <w:szCs w:val="22"/>
          <w:shd w:val="clear" w:color="auto" w:fill="FFFFFF"/>
          <w:lang w:val="en-US"/>
        </w:rPr>
        <w:t>special educational needs: A case study. </w:t>
      </w:r>
      <w:r w:rsidRPr="000A4190">
        <w:rPr>
          <w:rFonts w:eastAsia="Times New Roman"/>
          <w:i/>
          <w:iCs/>
          <w:color w:val="000000" w:themeColor="text1"/>
          <w:szCs w:val="22"/>
          <w:lang w:val="en-US"/>
        </w:rPr>
        <w:t>Education and Information Technologies</w:t>
      </w:r>
      <w:r w:rsidRPr="000A4190">
        <w:rPr>
          <w:rFonts w:eastAsia="Times New Roman"/>
          <w:color w:val="000000" w:themeColor="text1"/>
          <w:szCs w:val="22"/>
          <w:shd w:val="clear" w:color="auto" w:fill="FFFFFF"/>
          <w:lang w:val="en-US"/>
        </w:rPr>
        <w:t>, </w:t>
      </w:r>
      <w:r w:rsidRPr="000A4190">
        <w:rPr>
          <w:rFonts w:eastAsia="Times New Roman"/>
          <w:i/>
          <w:iCs/>
          <w:color w:val="000000" w:themeColor="text1"/>
          <w:szCs w:val="22"/>
          <w:lang w:val="en-US"/>
        </w:rPr>
        <w:t>22</w:t>
      </w:r>
      <w:r w:rsidRPr="000A4190">
        <w:rPr>
          <w:rFonts w:eastAsia="Times New Roman"/>
          <w:color w:val="000000" w:themeColor="text1"/>
          <w:szCs w:val="22"/>
          <w:shd w:val="clear" w:color="auto" w:fill="FFFFFF"/>
          <w:lang w:val="en-US"/>
        </w:rPr>
        <w:t xml:space="preserve">(6), 3037-3046. </w:t>
      </w:r>
      <w:r>
        <w:rPr>
          <w:rFonts w:eastAsia="Times New Roman"/>
          <w:color w:val="000000" w:themeColor="text1"/>
          <w:szCs w:val="22"/>
          <w:shd w:val="clear" w:color="auto" w:fill="FFFFFF"/>
          <w:lang w:val="en-US"/>
        </w:rPr>
        <w:t>DOI</w:t>
      </w:r>
      <w:r w:rsidRPr="000A4190">
        <w:rPr>
          <w:rFonts w:eastAsia="Times New Roman"/>
          <w:color w:val="000000" w:themeColor="text1"/>
          <w:szCs w:val="22"/>
          <w:shd w:val="clear" w:color="auto" w:fill="FFFFFF"/>
          <w:lang w:val="en-US"/>
        </w:rPr>
        <w:t>: 10.1007/s10639-016-9550-5</w:t>
      </w:r>
    </w:p>
    <w:p w:rsidR="00771DBC" w:rsidRPr="000A4190" w:rsidRDefault="00771DBC" w:rsidP="000A4190">
      <w:pPr>
        <w:spacing w:line="360" w:lineRule="auto"/>
        <w:ind w:left="709" w:hanging="709"/>
        <w:jc w:val="both"/>
        <w:rPr>
          <w:rFonts w:ascii="Century Gothic" w:hAnsi="Century Gothic"/>
          <w:sz w:val="22"/>
          <w:szCs w:val="22"/>
        </w:rPr>
      </w:pPr>
      <w:r w:rsidRPr="000A4190">
        <w:rPr>
          <w:rFonts w:ascii="Century Gothic" w:hAnsi="Century Gothic"/>
          <w:sz w:val="22"/>
          <w:szCs w:val="22"/>
          <w:lang w:val="en-US"/>
        </w:rPr>
        <w:t xml:space="preserve">SUÁREZ, D. H., ARGNANI, A. y DÁVILA, P. (2017). </w:t>
      </w:r>
      <w:r w:rsidRPr="000A4190">
        <w:rPr>
          <w:rFonts w:ascii="Century Gothic" w:hAnsi="Century Gothic"/>
          <w:sz w:val="22"/>
          <w:szCs w:val="22"/>
        </w:rPr>
        <w:t xml:space="preserve">Narrar la experiencia educativa. Colectivos y redes docentes en torno de relatos pedagógicos. </w:t>
      </w:r>
      <w:r w:rsidRPr="000A4190">
        <w:rPr>
          <w:rFonts w:ascii="Century Gothic" w:hAnsi="Century Gothic"/>
          <w:i/>
          <w:iCs/>
          <w:sz w:val="22"/>
          <w:szCs w:val="22"/>
        </w:rPr>
        <w:t xml:space="preserve">Revista del IICE, 42, </w:t>
      </w:r>
      <w:r w:rsidRPr="000A4190">
        <w:rPr>
          <w:rFonts w:ascii="Century Gothic" w:hAnsi="Century Gothic"/>
          <w:sz w:val="22"/>
          <w:szCs w:val="22"/>
        </w:rPr>
        <w:t>43-56.</w:t>
      </w:r>
    </w:p>
    <w:p w:rsidR="00771DBC" w:rsidRPr="000A4190" w:rsidRDefault="00771DBC" w:rsidP="000A4190">
      <w:pPr>
        <w:spacing w:line="360" w:lineRule="auto"/>
        <w:ind w:left="709" w:hanging="709"/>
        <w:jc w:val="both"/>
        <w:rPr>
          <w:rFonts w:ascii="Century Gothic" w:hAnsi="Century Gothic"/>
          <w:sz w:val="22"/>
          <w:szCs w:val="22"/>
        </w:rPr>
      </w:pPr>
      <w:r w:rsidRPr="000A4190">
        <w:rPr>
          <w:rFonts w:ascii="Century Gothic" w:hAnsi="Century Gothic"/>
          <w:color w:val="000000" w:themeColor="text1"/>
          <w:sz w:val="22"/>
          <w:szCs w:val="22"/>
        </w:rPr>
        <w:t xml:space="preserve">SUTARMAN, SUNENDAR, D., y MULYATI, Y. (2019). Investigating Cooperative Learning Model Based on Interpersonal Intelligence on Language Learners Skill to Write Article. </w:t>
      </w:r>
      <w:r w:rsidRPr="000A4190">
        <w:rPr>
          <w:rFonts w:ascii="Century Gothic" w:hAnsi="Century Gothic"/>
          <w:i/>
          <w:color w:val="000000" w:themeColor="text1"/>
          <w:sz w:val="22"/>
          <w:szCs w:val="22"/>
        </w:rPr>
        <w:t>International Journal of Instruction</w:t>
      </w:r>
      <w:r w:rsidRPr="000A4190">
        <w:rPr>
          <w:rFonts w:ascii="Century Gothic" w:hAnsi="Century Gothic"/>
          <w:color w:val="000000" w:themeColor="text1"/>
          <w:sz w:val="22"/>
          <w:szCs w:val="22"/>
        </w:rPr>
        <w:t xml:space="preserve">, </w:t>
      </w:r>
      <w:r w:rsidRPr="000A4190">
        <w:rPr>
          <w:rFonts w:ascii="Century Gothic" w:hAnsi="Century Gothic"/>
          <w:i/>
          <w:color w:val="000000" w:themeColor="text1"/>
          <w:sz w:val="22"/>
          <w:szCs w:val="22"/>
        </w:rPr>
        <w:t>12</w:t>
      </w:r>
      <w:r w:rsidRPr="000A4190">
        <w:rPr>
          <w:rFonts w:ascii="Century Gothic" w:hAnsi="Century Gothic"/>
          <w:color w:val="000000" w:themeColor="text1"/>
          <w:sz w:val="22"/>
          <w:szCs w:val="22"/>
        </w:rPr>
        <w:t>(4), 201-218.</w:t>
      </w:r>
      <w:r>
        <w:rPr>
          <w:rFonts w:ascii="Century Gothic" w:hAnsi="Century Gothic"/>
          <w:color w:val="000000" w:themeColor="text1"/>
          <w:sz w:val="22"/>
          <w:szCs w:val="22"/>
        </w:rPr>
        <w:t xml:space="preserve"> DOI:</w:t>
      </w:r>
      <w:r w:rsidRPr="000A4190">
        <w:rPr>
          <w:rFonts w:ascii="Century Gothic" w:hAnsi="Century Gothic"/>
          <w:color w:val="000000" w:themeColor="text1"/>
          <w:sz w:val="22"/>
          <w:szCs w:val="22"/>
        </w:rPr>
        <w:t xml:space="preserve"> </w:t>
      </w:r>
      <w:r w:rsidRPr="000A4190">
        <w:rPr>
          <w:rFonts w:ascii="Century Gothic" w:hAnsi="Century Gothic"/>
          <w:color w:val="0000FF"/>
          <w:sz w:val="22"/>
          <w:szCs w:val="22"/>
        </w:rPr>
        <w:t xml:space="preserve">https://doi.org/10.29333/iji.2019.12413a </w:t>
      </w:r>
    </w:p>
    <w:p w:rsidR="00771DBC" w:rsidRPr="000A4190" w:rsidRDefault="00771DBC" w:rsidP="000A4190">
      <w:pPr>
        <w:spacing w:line="360" w:lineRule="auto"/>
        <w:ind w:left="709" w:hanging="709"/>
        <w:jc w:val="both"/>
        <w:rPr>
          <w:rFonts w:ascii="Century Gothic" w:hAnsi="Century Gothic"/>
          <w:color w:val="000000" w:themeColor="text1"/>
          <w:sz w:val="22"/>
          <w:szCs w:val="22"/>
        </w:rPr>
      </w:pPr>
      <w:r w:rsidRPr="000A4190">
        <w:rPr>
          <w:rFonts w:ascii="Century Gothic" w:hAnsi="Century Gothic"/>
          <w:color w:val="000000" w:themeColor="text1"/>
          <w:sz w:val="22"/>
          <w:szCs w:val="22"/>
        </w:rPr>
        <w:t xml:space="preserve">ZEPEDA-HERNÁNDEZ, S., ABASCAL-MENA, R. y LÓPEZ-ORNELAS, E. (2016). Integración de gamificación y aprendizaje activo en el aula. </w:t>
      </w:r>
      <w:r w:rsidRPr="000A4190">
        <w:rPr>
          <w:rFonts w:ascii="Century Gothic" w:hAnsi="Century Gothic"/>
          <w:i/>
          <w:color w:val="000000" w:themeColor="text1"/>
          <w:sz w:val="22"/>
          <w:szCs w:val="22"/>
        </w:rPr>
        <w:t>Ra Ximhai, 12</w:t>
      </w:r>
      <w:r w:rsidRPr="000A4190">
        <w:rPr>
          <w:rFonts w:ascii="Century Gothic" w:hAnsi="Century Gothic"/>
          <w:color w:val="000000" w:themeColor="text1"/>
          <w:sz w:val="22"/>
          <w:szCs w:val="22"/>
        </w:rPr>
        <w:t>(6), 315-325.</w:t>
      </w:r>
    </w:p>
    <w:p w:rsidR="00F9180A" w:rsidRPr="00F9180A" w:rsidRDefault="00F9180A" w:rsidP="00F9180A">
      <w:pPr>
        <w:spacing w:line="360" w:lineRule="auto"/>
        <w:ind w:left="709" w:hanging="709"/>
        <w:jc w:val="both"/>
        <w:rPr>
          <w:rFonts w:ascii="Century Gothic" w:hAnsi="Century Gothic"/>
          <w:sz w:val="22"/>
          <w:szCs w:val="22"/>
        </w:rPr>
      </w:pPr>
    </w:p>
    <w:p w:rsidR="00F9180A" w:rsidRPr="00F9180A" w:rsidRDefault="00F9180A" w:rsidP="00F9180A">
      <w:pPr>
        <w:spacing w:line="360" w:lineRule="auto"/>
        <w:ind w:left="709" w:hanging="709"/>
        <w:jc w:val="both"/>
        <w:rPr>
          <w:rFonts w:ascii="Century Gothic" w:hAnsi="Century Gothic"/>
          <w:sz w:val="22"/>
        </w:rPr>
      </w:pPr>
    </w:p>
    <w:p w:rsidR="000A4190" w:rsidRPr="000A4190" w:rsidRDefault="000A4190" w:rsidP="000A4190">
      <w:pPr>
        <w:spacing w:after="200" w:line="360" w:lineRule="auto"/>
        <w:ind w:left="709" w:hanging="709"/>
        <w:jc w:val="both"/>
        <w:rPr>
          <w:rFonts w:ascii="Century Gothic" w:hAnsi="Century Gothic"/>
          <w:color w:val="333333"/>
          <w:spacing w:val="4"/>
          <w:sz w:val="22"/>
          <w:szCs w:val="22"/>
        </w:rPr>
      </w:pPr>
    </w:p>
    <w:p w:rsidR="000A4190" w:rsidRPr="000A4190" w:rsidRDefault="000A4190" w:rsidP="000A4190">
      <w:pPr>
        <w:spacing w:line="360" w:lineRule="auto"/>
        <w:ind w:left="709" w:hanging="709"/>
        <w:jc w:val="both"/>
        <w:rPr>
          <w:rFonts w:ascii="Century Gothic" w:hAnsi="Century Gothic"/>
          <w:sz w:val="22"/>
          <w:szCs w:val="22"/>
        </w:rPr>
      </w:pPr>
    </w:p>
    <w:p w:rsidR="00335323" w:rsidRDefault="00335323" w:rsidP="00F23E15">
      <w:pPr>
        <w:ind w:left="709" w:hanging="709"/>
        <w:jc w:val="both"/>
        <w:rPr>
          <w:color w:val="000000" w:themeColor="text1"/>
        </w:rPr>
      </w:pPr>
    </w:p>
    <w:p w:rsidR="00335323" w:rsidRPr="00B13044" w:rsidRDefault="00335323" w:rsidP="00F23E15">
      <w:pPr>
        <w:ind w:left="709" w:hanging="709"/>
        <w:jc w:val="both"/>
        <w:rPr>
          <w:color w:val="000000" w:themeColor="text1"/>
        </w:rPr>
      </w:pPr>
    </w:p>
    <w:p w:rsidR="00F23E15" w:rsidRPr="00930236" w:rsidRDefault="00F23E15" w:rsidP="00D51383">
      <w:pPr>
        <w:spacing w:line="360" w:lineRule="auto"/>
        <w:ind w:left="709" w:hanging="709"/>
        <w:jc w:val="both"/>
        <w:rPr>
          <w:sz w:val="22"/>
          <w:szCs w:val="32"/>
        </w:rPr>
      </w:pPr>
    </w:p>
    <w:p w:rsidR="00AF3498" w:rsidRPr="00941554" w:rsidRDefault="00AF3498" w:rsidP="000A4190">
      <w:pPr>
        <w:pStyle w:val="Puesto"/>
        <w:pBdr>
          <w:bottom w:val="none" w:sz="0" w:space="0" w:color="auto"/>
        </w:pBdr>
        <w:jc w:val="both"/>
      </w:pPr>
    </w:p>
    <w:sectPr w:rsidR="00AF3498" w:rsidRPr="00941554" w:rsidSect="00A945C2">
      <w:headerReference w:type="even" r:id="rId30"/>
      <w:headerReference w:type="default" r:id="rId31"/>
      <w:footerReference w:type="even" r:id="rId32"/>
      <w:footerReference w:type="default" r:id="rId33"/>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312F" w:rsidRDefault="00E6312F" w:rsidP="00A945C2">
      <w:r>
        <w:separator/>
      </w:r>
    </w:p>
  </w:endnote>
  <w:endnote w:type="continuationSeparator" w:id="0">
    <w:p w:rsidR="00E6312F" w:rsidRDefault="00E6312F" w:rsidP="00A945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eiryo UI">
    <w:charset w:val="80"/>
    <w:family w:val="swiss"/>
    <w:pitch w:val="variable"/>
    <w:sig w:usb0="E00002FF" w:usb1="6AC7FFFF"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2"/>
      </w:rPr>
      <w:id w:val="-1262452740"/>
      <w:docPartObj>
        <w:docPartGallery w:val="Page Numbers (Bottom of Page)"/>
        <w:docPartUnique/>
      </w:docPartObj>
    </w:sdtPr>
    <w:sdtEndPr/>
    <w:sdtContent>
      <w:p w:rsidR="00C61AA1" w:rsidRPr="00FC1682" w:rsidRDefault="00C61AA1" w:rsidP="00FC1682">
        <w:pPr>
          <w:pStyle w:val="Piedepgina"/>
          <w:pBdr>
            <w:top w:val="single" w:sz="4" w:space="1" w:color="auto"/>
          </w:pBdr>
          <w:jc w:val="center"/>
          <w:rPr>
            <w:sz w:val="22"/>
          </w:rPr>
        </w:pPr>
        <w:r w:rsidRPr="00FC1682">
          <w:rPr>
            <w:sz w:val="22"/>
          </w:rPr>
          <w:fldChar w:fldCharType="begin"/>
        </w:r>
        <w:r w:rsidRPr="00FC1682">
          <w:rPr>
            <w:sz w:val="22"/>
          </w:rPr>
          <w:instrText>PAGE   \* MERGEFORMAT</w:instrText>
        </w:r>
        <w:r w:rsidRPr="00FC1682">
          <w:rPr>
            <w:sz w:val="22"/>
          </w:rPr>
          <w:fldChar w:fldCharType="separate"/>
        </w:r>
        <w:r w:rsidR="00751ACE">
          <w:rPr>
            <w:noProof/>
            <w:sz w:val="22"/>
          </w:rPr>
          <w:t>16</w:t>
        </w:r>
        <w:r w:rsidRPr="00FC1682">
          <w:rPr>
            <w:sz w:val="22"/>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1AA1" w:rsidRDefault="00C61AA1" w:rsidP="0027749E">
    <w:pPr>
      <w:pStyle w:val="Ttulo4"/>
      <w:rPr>
        <w:lang w:val="en-US"/>
      </w:rPr>
    </w:pPr>
  </w:p>
  <w:p w:rsidR="00C61AA1" w:rsidRDefault="00C61AA1" w:rsidP="00FC1682">
    <w:pPr>
      <w:pStyle w:val="Piedepgina"/>
      <w:ind w:right="-2" w:firstLine="357"/>
      <w:jc w:val="right"/>
      <w:rPr>
        <w:szCs w:val="18"/>
        <w:lang w:val="en-US"/>
      </w:rPr>
    </w:pPr>
    <w:r w:rsidRPr="00776538">
      <w:rPr>
        <w:szCs w:val="18"/>
        <w:lang w:val="en-US"/>
      </w:rPr>
      <w:t xml:space="preserve">edmetic, </w:t>
    </w:r>
    <w:r>
      <w:rPr>
        <w:szCs w:val="18"/>
        <w:lang w:val="en-US"/>
      </w:rPr>
      <w:t>X(X</w:t>
    </w:r>
    <w:r w:rsidRPr="00776538">
      <w:rPr>
        <w:szCs w:val="18"/>
        <w:lang w:val="en-US"/>
      </w:rPr>
      <w:t>), 201</w:t>
    </w:r>
    <w:r>
      <w:rPr>
        <w:szCs w:val="18"/>
        <w:lang w:val="en-US"/>
      </w:rPr>
      <w:t>X</w:t>
    </w:r>
    <w:r w:rsidRPr="00776538">
      <w:rPr>
        <w:szCs w:val="18"/>
        <w:lang w:val="en-US"/>
      </w:rPr>
      <w:t xml:space="preserve">, E-ISSN: </w:t>
    </w:r>
    <w:r>
      <w:rPr>
        <w:szCs w:val="18"/>
        <w:lang w:val="en-US"/>
      </w:rPr>
      <w:t>2254</w:t>
    </w:r>
    <w:r w:rsidRPr="00776538">
      <w:rPr>
        <w:szCs w:val="18"/>
        <w:lang w:val="en-US"/>
      </w:rPr>
      <w:t>-</w:t>
    </w:r>
    <w:r>
      <w:rPr>
        <w:szCs w:val="18"/>
        <w:lang w:val="en-US"/>
      </w:rPr>
      <w:t>0059</w:t>
    </w:r>
    <w:r w:rsidRPr="00776538">
      <w:rPr>
        <w:szCs w:val="18"/>
        <w:lang w:val="en-US"/>
      </w:rPr>
      <w:t>; pp.</w:t>
    </w:r>
    <w:r>
      <w:rPr>
        <w:szCs w:val="18"/>
        <w:lang w:val="en-US"/>
      </w:rPr>
      <w:t xml:space="preserve"> XX-XX-</w:t>
    </w:r>
  </w:p>
  <w:p w:rsidR="00C61AA1" w:rsidRDefault="00C61AA1" w:rsidP="00FC1682">
    <w:pPr>
      <w:pStyle w:val="Piedepgina"/>
      <w:ind w:right="-2" w:firstLine="357"/>
      <w:jc w:val="right"/>
      <w:rPr>
        <w:szCs w:val="18"/>
        <w:lang w:val="en-US"/>
      </w:rPr>
    </w:pPr>
    <w:r w:rsidRPr="0015336E">
      <w:rPr>
        <w:szCs w:val="18"/>
        <w:lang w:val="en-GB"/>
      </w:rPr>
      <w:t xml:space="preserve">doi: </w:t>
    </w:r>
    <w:hyperlink r:id="rId1" w:history="1">
      <w:r w:rsidRPr="001B00A5">
        <w:rPr>
          <w:rStyle w:val="Hipervnculo"/>
          <w:szCs w:val="18"/>
          <w:lang w:val="en-GB"/>
        </w:rPr>
        <w:t>https://doi.org/XXXX/edmetic.XXXXXX</w:t>
      </w:r>
    </w:hyperlink>
  </w:p>
  <w:p w:rsidR="00C61AA1" w:rsidRPr="0015336E" w:rsidRDefault="00C61AA1" w:rsidP="00FC1682">
    <w:pPr>
      <w:pStyle w:val="Piedepgina"/>
      <w:ind w:right="-2" w:firstLine="357"/>
      <w:jc w:val="right"/>
      <w:rPr>
        <w:sz w:val="16"/>
        <w:szCs w:val="16"/>
      </w:rPr>
    </w:pPr>
    <w:r w:rsidRPr="00F44F86">
      <w:rPr>
        <w:sz w:val="16"/>
        <w:szCs w:val="16"/>
      </w:rPr>
      <w:t>edmetic, Revista de Educación Mediática y TIC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312F" w:rsidRDefault="00E6312F" w:rsidP="00A945C2">
      <w:r>
        <w:separator/>
      </w:r>
    </w:p>
  </w:footnote>
  <w:footnote w:type="continuationSeparator" w:id="0">
    <w:p w:rsidR="00E6312F" w:rsidRDefault="00E6312F" w:rsidP="00A945C2">
      <w:r>
        <w:continuationSeparator/>
      </w:r>
    </w:p>
  </w:footnote>
  <w:footnote w:id="1">
    <w:p w:rsidR="00C61AA1" w:rsidRPr="00946DC1" w:rsidRDefault="00C61AA1">
      <w:pPr>
        <w:pStyle w:val="Textonotapie"/>
        <w:rPr>
          <w:sz w:val="16"/>
        </w:rPr>
      </w:pPr>
      <w:r w:rsidRPr="00946DC1">
        <w:rPr>
          <w:rStyle w:val="Refdenotaalpie"/>
          <w:sz w:val="16"/>
        </w:rPr>
        <w:footnoteRef/>
      </w:r>
      <w:r w:rsidRPr="00946DC1">
        <w:rPr>
          <w:sz w:val="16"/>
        </w:rPr>
        <w:t xml:space="preserve"> Agradecimientos: Este estudio ha sido financiado, en parte, con una ayuda de la Universidad de Almería a través del Plan Propio de Investigación (FPI2019).</w:t>
      </w:r>
    </w:p>
  </w:footnote>
  <w:footnote w:id="2">
    <w:p w:rsidR="00556C73" w:rsidRDefault="00556C73" w:rsidP="00556C73">
      <w:pPr>
        <w:pStyle w:val="Ttulo2"/>
      </w:pPr>
      <w:r>
        <w:rPr>
          <w:rStyle w:val="Refdenotaalpie"/>
        </w:rPr>
        <w:footnoteRef/>
      </w:r>
      <w:r>
        <w:t xml:space="preserve"> Universidad de Almería (España), </w:t>
      </w:r>
      <w:hyperlink r:id="rId1" w:history="1">
        <w:r w:rsidRPr="00F32575">
          <w:rPr>
            <w:rStyle w:val="Hipervnculo"/>
          </w:rPr>
          <w:t>aml570@ual.es</w:t>
        </w:r>
      </w:hyperlink>
      <w:r>
        <w:t xml:space="preserve">; </w:t>
      </w:r>
      <w:hyperlink r:id="rId2" w:history="1">
        <w:r w:rsidRPr="00F32575">
          <w:rPr>
            <w:rStyle w:val="Hipervnculo"/>
          </w:rPr>
          <w:t>https://orcid.org/0000-0001-6966-0355</w:t>
        </w:r>
      </w:hyperlink>
      <w:r>
        <w:t xml:space="preserve"> </w:t>
      </w:r>
    </w:p>
  </w:footnote>
  <w:footnote w:id="3">
    <w:p w:rsidR="00556C73" w:rsidRDefault="00556C73" w:rsidP="00556C73">
      <w:pPr>
        <w:pStyle w:val="Ttulo2"/>
      </w:pPr>
      <w:r>
        <w:rPr>
          <w:rStyle w:val="Refdenotaalpie"/>
        </w:rPr>
        <w:footnoteRef/>
      </w:r>
      <w:r>
        <w:t xml:space="preserve"> Universidad de Almería (España), </w:t>
      </w:r>
      <w:hyperlink r:id="rId3" w:history="1">
        <w:r w:rsidRPr="00F32575">
          <w:rPr>
            <w:rStyle w:val="Hipervnculo"/>
          </w:rPr>
          <w:t>gabbers1983@hotmail.com</w:t>
        </w:r>
      </w:hyperlink>
      <w:r>
        <w:t xml:space="preserve">; </w:t>
      </w:r>
      <w:hyperlink r:id="rId4" w:history="1">
        <w:r w:rsidRPr="00F32575">
          <w:rPr>
            <w:rStyle w:val="Hipervnculo"/>
          </w:rPr>
          <w:t>https://orcid.org/0000-0001-9746-9697</w:t>
        </w:r>
      </w:hyperlink>
      <w:r>
        <w:t xml:space="preserve"> </w:t>
      </w:r>
    </w:p>
  </w:footnote>
  <w:footnote w:id="4">
    <w:p w:rsidR="00556C73" w:rsidRDefault="00556C73" w:rsidP="00556C73">
      <w:pPr>
        <w:pStyle w:val="Ttulo2"/>
      </w:pPr>
      <w:r>
        <w:rPr>
          <w:rStyle w:val="Refdenotaalpie"/>
        </w:rPr>
        <w:footnoteRef/>
      </w:r>
      <w:r>
        <w:t xml:space="preserve"> Universidad</w:t>
      </w:r>
      <w:r w:rsidRPr="000B2652">
        <w:t xml:space="preserve"> </w:t>
      </w:r>
      <w:r>
        <w:t xml:space="preserve">de Almería (España), </w:t>
      </w:r>
      <w:hyperlink r:id="rId5" w:history="1">
        <w:r w:rsidRPr="00F32575">
          <w:rPr>
            <w:rStyle w:val="Hipervnculo"/>
          </w:rPr>
          <w:t>rtr088@ual.es</w:t>
        </w:r>
      </w:hyperlink>
      <w:r>
        <w:t xml:space="preserve">; </w:t>
      </w:r>
      <w:hyperlink r:id="rId6" w:history="1">
        <w:r w:rsidRPr="00F32575">
          <w:rPr>
            <w:rStyle w:val="Hipervnculo"/>
          </w:rPr>
          <w:t>https://orcid.org/0000-0001-8489-5179</w:t>
        </w:r>
      </w:hyperlink>
    </w:p>
  </w:footnote>
  <w:footnote w:id="5">
    <w:p w:rsidR="00556C73" w:rsidRDefault="00556C73" w:rsidP="00556C73">
      <w:pPr>
        <w:pStyle w:val="Ttulo2"/>
      </w:pPr>
      <w:r>
        <w:rPr>
          <w:rStyle w:val="Refdenotaalpie"/>
        </w:rPr>
        <w:footnoteRef/>
      </w:r>
      <w:r>
        <w:t xml:space="preserve"> Universidad</w:t>
      </w:r>
      <w:r w:rsidRPr="000B2652">
        <w:t xml:space="preserve"> </w:t>
      </w:r>
      <w:r>
        <w:t xml:space="preserve">de Almería (España), </w:t>
      </w:r>
      <w:hyperlink r:id="rId7" w:history="1">
        <w:r w:rsidRPr="00F32575">
          <w:rPr>
            <w:rStyle w:val="Hipervnculo"/>
          </w:rPr>
          <w:t>jalvarez@ual.es</w:t>
        </w:r>
      </w:hyperlink>
      <w:r>
        <w:t xml:space="preserve">; </w:t>
      </w:r>
      <w:hyperlink r:id="rId8" w:history="1">
        <w:r w:rsidRPr="00F32575">
          <w:rPr>
            <w:rStyle w:val="Hipervnculo"/>
          </w:rPr>
          <w:t>https://orcid.org/0000-0003-3916-6772</w:t>
        </w:r>
      </w:hyperlink>
      <w:r>
        <w:t xml:space="preserve"> </w:t>
      </w:r>
    </w:p>
  </w:footnote>
  <w:footnote w:id="6">
    <w:p w:rsidR="00556C73" w:rsidRDefault="00556C73" w:rsidP="00556C73">
      <w:pPr>
        <w:pStyle w:val="Ttulo2"/>
      </w:pPr>
      <w:r>
        <w:rPr>
          <w:rStyle w:val="Refdenotaalpie"/>
        </w:rPr>
        <w:footnoteRef/>
      </w:r>
      <w:r>
        <w:t xml:space="preserve"> Universidad</w:t>
      </w:r>
      <w:r w:rsidRPr="000B2652">
        <w:t xml:space="preserve"> </w:t>
      </w:r>
      <w:r>
        <w:t xml:space="preserve">de Almería (España), </w:t>
      </w:r>
      <w:hyperlink r:id="rId9" w:history="1">
        <w:r w:rsidRPr="00F32575">
          <w:rPr>
            <w:rStyle w:val="Hipervnculo"/>
          </w:rPr>
          <w:t>jmaguilar@ual.es</w:t>
        </w:r>
      </w:hyperlink>
      <w:r>
        <w:t xml:space="preserve">; </w:t>
      </w:r>
      <w:hyperlink r:id="rId10" w:history="1">
        <w:r w:rsidRPr="00F32575">
          <w:rPr>
            <w:rStyle w:val="Hipervnculo"/>
          </w:rPr>
          <w:t>https://orcid.org/0000-0002-6703-0680</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1AA1" w:rsidRPr="00FC1682" w:rsidRDefault="00C61AA1" w:rsidP="00FC1682">
    <w:pPr>
      <w:pStyle w:val="Encabezado"/>
      <w:pBdr>
        <w:bottom w:val="single" w:sz="4" w:space="1" w:color="auto"/>
      </w:pBdr>
      <w:rPr>
        <w:i/>
      </w:rPr>
    </w:pPr>
    <w:r>
      <w:rPr>
        <w:i/>
      </w:rPr>
      <w:t>Manzano-León</w:t>
    </w:r>
    <w:r w:rsidRPr="00FC1682">
      <w:rPr>
        <w:i/>
      </w:rPr>
      <w:t xml:space="preserve">, A., </w:t>
    </w:r>
    <w:r>
      <w:rPr>
        <w:i/>
      </w:rPr>
      <w:t>Sánchez-Sánchez</w:t>
    </w:r>
    <w:r w:rsidRPr="00FC1682">
      <w:rPr>
        <w:i/>
      </w:rPr>
      <w:t xml:space="preserve">, </w:t>
    </w:r>
    <w:r>
      <w:rPr>
        <w:i/>
      </w:rPr>
      <w:t>M</w:t>
    </w:r>
    <w:r w:rsidRPr="00FC1682">
      <w:rPr>
        <w:i/>
      </w:rPr>
      <w:t>.</w:t>
    </w:r>
    <w:r>
      <w:rPr>
        <w:i/>
      </w:rPr>
      <w:t xml:space="preserve"> Trigueros-Ramos, R</w:t>
    </w:r>
    <w:r w:rsidRPr="00FC1682">
      <w:rPr>
        <w:i/>
      </w:rPr>
      <w:t xml:space="preserve">, &amp; </w:t>
    </w:r>
    <w:r>
      <w:rPr>
        <w:i/>
      </w:rPr>
      <w:t>Aguilar-Parra</w:t>
    </w:r>
    <w:r w:rsidRPr="00FC1682">
      <w:rPr>
        <w:i/>
      </w:rPr>
      <w:t xml:space="preserve">, </w:t>
    </w:r>
    <w:r>
      <w:rPr>
        <w:i/>
      </w:rPr>
      <w:t>J.M</w:t>
    </w:r>
    <w:r w:rsidRPr="00FC1682">
      <w:rPr>
        <w:i/>
      </w:rPr>
      <w:t>.</w:t>
    </w:r>
  </w:p>
  <w:p w:rsidR="00C61AA1" w:rsidRDefault="00C61AA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1AA1" w:rsidRDefault="00C61AA1">
    <w:pPr>
      <w:pStyle w:val="Encabezado"/>
    </w:pPr>
  </w:p>
  <w:p w:rsidR="00C61AA1" w:rsidRDefault="00C61AA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783250"/>
    <w:multiLevelType w:val="hybridMultilevel"/>
    <w:tmpl w:val="40F68E06"/>
    <w:lvl w:ilvl="0" w:tplc="E5EC3596">
      <w:start w:val="19"/>
      <w:numFmt w:val="bullet"/>
      <w:lvlText w:val="-"/>
      <w:lvlJc w:val="left"/>
      <w:pPr>
        <w:ind w:left="765" w:hanging="360"/>
      </w:pPr>
      <w:rPr>
        <w:rFonts w:ascii="Arial" w:eastAsiaTheme="minorEastAsia" w:hAnsi="Arial" w:cs="Arial" w:hint="default"/>
      </w:rPr>
    </w:lvl>
    <w:lvl w:ilvl="1" w:tplc="040A0003">
      <w:start w:val="1"/>
      <w:numFmt w:val="bullet"/>
      <w:lvlText w:val="o"/>
      <w:lvlJc w:val="left"/>
      <w:pPr>
        <w:ind w:left="1485" w:hanging="360"/>
      </w:pPr>
      <w:rPr>
        <w:rFonts w:ascii="Courier New" w:hAnsi="Courier New" w:cs="Courier New" w:hint="default"/>
      </w:rPr>
    </w:lvl>
    <w:lvl w:ilvl="2" w:tplc="040A0005" w:tentative="1">
      <w:start w:val="1"/>
      <w:numFmt w:val="bullet"/>
      <w:lvlText w:val=""/>
      <w:lvlJc w:val="left"/>
      <w:pPr>
        <w:ind w:left="2205" w:hanging="360"/>
      </w:pPr>
      <w:rPr>
        <w:rFonts w:ascii="Wingdings" w:hAnsi="Wingdings" w:hint="default"/>
      </w:rPr>
    </w:lvl>
    <w:lvl w:ilvl="3" w:tplc="040A0001" w:tentative="1">
      <w:start w:val="1"/>
      <w:numFmt w:val="bullet"/>
      <w:lvlText w:val=""/>
      <w:lvlJc w:val="left"/>
      <w:pPr>
        <w:ind w:left="2925" w:hanging="360"/>
      </w:pPr>
      <w:rPr>
        <w:rFonts w:ascii="Symbol" w:hAnsi="Symbol" w:hint="default"/>
      </w:rPr>
    </w:lvl>
    <w:lvl w:ilvl="4" w:tplc="040A0003" w:tentative="1">
      <w:start w:val="1"/>
      <w:numFmt w:val="bullet"/>
      <w:lvlText w:val="o"/>
      <w:lvlJc w:val="left"/>
      <w:pPr>
        <w:ind w:left="3645" w:hanging="360"/>
      </w:pPr>
      <w:rPr>
        <w:rFonts w:ascii="Courier New" w:hAnsi="Courier New" w:cs="Courier New" w:hint="default"/>
      </w:rPr>
    </w:lvl>
    <w:lvl w:ilvl="5" w:tplc="040A0005" w:tentative="1">
      <w:start w:val="1"/>
      <w:numFmt w:val="bullet"/>
      <w:lvlText w:val=""/>
      <w:lvlJc w:val="left"/>
      <w:pPr>
        <w:ind w:left="4365" w:hanging="360"/>
      </w:pPr>
      <w:rPr>
        <w:rFonts w:ascii="Wingdings" w:hAnsi="Wingdings" w:hint="default"/>
      </w:rPr>
    </w:lvl>
    <w:lvl w:ilvl="6" w:tplc="040A0001" w:tentative="1">
      <w:start w:val="1"/>
      <w:numFmt w:val="bullet"/>
      <w:lvlText w:val=""/>
      <w:lvlJc w:val="left"/>
      <w:pPr>
        <w:ind w:left="5085" w:hanging="360"/>
      </w:pPr>
      <w:rPr>
        <w:rFonts w:ascii="Symbol" w:hAnsi="Symbol" w:hint="default"/>
      </w:rPr>
    </w:lvl>
    <w:lvl w:ilvl="7" w:tplc="040A0003" w:tentative="1">
      <w:start w:val="1"/>
      <w:numFmt w:val="bullet"/>
      <w:lvlText w:val="o"/>
      <w:lvlJc w:val="left"/>
      <w:pPr>
        <w:ind w:left="5805" w:hanging="360"/>
      </w:pPr>
      <w:rPr>
        <w:rFonts w:ascii="Courier New" w:hAnsi="Courier New" w:cs="Courier New" w:hint="default"/>
      </w:rPr>
    </w:lvl>
    <w:lvl w:ilvl="8" w:tplc="040A0005" w:tentative="1">
      <w:start w:val="1"/>
      <w:numFmt w:val="bullet"/>
      <w:lvlText w:val=""/>
      <w:lvlJc w:val="left"/>
      <w:pPr>
        <w:ind w:left="6525" w:hanging="360"/>
      </w:pPr>
      <w:rPr>
        <w:rFonts w:ascii="Wingdings" w:hAnsi="Wingdings" w:hint="default"/>
      </w:rPr>
    </w:lvl>
  </w:abstractNum>
  <w:abstractNum w:abstractNumId="2" w15:restartNumberingAfterBreak="0">
    <w:nsid w:val="05C92E5A"/>
    <w:multiLevelType w:val="multilevel"/>
    <w:tmpl w:val="C61CD9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9629C9"/>
    <w:multiLevelType w:val="multilevel"/>
    <w:tmpl w:val="659C6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9A7162"/>
    <w:multiLevelType w:val="hybridMultilevel"/>
    <w:tmpl w:val="FFB20308"/>
    <w:lvl w:ilvl="0" w:tplc="F8DEFF84">
      <w:start w:val="4"/>
      <w:numFmt w:val="bullet"/>
      <w:lvlText w:val="-"/>
      <w:lvlJc w:val="left"/>
      <w:pPr>
        <w:ind w:left="720" w:hanging="360"/>
      </w:pPr>
      <w:rPr>
        <w:rFonts w:ascii="Arial" w:eastAsiaTheme="minorHAnsi"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29677CFD"/>
    <w:multiLevelType w:val="hybridMultilevel"/>
    <w:tmpl w:val="1A7C476E"/>
    <w:lvl w:ilvl="0" w:tplc="3254066E">
      <w:start w:val="1"/>
      <w:numFmt w:val="decimal"/>
      <w:lvlText w:val="%1)"/>
      <w:lvlJc w:val="left"/>
      <w:pPr>
        <w:ind w:left="765" w:hanging="360"/>
      </w:pPr>
      <w:rPr>
        <w:rFonts w:hint="default"/>
      </w:rPr>
    </w:lvl>
    <w:lvl w:ilvl="1" w:tplc="040A0019" w:tentative="1">
      <w:start w:val="1"/>
      <w:numFmt w:val="lowerLetter"/>
      <w:lvlText w:val="%2."/>
      <w:lvlJc w:val="left"/>
      <w:pPr>
        <w:ind w:left="1485" w:hanging="360"/>
      </w:pPr>
    </w:lvl>
    <w:lvl w:ilvl="2" w:tplc="040A001B" w:tentative="1">
      <w:start w:val="1"/>
      <w:numFmt w:val="lowerRoman"/>
      <w:lvlText w:val="%3."/>
      <w:lvlJc w:val="right"/>
      <w:pPr>
        <w:ind w:left="2205" w:hanging="180"/>
      </w:pPr>
    </w:lvl>
    <w:lvl w:ilvl="3" w:tplc="040A000F" w:tentative="1">
      <w:start w:val="1"/>
      <w:numFmt w:val="decimal"/>
      <w:lvlText w:val="%4."/>
      <w:lvlJc w:val="left"/>
      <w:pPr>
        <w:ind w:left="2925" w:hanging="360"/>
      </w:pPr>
    </w:lvl>
    <w:lvl w:ilvl="4" w:tplc="040A0019" w:tentative="1">
      <w:start w:val="1"/>
      <w:numFmt w:val="lowerLetter"/>
      <w:lvlText w:val="%5."/>
      <w:lvlJc w:val="left"/>
      <w:pPr>
        <w:ind w:left="3645" w:hanging="360"/>
      </w:pPr>
    </w:lvl>
    <w:lvl w:ilvl="5" w:tplc="040A001B" w:tentative="1">
      <w:start w:val="1"/>
      <w:numFmt w:val="lowerRoman"/>
      <w:lvlText w:val="%6."/>
      <w:lvlJc w:val="right"/>
      <w:pPr>
        <w:ind w:left="4365" w:hanging="180"/>
      </w:pPr>
    </w:lvl>
    <w:lvl w:ilvl="6" w:tplc="040A000F" w:tentative="1">
      <w:start w:val="1"/>
      <w:numFmt w:val="decimal"/>
      <w:lvlText w:val="%7."/>
      <w:lvlJc w:val="left"/>
      <w:pPr>
        <w:ind w:left="5085" w:hanging="360"/>
      </w:pPr>
    </w:lvl>
    <w:lvl w:ilvl="7" w:tplc="040A0019" w:tentative="1">
      <w:start w:val="1"/>
      <w:numFmt w:val="lowerLetter"/>
      <w:lvlText w:val="%8."/>
      <w:lvlJc w:val="left"/>
      <w:pPr>
        <w:ind w:left="5805" w:hanging="360"/>
      </w:pPr>
    </w:lvl>
    <w:lvl w:ilvl="8" w:tplc="040A001B" w:tentative="1">
      <w:start w:val="1"/>
      <w:numFmt w:val="lowerRoman"/>
      <w:lvlText w:val="%9."/>
      <w:lvlJc w:val="right"/>
      <w:pPr>
        <w:ind w:left="6525" w:hanging="180"/>
      </w:pPr>
    </w:lvl>
  </w:abstractNum>
  <w:abstractNum w:abstractNumId="6" w15:restartNumberingAfterBreak="0">
    <w:nsid w:val="356A63C1"/>
    <w:multiLevelType w:val="hybridMultilevel"/>
    <w:tmpl w:val="566A7AEA"/>
    <w:lvl w:ilvl="0" w:tplc="040A0011">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15:restartNumberingAfterBreak="0">
    <w:nsid w:val="57396AB7"/>
    <w:multiLevelType w:val="multilevel"/>
    <w:tmpl w:val="9D88F3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02948C0"/>
    <w:multiLevelType w:val="multilevel"/>
    <w:tmpl w:val="3ED6F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ACD163F"/>
    <w:multiLevelType w:val="multilevel"/>
    <w:tmpl w:val="338602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644651D"/>
    <w:multiLevelType w:val="multilevel"/>
    <w:tmpl w:val="AF5613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10"/>
  </w:num>
  <w:num w:numId="4">
    <w:abstractNumId w:val="0"/>
  </w:num>
  <w:num w:numId="5">
    <w:abstractNumId w:val="6"/>
  </w:num>
  <w:num w:numId="6">
    <w:abstractNumId w:val="5"/>
  </w:num>
  <w:num w:numId="7">
    <w:abstractNumId w:val="2"/>
  </w:num>
  <w:num w:numId="8">
    <w:abstractNumId w:val="7"/>
  </w:num>
  <w:num w:numId="9">
    <w:abstractNumId w:val="9"/>
  </w:num>
  <w:num w:numId="10">
    <w:abstractNumId w:val="3"/>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45C2"/>
    <w:rsid w:val="00022D61"/>
    <w:rsid w:val="0002779B"/>
    <w:rsid w:val="0003063C"/>
    <w:rsid w:val="00031EF3"/>
    <w:rsid w:val="000553B5"/>
    <w:rsid w:val="000605C7"/>
    <w:rsid w:val="00066DAB"/>
    <w:rsid w:val="000A4190"/>
    <w:rsid w:val="000B2652"/>
    <w:rsid w:val="000F2638"/>
    <w:rsid w:val="000F66CD"/>
    <w:rsid w:val="00106ECD"/>
    <w:rsid w:val="001A1E15"/>
    <w:rsid w:val="001D32A2"/>
    <w:rsid w:val="001E7EB5"/>
    <w:rsid w:val="002069DA"/>
    <w:rsid w:val="002265BD"/>
    <w:rsid w:val="00227277"/>
    <w:rsid w:val="0027749E"/>
    <w:rsid w:val="002805F0"/>
    <w:rsid w:val="002954E5"/>
    <w:rsid w:val="002C21DF"/>
    <w:rsid w:val="00304C31"/>
    <w:rsid w:val="00306CAE"/>
    <w:rsid w:val="0033396A"/>
    <w:rsid w:val="00335323"/>
    <w:rsid w:val="00343519"/>
    <w:rsid w:val="003611C9"/>
    <w:rsid w:val="00371513"/>
    <w:rsid w:val="00382DC7"/>
    <w:rsid w:val="003876D2"/>
    <w:rsid w:val="003B5200"/>
    <w:rsid w:val="003C6F23"/>
    <w:rsid w:val="003D29DC"/>
    <w:rsid w:val="003E38AF"/>
    <w:rsid w:val="004221C4"/>
    <w:rsid w:val="0043029F"/>
    <w:rsid w:val="00476A71"/>
    <w:rsid w:val="0048432E"/>
    <w:rsid w:val="004A6BF9"/>
    <w:rsid w:val="004B2A72"/>
    <w:rsid w:val="004E64A9"/>
    <w:rsid w:val="00512E5E"/>
    <w:rsid w:val="00535D3E"/>
    <w:rsid w:val="00536D01"/>
    <w:rsid w:val="00556604"/>
    <w:rsid w:val="00556C73"/>
    <w:rsid w:val="005B0D76"/>
    <w:rsid w:val="00642D49"/>
    <w:rsid w:val="006518C1"/>
    <w:rsid w:val="00671462"/>
    <w:rsid w:val="006958FA"/>
    <w:rsid w:val="006A7309"/>
    <w:rsid w:val="006E2AA0"/>
    <w:rsid w:val="006E758E"/>
    <w:rsid w:val="006F64B7"/>
    <w:rsid w:val="00721136"/>
    <w:rsid w:val="00726B53"/>
    <w:rsid w:val="00751ACE"/>
    <w:rsid w:val="00771DBC"/>
    <w:rsid w:val="00783E6E"/>
    <w:rsid w:val="007A1AB3"/>
    <w:rsid w:val="007A3027"/>
    <w:rsid w:val="007F70A2"/>
    <w:rsid w:val="00810743"/>
    <w:rsid w:val="00812035"/>
    <w:rsid w:val="0081464B"/>
    <w:rsid w:val="00825994"/>
    <w:rsid w:val="00826E32"/>
    <w:rsid w:val="00872E0A"/>
    <w:rsid w:val="008809B8"/>
    <w:rsid w:val="008D62EC"/>
    <w:rsid w:val="008E1FAB"/>
    <w:rsid w:val="00900A28"/>
    <w:rsid w:val="009336D9"/>
    <w:rsid w:val="00941554"/>
    <w:rsid w:val="00946DC1"/>
    <w:rsid w:val="00951B58"/>
    <w:rsid w:val="00955967"/>
    <w:rsid w:val="00956B37"/>
    <w:rsid w:val="009643B4"/>
    <w:rsid w:val="00964681"/>
    <w:rsid w:val="00A24267"/>
    <w:rsid w:val="00A34D67"/>
    <w:rsid w:val="00A651EB"/>
    <w:rsid w:val="00A7119B"/>
    <w:rsid w:val="00A945C2"/>
    <w:rsid w:val="00A94615"/>
    <w:rsid w:val="00AA732A"/>
    <w:rsid w:val="00AD1441"/>
    <w:rsid w:val="00AE4A4F"/>
    <w:rsid w:val="00AF3498"/>
    <w:rsid w:val="00B06A06"/>
    <w:rsid w:val="00B327FC"/>
    <w:rsid w:val="00B673D7"/>
    <w:rsid w:val="00BA11A8"/>
    <w:rsid w:val="00BD7F49"/>
    <w:rsid w:val="00BE053A"/>
    <w:rsid w:val="00C529E2"/>
    <w:rsid w:val="00C61AA1"/>
    <w:rsid w:val="00C8493F"/>
    <w:rsid w:val="00CA6931"/>
    <w:rsid w:val="00CD2C26"/>
    <w:rsid w:val="00D006E9"/>
    <w:rsid w:val="00D47EC4"/>
    <w:rsid w:val="00D51383"/>
    <w:rsid w:val="00D52DF2"/>
    <w:rsid w:val="00D56714"/>
    <w:rsid w:val="00D700E1"/>
    <w:rsid w:val="00D869C3"/>
    <w:rsid w:val="00DB3FE8"/>
    <w:rsid w:val="00DF1CE0"/>
    <w:rsid w:val="00E01B12"/>
    <w:rsid w:val="00E0724A"/>
    <w:rsid w:val="00E25B9A"/>
    <w:rsid w:val="00E6312F"/>
    <w:rsid w:val="00EC5C4C"/>
    <w:rsid w:val="00ED41E6"/>
    <w:rsid w:val="00EE2C30"/>
    <w:rsid w:val="00EF5131"/>
    <w:rsid w:val="00F02EED"/>
    <w:rsid w:val="00F138F1"/>
    <w:rsid w:val="00F23E15"/>
    <w:rsid w:val="00F40CD5"/>
    <w:rsid w:val="00F55D6A"/>
    <w:rsid w:val="00F654D7"/>
    <w:rsid w:val="00F724E1"/>
    <w:rsid w:val="00F773FA"/>
    <w:rsid w:val="00F8280C"/>
    <w:rsid w:val="00F82A2C"/>
    <w:rsid w:val="00F9180A"/>
    <w:rsid w:val="00FA0930"/>
    <w:rsid w:val="00FC1682"/>
    <w:rsid w:val="00FD4222"/>
    <w:rsid w:val="00FE203F"/>
    <w:rsid w:val="00FE519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03A440-1D62-C243-8683-C82972ECF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EXTO"/>
    <w:qFormat/>
    <w:rsid w:val="00F9180A"/>
    <w:pPr>
      <w:spacing w:after="0" w:line="240" w:lineRule="auto"/>
    </w:pPr>
    <w:rPr>
      <w:rFonts w:ascii="Times New Roman" w:eastAsia="Times New Roman" w:hAnsi="Times New Roman" w:cs="Times New Roman"/>
      <w:sz w:val="24"/>
      <w:szCs w:val="24"/>
      <w:lang w:eastAsia="es-ES_tradnl"/>
    </w:rPr>
  </w:style>
  <w:style w:type="paragraph" w:styleId="Ttulo1">
    <w:name w:val="heading 1"/>
    <w:aliases w:val="Resumen y Palabas clave"/>
    <w:basedOn w:val="Normal"/>
    <w:next w:val="Normal"/>
    <w:link w:val="Ttulo1Car"/>
    <w:uiPriority w:val="9"/>
    <w:qFormat/>
    <w:rsid w:val="00EE2C30"/>
    <w:pPr>
      <w:keepNext/>
      <w:keepLines/>
      <w:jc w:val="both"/>
      <w:outlineLvl w:val="0"/>
    </w:pPr>
    <w:rPr>
      <w:rFonts w:ascii="Century Gothic" w:eastAsiaTheme="majorEastAsia" w:hAnsi="Century Gothic" w:cstheme="majorBidi"/>
      <w:bCs/>
      <w:sz w:val="18"/>
      <w:szCs w:val="28"/>
      <w:lang w:eastAsia="en-US"/>
    </w:rPr>
  </w:style>
  <w:style w:type="paragraph" w:styleId="Ttulo2">
    <w:name w:val="heading 2"/>
    <w:aliases w:val="Pie de págiona datos autores"/>
    <w:basedOn w:val="Normal"/>
    <w:next w:val="Normal"/>
    <w:link w:val="Ttulo2Car"/>
    <w:uiPriority w:val="9"/>
    <w:unhideWhenUsed/>
    <w:qFormat/>
    <w:rsid w:val="00A945C2"/>
    <w:pPr>
      <w:keepNext/>
      <w:keepLines/>
      <w:jc w:val="both"/>
      <w:outlineLvl w:val="1"/>
    </w:pPr>
    <w:rPr>
      <w:rFonts w:ascii="Century Gothic" w:eastAsiaTheme="majorEastAsia" w:hAnsi="Century Gothic" w:cstheme="majorBidi"/>
      <w:bCs/>
      <w:sz w:val="16"/>
      <w:szCs w:val="26"/>
      <w:lang w:eastAsia="en-US"/>
    </w:rPr>
  </w:style>
  <w:style w:type="paragraph" w:styleId="Ttulo3">
    <w:name w:val="heading 3"/>
    <w:aliases w:val="TÍTULO APARTADO PRINCIPAL"/>
    <w:basedOn w:val="Normal"/>
    <w:next w:val="Normal"/>
    <w:link w:val="Ttulo3Car"/>
    <w:uiPriority w:val="9"/>
    <w:unhideWhenUsed/>
    <w:rsid w:val="0027749E"/>
    <w:pPr>
      <w:keepNext/>
      <w:keepLines/>
      <w:spacing w:before="120" w:line="360" w:lineRule="auto"/>
      <w:jc w:val="both"/>
      <w:outlineLvl w:val="2"/>
    </w:pPr>
    <w:rPr>
      <w:rFonts w:ascii="Century Gothic" w:eastAsiaTheme="majorEastAsia" w:hAnsi="Century Gothic" w:cstheme="majorBidi"/>
      <w:b/>
      <w:bCs/>
      <w:szCs w:val="22"/>
      <w:lang w:eastAsia="en-US"/>
    </w:rPr>
  </w:style>
  <w:style w:type="paragraph" w:styleId="Ttulo4">
    <w:name w:val="heading 4"/>
    <w:aliases w:val="SUB-APARTADO"/>
    <w:basedOn w:val="Normal"/>
    <w:next w:val="Normal"/>
    <w:link w:val="Ttulo4Car"/>
    <w:uiPriority w:val="9"/>
    <w:unhideWhenUsed/>
    <w:qFormat/>
    <w:rsid w:val="00FC1682"/>
    <w:pPr>
      <w:keepNext/>
      <w:keepLines/>
      <w:spacing w:line="360" w:lineRule="auto"/>
      <w:outlineLvl w:val="3"/>
    </w:pPr>
    <w:rPr>
      <w:rFonts w:ascii="Century Gothic" w:eastAsiaTheme="majorEastAsia" w:hAnsi="Century Gothic" w:cstheme="majorBidi"/>
      <w:bCs/>
      <w:i/>
      <w:iCs/>
      <w:sz w:val="16"/>
      <w:szCs w:val="22"/>
      <w:lang w:eastAsia="en-US"/>
    </w:rPr>
  </w:style>
  <w:style w:type="paragraph" w:styleId="Ttulo5">
    <w:name w:val="heading 5"/>
    <w:basedOn w:val="Normal"/>
    <w:next w:val="Normal"/>
    <w:link w:val="Ttulo5Car"/>
    <w:uiPriority w:val="9"/>
    <w:semiHidden/>
    <w:unhideWhenUsed/>
    <w:rsid w:val="00FC1682"/>
    <w:pPr>
      <w:keepNext/>
      <w:keepLines/>
      <w:spacing w:before="200" w:line="276" w:lineRule="auto"/>
      <w:outlineLvl w:val="4"/>
    </w:pPr>
    <w:rPr>
      <w:rFonts w:asciiTheme="majorHAnsi" w:eastAsiaTheme="majorEastAsia" w:hAnsiTheme="majorHAnsi" w:cstheme="majorBidi"/>
      <w:color w:val="243F60" w:themeColor="accent1" w:themeShade="7F"/>
      <w:sz w:val="18"/>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945C2"/>
    <w:pPr>
      <w:tabs>
        <w:tab w:val="center" w:pos="4252"/>
        <w:tab w:val="right" w:pos="8504"/>
      </w:tabs>
    </w:pPr>
    <w:rPr>
      <w:rFonts w:ascii="Century Gothic" w:eastAsiaTheme="minorHAnsi" w:hAnsi="Century Gothic" w:cstheme="minorBidi"/>
      <w:sz w:val="18"/>
      <w:szCs w:val="22"/>
      <w:lang w:eastAsia="en-US"/>
    </w:rPr>
  </w:style>
  <w:style w:type="character" w:customStyle="1" w:styleId="EncabezadoCar">
    <w:name w:val="Encabezado Car"/>
    <w:basedOn w:val="Fuentedeprrafopredeter"/>
    <w:link w:val="Encabezado"/>
    <w:uiPriority w:val="99"/>
    <w:rsid w:val="00A945C2"/>
  </w:style>
  <w:style w:type="paragraph" w:styleId="Piedepgina">
    <w:name w:val="footer"/>
    <w:basedOn w:val="Normal"/>
    <w:link w:val="PiedepginaCar"/>
    <w:uiPriority w:val="99"/>
    <w:unhideWhenUsed/>
    <w:rsid w:val="00A945C2"/>
    <w:pPr>
      <w:tabs>
        <w:tab w:val="center" w:pos="4252"/>
        <w:tab w:val="right" w:pos="8504"/>
      </w:tabs>
    </w:pPr>
    <w:rPr>
      <w:rFonts w:ascii="Century Gothic" w:eastAsiaTheme="minorHAnsi" w:hAnsi="Century Gothic" w:cstheme="minorBidi"/>
      <w:sz w:val="18"/>
      <w:szCs w:val="22"/>
      <w:lang w:eastAsia="en-US"/>
    </w:rPr>
  </w:style>
  <w:style w:type="character" w:customStyle="1" w:styleId="PiedepginaCar">
    <w:name w:val="Pie de página Car"/>
    <w:basedOn w:val="Fuentedeprrafopredeter"/>
    <w:link w:val="Piedepgina"/>
    <w:uiPriority w:val="99"/>
    <w:rsid w:val="00A945C2"/>
  </w:style>
  <w:style w:type="paragraph" w:styleId="Textodeglobo">
    <w:name w:val="Balloon Text"/>
    <w:basedOn w:val="Normal"/>
    <w:link w:val="TextodegloboCar"/>
    <w:uiPriority w:val="99"/>
    <w:semiHidden/>
    <w:unhideWhenUsed/>
    <w:rsid w:val="00A945C2"/>
    <w:rPr>
      <w:rFonts w:ascii="Tahoma" w:eastAsiaTheme="minorHAnsi" w:hAnsi="Tahoma" w:cs="Tahoma"/>
      <w:sz w:val="16"/>
      <w:szCs w:val="16"/>
      <w:lang w:eastAsia="en-US"/>
    </w:rPr>
  </w:style>
  <w:style w:type="character" w:customStyle="1" w:styleId="TextodegloboCar">
    <w:name w:val="Texto de globo Car"/>
    <w:basedOn w:val="Fuentedeprrafopredeter"/>
    <w:link w:val="Textodeglobo"/>
    <w:uiPriority w:val="99"/>
    <w:semiHidden/>
    <w:rsid w:val="00A945C2"/>
    <w:rPr>
      <w:rFonts w:ascii="Tahoma" w:hAnsi="Tahoma" w:cs="Tahoma"/>
      <w:sz w:val="16"/>
      <w:szCs w:val="16"/>
    </w:rPr>
  </w:style>
  <w:style w:type="paragraph" w:customStyle="1" w:styleId="TTULODELARTCULO">
    <w:name w:val="TÍTULO DEL ARTÍCULO"/>
    <w:basedOn w:val="Normal"/>
    <w:link w:val="TTULODELARTCULOCar"/>
    <w:qFormat/>
    <w:rsid w:val="00A945C2"/>
    <w:pPr>
      <w:spacing w:line="360" w:lineRule="auto"/>
      <w:jc w:val="center"/>
    </w:pPr>
    <w:rPr>
      <w:rFonts w:ascii="Century Gothic" w:eastAsiaTheme="minorHAnsi" w:hAnsi="Century Gothic" w:cstheme="minorBidi"/>
      <w:b/>
      <w:sz w:val="28"/>
      <w:szCs w:val="28"/>
      <w:lang w:eastAsia="en-US"/>
    </w:rPr>
  </w:style>
  <w:style w:type="paragraph" w:styleId="Sinespaciado">
    <w:name w:val="No Spacing"/>
    <w:aliases w:val="autores"/>
    <w:uiPriority w:val="1"/>
    <w:qFormat/>
    <w:rsid w:val="00A945C2"/>
    <w:pPr>
      <w:spacing w:after="0" w:line="240" w:lineRule="auto"/>
    </w:pPr>
  </w:style>
  <w:style w:type="character" w:customStyle="1" w:styleId="TTULODELARTCULOCar">
    <w:name w:val="TÍTULO DEL ARTÍCULO Car"/>
    <w:basedOn w:val="Fuentedeprrafopredeter"/>
    <w:link w:val="TTULODELARTCULO"/>
    <w:rsid w:val="00A945C2"/>
    <w:rPr>
      <w:rFonts w:ascii="Century Gothic" w:hAnsi="Century Gothic"/>
      <w:b/>
      <w:sz w:val="28"/>
      <w:szCs w:val="28"/>
    </w:rPr>
  </w:style>
  <w:style w:type="paragraph" w:styleId="Textonotapie">
    <w:name w:val="footnote text"/>
    <w:basedOn w:val="Normal"/>
    <w:link w:val="TextonotapieCar"/>
    <w:uiPriority w:val="99"/>
    <w:semiHidden/>
    <w:unhideWhenUsed/>
    <w:rsid w:val="00A945C2"/>
    <w:rPr>
      <w:rFonts w:ascii="Century Gothic" w:eastAsiaTheme="minorHAnsi" w:hAnsi="Century Gothic" w:cstheme="minorBidi"/>
      <w:sz w:val="20"/>
      <w:szCs w:val="20"/>
      <w:lang w:eastAsia="en-US"/>
    </w:rPr>
  </w:style>
  <w:style w:type="character" w:customStyle="1" w:styleId="TextonotapieCar">
    <w:name w:val="Texto nota pie Car"/>
    <w:basedOn w:val="Fuentedeprrafopredeter"/>
    <w:link w:val="Textonotapie"/>
    <w:uiPriority w:val="99"/>
    <w:semiHidden/>
    <w:rsid w:val="00A945C2"/>
    <w:rPr>
      <w:sz w:val="20"/>
      <w:szCs w:val="20"/>
    </w:rPr>
  </w:style>
  <w:style w:type="character" w:styleId="Refdenotaalpie">
    <w:name w:val="footnote reference"/>
    <w:basedOn w:val="Fuentedeprrafopredeter"/>
    <w:uiPriority w:val="99"/>
    <w:semiHidden/>
    <w:unhideWhenUsed/>
    <w:rsid w:val="00A945C2"/>
    <w:rPr>
      <w:vertAlign w:val="superscript"/>
    </w:rPr>
  </w:style>
  <w:style w:type="character" w:customStyle="1" w:styleId="Ttulo1Car">
    <w:name w:val="Título 1 Car"/>
    <w:aliases w:val="Resumen y Palabas clave Car"/>
    <w:basedOn w:val="Fuentedeprrafopredeter"/>
    <w:link w:val="Ttulo1"/>
    <w:uiPriority w:val="9"/>
    <w:rsid w:val="00EE2C30"/>
    <w:rPr>
      <w:rFonts w:ascii="Century Gothic" w:eastAsiaTheme="majorEastAsia" w:hAnsi="Century Gothic" w:cstheme="majorBidi"/>
      <w:bCs/>
      <w:sz w:val="18"/>
      <w:szCs w:val="28"/>
    </w:rPr>
  </w:style>
  <w:style w:type="character" w:customStyle="1" w:styleId="Ttulo2Car">
    <w:name w:val="Título 2 Car"/>
    <w:aliases w:val="Pie de págiona datos autores Car"/>
    <w:basedOn w:val="Fuentedeprrafopredeter"/>
    <w:link w:val="Ttulo2"/>
    <w:uiPriority w:val="9"/>
    <w:rsid w:val="00A945C2"/>
    <w:rPr>
      <w:rFonts w:ascii="Century Gothic" w:eastAsiaTheme="majorEastAsia" w:hAnsi="Century Gothic" w:cstheme="majorBidi"/>
      <w:bCs/>
      <w:sz w:val="16"/>
      <w:szCs w:val="26"/>
    </w:rPr>
  </w:style>
  <w:style w:type="character" w:customStyle="1" w:styleId="Ttulo3Car">
    <w:name w:val="Título 3 Car"/>
    <w:aliases w:val="TÍTULO APARTADO PRINCIPAL Car"/>
    <w:basedOn w:val="Fuentedeprrafopredeter"/>
    <w:link w:val="Ttulo3"/>
    <w:uiPriority w:val="9"/>
    <w:rsid w:val="0027749E"/>
    <w:rPr>
      <w:rFonts w:ascii="Century Gothic" w:eastAsiaTheme="majorEastAsia" w:hAnsi="Century Gothic" w:cstheme="majorBidi"/>
      <w:b/>
      <w:bCs/>
      <w:sz w:val="24"/>
    </w:rPr>
  </w:style>
  <w:style w:type="paragraph" w:styleId="Puesto">
    <w:name w:val="Title"/>
    <w:aliases w:val="TEXTO ARTICULO"/>
    <w:basedOn w:val="Normal"/>
    <w:next w:val="Normal"/>
    <w:link w:val="PuestoCar"/>
    <w:uiPriority w:val="10"/>
    <w:rsid w:val="00AF3498"/>
    <w:pPr>
      <w:pBdr>
        <w:bottom w:val="single" w:sz="8" w:space="4" w:color="4F81BD" w:themeColor="accent1"/>
      </w:pBdr>
      <w:spacing w:after="120" w:line="360" w:lineRule="auto"/>
      <w:contextualSpacing/>
    </w:pPr>
    <w:rPr>
      <w:rFonts w:ascii="Century Gothic" w:eastAsiaTheme="majorEastAsia" w:hAnsi="Century Gothic" w:cstheme="majorBidi"/>
      <w:spacing w:val="5"/>
      <w:kern w:val="28"/>
      <w:sz w:val="22"/>
      <w:szCs w:val="52"/>
      <w:lang w:eastAsia="en-US"/>
    </w:rPr>
  </w:style>
  <w:style w:type="character" w:customStyle="1" w:styleId="PuestoCar">
    <w:name w:val="Puesto Car"/>
    <w:aliases w:val="TEXTO ARTICULO Car"/>
    <w:basedOn w:val="Fuentedeprrafopredeter"/>
    <w:link w:val="Puesto"/>
    <w:uiPriority w:val="10"/>
    <w:rsid w:val="00AF3498"/>
    <w:rPr>
      <w:rFonts w:ascii="Century Gothic" w:eastAsiaTheme="majorEastAsia" w:hAnsi="Century Gothic" w:cstheme="majorBidi"/>
      <w:spacing w:val="5"/>
      <w:kern w:val="28"/>
      <w:szCs w:val="52"/>
    </w:rPr>
  </w:style>
  <w:style w:type="character" w:customStyle="1" w:styleId="Ttulo4Car">
    <w:name w:val="Título 4 Car"/>
    <w:aliases w:val="SUB-APARTADO Car"/>
    <w:basedOn w:val="Fuentedeprrafopredeter"/>
    <w:link w:val="Ttulo4"/>
    <w:uiPriority w:val="9"/>
    <w:rsid w:val="00FC1682"/>
    <w:rPr>
      <w:rFonts w:ascii="Century Gothic" w:eastAsiaTheme="majorEastAsia" w:hAnsi="Century Gothic" w:cstheme="majorBidi"/>
      <w:bCs/>
      <w:i/>
      <w:iCs/>
      <w:sz w:val="16"/>
    </w:rPr>
  </w:style>
  <w:style w:type="character" w:customStyle="1" w:styleId="Ttulo5Car">
    <w:name w:val="Título 5 Car"/>
    <w:basedOn w:val="Fuentedeprrafopredeter"/>
    <w:link w:val="Ttulo5"/>
    <w:uiPriority w:val="9"/>
    <w:semiHidden/>
    <w:rsid w:val="00FC1682"/>
    <w:rPr>
      <w:rFonts w:asciiTheme="majorHAnsi" w:eastAsiaTheme="majorEastAsia" w:hAnsiTheme="majorHAnsi" w:cstheme="majorBidi"/>
      <w:color w:val="243F60" w:themeColor="accent1" w:themeShade="7F"/>
      <w:sz w:val="18"/>
    </w:rPr>
  </w:style>
  <w:style w:type="character" w:styleId="Hipervnculo">
    <w:name w:val="Hyperlink"/>
    <w:uiPriority w:val="99"/>
    <w:rsid w:val="00FC1682"/>
    <w:rPr>
      <w:noProof w:val="0"/>
      <w:color w:val="000080"/>
      <w:u w:val="single"/>
    </w:rPr>
  </w:style>
  <w:style w:type="character" w:styleId="nfasis">
    <w:name w:val="Emphasis"/>
    <w:aliases w:val="APARTADO 1"/>
    <w:basedOn w:val="Fuentedeprrafopredeter"/>
    <w:uiPriority w:val="20"/>
    <w:rsid w:val="0027749E"/>
    <w:rPr>
      <w:rFonts w:ascii="Century Gothic" w:hAnsi="Century Gothic"/>
      <w:b/>
      <w:iCs/>
      <w:sz w:val="24"/>
    </w:rPr>
  </w:style>
  <w:style w:type="paragraph" w:customStyle="1" w:styleId="APARTADOPRINCIPAL">
    <w:name w:val="APARTADO PRINCIPAL"/>
    <w:basedOn w:val="Ttulo3"/>
    <w:link w:val="APARTADOPRINCIPALCar"/>
    <w:qFormat/>
    <w:rsid w:val="0027749E"/>
    <w:rPr>
      <w:lang w:val="en-GB"/>
    </w:rPr>
  </w:style>
  <w:style w:type="paragraph" w:customStyle="1" w:styleId="TEXTOSARTICULOS">
    <w:name w:val="TEXTOS ARTICULOS"/>
    <w:basedOn w:val="Normal"/>
    <w:link w:val="TEXTOSARTICULOSCar"/>
    <w:qFormat/>
    <w:rsid w:val="00F724E1"/>
    <w:pPr>
      <w:spacing w:line="360" w:lineRule="auto"/>
    </w:pPr>
    <w:rPr>
      <w:rFonts w:ascii="Century Gothic" w:eastAsiaTheme="minorHAnsi" w:hAnsi="Century Gothic" w:cstheme="minorBidi"/>
      <w:sz w:val="22"/>
      <w:szCs w:val="22"/>
      <w:lang w:val="en-GB" w:eastAsia="en-US"/>
    </w:rPr>
  </w:style>
  <w:style w:type="character" w:customStyle="1" w:styleId="APARTADOPRINCIPALCar">
    <w:name w:val="APARTADO PRINCIPAL Car"/>
    <w:basedOn w:val="Ttulo3Car"/>
    <w:link w:val="APARTADOPRINCIPAL"/>
    <w:rsid w:val="0027749E"/>
    <w:rPr>
      <w:rFonts w:ascii="Century Gothic" w:eastAsiaTheme="majorEastAsia" w:hAnsi="Century Gothic" w:cstheme="majorBidi"/>
      <w:b/>
      <w:bCs/>
      <w:sz w:val="24"/>
      <w:lang w:val="en-GB"/>
    </w:rPr>
  </w:style>
  <w:style w:type="character" w:customStyle="1" w:styleId="TEXTOSARTICULOSCar">
    <w:name w:val="TEXTOS ARTICULOS Car"/>
    <w:basedOn w:val="Fuentedeprrafopredeter"/>
    <w:link w:val="TEXTOSARTICULOS"/>
    <w:rsid w:val="00F724E1"/>
    <w:rPr>
      <w:rFonts w:ascii="Century Gothic" w:hAnsi="Century Gothic"/>
      <w:lang w:val="en-GB"/>
    </w:rPr>
  </w:style>
  <w:style w:type="table" w:styleId="Tablaconcuadrcula">
    <w:name w:val="Table Grid"/>
    <w:basedOn w:val="Tablanormal"/>
    <w:uiPriority w:val="59"/>
    <w:rsid w:val="00FA09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mbreadomulticolor-nfasis31">
    <w:name w:val="Sombreado multicolor - Énfasis 31"/>
    <w:basedOn w:val="Normal"/>
    <w:uiPriority w:val="34"/>
    <w:qFormat/>
    <w:rsid w:val="00D869C3"/>
    <w:pPr>
      <w:spacing w:after="160" w:line="259" w:lineRule="auto"/>
      <w:ind w:left="720"/>
      <w:contextualSpacing/>
    </w:pPr>
    <w:rPr>
      <w:rFonts w:ascii="Calibri" w:eastAsia="Calibri" w:hAnsi="Calibri"/>
      <w:sz w:val="22"/>
      <w:szCs w:val="22"/>
      <w:lang w:eastAsia="en-US"/>
    </w:rPr>
  </w:style>
  <w:style w:type="paragraph" w:styleId="Prrafodelista">
    <w:name w:val="List Paragraph"/>
    <w:basedOn w:val="Normal"/>
    <w:uiPriority w:val="34"/>
    <w:qFormat/>
    <w:rsid w:val="006A7309"/>
    <w:pPr>
      <w:spacing w:before="100" w:beforeAutospacing="1" w:after="100" w:afterAutospacing="1" w:line="360" w:lineRule="auto"/>
      <w:ind w:left="720" w:firstLine="708"/>
      <w:contextualSpacing/>
      <w:jc w:val="both"/>
    </w:pPr>
    <w:rPr>
      <w:rFonts w:ascii="Arial" w:eastAsiaTheme="minorEastAsia" w:hAnsi="Arial" w:cs="Arial"/>
      <w:color w:val="333333"/>
      <w:sz w:val="22"/>
      <w:szCs w:val="22"/>
      <w:lang w:val="es-ES_tradnl"/>
    </w:rPr>
  </w:style>
  <w:style w:type="paragraph" w:styleId="NormalWeb">
    <w:name w:val="Normal (Web)"/>
    <w:basedOn w:val="Normal"/>
    <w:uiPriority w:val="99"/>
    <w:unhideWhenUsed/>
    <w:rsid w:val="006A7309"/>
    <w:pPr>
      <w:spacing w:before="100" w:beforeAutospacing="1" w:after="100" w:afterAutospacing="1"/>
    </w:pPr>
  </w:style>
  <w:style w:type="character" w:customStyle="1" w:styleId="apple-converted-space">
    <w:name w:val="apple-converted-space"/>
    <w:basedOn w:val="Fuentedeprrafopredeter"/>
    <w:rsid w:val="006A7309"/>
  </w:style>
  <w:style w:type="character" w:customStyle="1" w:styleId="Mencinsinresolver1">
    <w:name w:val="Mención sin resolver1"/>
    <w:basedOn w:val="Fuentedeprrafopredeter"/>
    <w:uiPriority w:val="99"/>
    <w:semiHidden/>
    <w:unhideWhenUsed/>
    <w:rsid w:val="00F773FA"/>
    <w:rPr>
      <w:color w:val="605E5C"/>
      <w:shd w:val="clear" w:color="auto" w:fill="E1DFDD"/>
    </w:rPr>
  </w:style>
  <w:style w:type="character" w:styleId="Hipervnculovisitado">
    <w:name w:val="FollowedHyperlink"/>
    <w:basedOn w:val="Fuentedeprrafopredeter"/>
    <w:uiPriority w:val="99"/>
    <w:semiHidden/>
    <w:unhideWhenUsed/>
    <w:rsid w:val="00F773FA"/>
    <w:rPr>
      <w:color w:val="800080" w:themeColor="followedHyperlink"/>
      <w:u w:val="single"/>
    </w:rPr>
  </w:style>
  <w:style w:type="paragraph" w:customStyle="1" w:styleId="font8">
    <w:name w:val="font_8"/>
    <w:basedOn w:val="Normal"/>
    <w:rsid w:val="00FE203F"/>
    <w:pPr>
      <w:spacing w:before="100" w:beforeAutospacing="1" w:after="100" w:afterAutospacing="1"/>
    </w:pPr>
  </w:style>
  <w:style w:type="paragraph" w:styleId="HTMLconformatoprevio">
    <w:name w:val="HTML Preformatted"/>
    <w:basedOn w:val="Normal"/>
    <w:link w:val="HTMLconformatoprevioCar"/>
    <w:uiPriority w:val="99"/>
    <w:semiHidden/>
    <w:unhideWhenUsed/>
    <w:rsid w:val="009415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941554"/>
    <w:rPr>
      <w:rFonts w:ascii="Courier New" w:eastAsia="Times New Roman" w:hAnsi="Courier New" w:cs="Courier New"/>
      <w:sz w:val="20"/>
      <w:szCs w:val="20"/>
      <w:lang w:eastAsia="es-ES_tradnl"/>
    </w:rPr>
  </w:style>
  <w:style w:type="character" w:styleId="Textoennegrita">
    <w:name w:val="Strong"/>
    <w:basedOn w:val="Fuentedeprrafopredeter"/>
    <w:uiPriority w:val="22"/>
    <w:qFormat/>
    <w:rsid w:val="001E7EB5"/>
    <w:rPr>
      <w:b/>
      <w:bCs/>
    </w:rPr>
  </w:style>
  <w:style w:type="character" w:customStyle="1" w:styleId="UnresolvedMention">
    <w:name w:val="Unresolved Mention"/>
    <w:basedOn w:val="Fuentedeprrafopredeter"/>
    <w:uiPriority w:val="99"/>
    <w:semiHidden/>
    <w:unhideWhenUsed/>
    <w:rsid w:val="000B2652"/>
    <w:rPr>
      <w:color w:val="605E5C"/>
      <w:shd w:val="clear" w:color="auto" w:fill="E1DFDD"/>
    </w:rPr>
  </w:style>
  <w:style w:type="paragraph" w:customStyle="1" w:styleId="nova-e-listitem">
    <w:name w:val="nova-e-list__item"/>
    <w:basedOn w:val="Normal"/>
    <w:rsid w:val="00D56714"/>
    <w:pPr>
      <w:spacing w:before="100" w:beforeAutospacing="1" w:after="100" w:afterAutospacing="1"/>
    </w:pPr>
  </w:style>
  <w:style w:type="paragraph" w:customStyle="1" w:styleId="bibliographic-informationitem">
    <w:name w:val="bibliographic-information__item"/>
    <w:basedOn w:val="Normal"/>
    <w:rsid w:val="00F02EED"/>
    <w:pPr>
      <w:spacing w:before="100" w:beforeAutospacing="1" w:after="100" w:afterAutospacing="1"/>
    </w:pPr>
  </w:style>
  <w:style w:type="character" w:customStyle="1" w:styleId="bibliographic-informationtitle">
    <w:name w:val="bibliographic-information__title"/>
    <w:basedOn w:val="Fuentedeprrafopredeter"/>
    <w:rsid w:val="00F02EED"/>
  </w:style>
  <w:style w:type="character" w:customStyle="1" w:styleId="bibliographic-informationvalue">
    <w:name w:val="bibliographic-information__value"/>
    <w:basedOn w:val="Fuentedeprrafopredeter"/>
    <w:rsid w:val="00F02E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809664">
      <w:bodyDiv w:val="1"/>
      <w:marLeft w:val="0"/>
      <w:marRight w:val="0"/>
      <w:marTop w:val="0"/>
      <w:marBottom w:val="0"/>
      <w:divBdr>
        <w:top w:val="none" w:sz="0" w:space="0" w:color="auto"/>
        <w:left w:val="none" w:sz="0" w:space="0" w:color="auto"/>
        <w:bottom w:val="none" w:sz="0" w:space="0" w:color="auto"/>
        <w:right w:val="none" w:sz="0" w:space="0" w:color="auto"/>
      </w:divBdr>
      <w:divsChild>
        <w:div w:id="142627269">
          <w:marLeft w:val="0"/>
          <w:marRight w:val="0"/>
          <w:marTop w:val="0"/>
          <w:marBottom w:val="0"/>
          <w:divBdr>
            <w:top w:val="none" w:sz="0" w:space="0" w:color="auto"/>
            <w:left w:val="none" w:sz="0" w:space="0" w:color="auto"/>
            <w:bottom w:val="none" w:sz="0" w:space="0" w:color="auto"/>
            <w:right w:val="none" w:sz="0" w:space="0" w:color="auto"/>
          </w:divBdr>
          <w:divsChild>
            <w:div w:id="908227379">
              <w:marLeft w:val="0"/>
              <w:marRight w:val="0"/>
              <w:marTop w:val="0"/>
              <w:marBottom w:val="0"/>
              <w:divBdr>
                <w:top w:val="none" w:sz="0" w:space="0" w:color="auto"/>
                <w:left w:val="none" w:sz="0" w:space="0" w:color="auto"/>
                <w:bottom w:val="none" w:sz="0" w:space="0" w:color="auto"/>
                <w:right w:val="none" w:sz="0" w:space="0" w:color="auto"/>
              </w:divBdr>
              <w:divsChild>
                <w:div w:id="1666667827">
                  <w:marLeft w:val="0"/>
                  <w:marRight w:val="0"/>
                  <w:marTop w:val="0"/>
                  <w:marBottom w:val="0"/>
                  <w:divBdr>
                    <w:top w:val="none" w:sz="0" w:space="0" w:color="auto"/>
                    <w:left w:val="none" w:sz="0" w:space="0" w:color="auto"/>
                    <w:bottom w:val="none" w:sz="0" w:space="0" w:color="auto"/>
                    <w:right w:val="none" w:sz="0" w:space="0" w:color="auto"/>
                  </w:divBdr>
                  <w:divsChild>
                    <w:div w:id="22487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01423">
      <w:bodyDiv w:val="1"/>
      <w:marLeft w:val="0"/>
      <w:marRight w:val="0"/>
      <w:marTop w:val="0"/>
      <w:marBottom w:val="0"/>
      <w:divBdr>
        <w:top w:val="none" w:sz="0" w:space="0" w:color="auto"/>
        <w:left w:val="none" w:sz="0" w:space="0" w:color="auto"/>
        <w:bottom w:val="none" w:sz="0" w:space="0" w:color="auto"/>
        <w:right w:val="none" w:sz="0" w:space="0" w:color="auto"/>
      </w:divBdr>
    </w:div>
    <w:div w:id="111093993">
      <w:bodyDiv w:val="1"/>
      <w:marLeft w:val="0"/>
      <w:marRight w:val="0"/>
      <w:marTop w:val="0"/>
      <w:marBottom w:val="0"/>
      <w:divBdr>
        <w:top w:val="none" w:sz="0" w:space="0" w:color="auto"/>
        <w:left w:val="none" w:sz="0" w:space="0" w:color="auto"/>
        <w:bottom w:val="none" w:sz="0" w:space="0" w:color="auto"/>
        <w:right w:val="none" w:sz="0" w:space="0" w:color="auto"/>
      </w:divBdr>
    </w:div>
    <w:div w:id="112096012">
      <w:bodyDiv w:val="1"/>
      <w:marLeft w:val="0"/>
      <w:marRight w:val="0"/>
      <w:marTop w:val="0"/>
      <w:marBottom w:val="0"/>
      <w:divBdr>
        <w:top w:val="none" w:sz="0" w:space="0" w:color="auto"/>
        <w:left w:val="none" w:sz="0" w:space="0" w:color="auto"/>
        <w:bottom w:val="none" w:sz="0" w:space="0" w:color="auto"/>
        <w:right w:val="none" w:sz="0" w:space="0" w:color="auto"/>
      </w:divBdr>
    </w:div>
    <w:div w:id="115292258">
      <w:bodyDiv w:val="1"/>
      <w:marLeft w:val="0"/>
      <w:marRight w:val="0"/>
      <w:marTop w:val="0"/>
      <w:marBottom w:val="0"/>
      <w:divBdr>
        <w:top w:val="none" w:sz="0" w:space="0" w:color="auto"/>
        <w:left w:val="none" w:sz="0" w:space="0" w:color="auto"/>
        <w:bottom w:val="none" w:sz="0" w:space="0" w:color="auto"/>
        <w:right w:val="none" w:sz="0" w:space="0" w:color="auto"/>
      </w:divBdr>
      <w:divsChild>
        <w:div w:id="810638906">
          <w:marLeft w:val="0"/>
          <w:marRight w:val="0"/>
          <w:marTop w:val="0"/>
          <w:marBottom w:val="0"/>
          <w:divBdr>
            <w:top w:val="none" w:sz="0" w:space="0" w:color="auto"/>
            <w:left w:val="none" w:sz="0" w:space="0" w:color="auto"/>
            <w:bottom w:val="none" w:sz="0" w:space="0" w:color="auto"/>
            <w:right w:val="none" w:sz="0" w:space="0" w:color="auto"/>
          </w:divBdr>
          <w:divsChild>
            <w:div w:id="850030444">
              <w:marLeft w:val="0"/>
              <w:marRight w:val="0"/>
              <w:marTop w:val="0"/>
              <w:marBottom w:val="0"/>
              <w:divBdr>
                <w:top w:val="none" w:sz="0" w:space="0" w:color="auto"/>
                <w:left w:val="none" w:sz="0" w:space="0" w:color="auto"/>
                <w:bottom w:val="none" w:sz="0" w:space="0" w:color="auto"/>
                <w:right w:val="none" w:sz="0" w:space="0" w:color="auto"/>
              </w:divBdr>
              <w:divsChild>
                <w:div w:id="2198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80113">
      <w:bodyDiv w:val="1"/>
      <w:marLeft w:val="0"/>
      <w:marRight w:val="0"/>
      <w:marTop w:val="0"/>
      <w:marBottom w:val="0"/>
      <w:divBdr>
        <w:top w:val="none" w:sz="0" w:space="0" w:color="auto"/>
        <w:left w:val="none" w:sz="0" w:space="0" w:color="auto"/>
        <w:bottom w:val="none" w:sz="0" w:space="0" w:color="auto"/>
        <w:right w:val="none" w:sz="0" w:space="0" w:color="auto"/>
      </w:divBdr>
      <w:divsChild>
        <w:div w:id="1724988306">
          <w:marLeft w:val="0"/>
          <w:marRight w:val="0"/>
          <w:marTop w:val="0"/>
          <w:marBottom w:val="0"/>
          <w:divBdr>
            <w:top w:val="none" w:sz="0" w:space="0" w:color="auto"/>
            <w:left w:val="none" w:sz="0" w:space="0" w:color="auto"/>
            <w:bottom w:val="none" w:sz="0" w:space="0" w:color="auto"/>
            <w:right w:val="none" w:sz="0" w:space="0" w:color="auto"/>
          </w:divBdr>
          <w:divsChild>
            <w:div w:id="942346100">
              <w:marLeft w:val="0"/>
              <w:marRight w:val="0"/>
              <w:marTop w:val="0"/>
              <w:marBottom w:val="0"/>
              <w:divBdr>
                <w:top w:val="none" w:sz="0" w:space="0" w:color="auto"/>
                <w:left w:val="none" w:sz="0" w:space="0" w:color="auto"/>
                <w:bottom w:val="none" w:sz="0" w:space="0" w:color="auto"/>
                <w:right w:val="none" w:sz="0" w:space="0" w:color="auto"/>
              </w:divBdr>
              <w:divsChild>
                <w:div w:id="1115557697">
                  <w:marLeft w:val="0"/>
                  <w:marRight w:val="0"/>
                  <w:marTop w:val="0"/>
                  <w:marBottom w:val="0"/>
                  <w:divBdr>
                    <w:top w:val="none" w:sz="0" w:space="0" w:color="auto"/>
                    <w:left w:val="none" w:sz="0" w:space="0" w:color="auto"/>
                    <w:bottom w:val="none" w:sz="0" w:space="0" w:color="auto"/>
                    <w:right w:val="none" w:sz="0" w:space="0" w:color="auto"/>
                  </w:divBdr>
                  <w:divsChild>
                    <w:div w:id="2066098666">
                      <w:marLeft w:val="0"/>
                      <w:marRight w:val="0"/>
                      <w:marTop w:val="0"/>
                      <w:marBottom w:val="0"/>
                      <w:divBdr>
                        <w:top w:val="none" w:sz="0" w:space="0" w:color="auto"/>
                        <w:left w:val="none" w:sz="0" w:space="0" w:color="auto"/>
                        <w:bottom w:val="none" w:sz="0" w:space="0" w:color="auto"/>
                        <w:right w:val="none" w:sz="0" w:space="0" w:color="auto"/>
                      </w:divBdr>
                    </w:div>
                    <w:div w:id="5258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606378">
          <w:marLeft w:val="0"/>
          <w:marRight w:val="0"/>
          <w:marTop w:val="0"/>
          <w:marBottom w:val="0"/>
          <w:divBdr>
            <w:top w:val="none" w:sz="0" w:space="0" w:color="auto"/>
            <w:left w:val="none" w:sz="0" w:space="0" w:color="auto"/>
            <w:bottom w:val="none" w:sz="0" w:space="0" w:color="auto"/>
            <w:right w:val="none" w:sz="0" w:space="0" w:color="auto"/>
          </w:divBdr>
          <w:divsChild>
            <w:div w:id="1442648729">
              <w:marLeft w:val="0"/>
              <w:marRight w:val="0"/>
              <w:marTop w:val="0"/>
              <w:marBottom w:val="0"/>
              <w:divBdr>
                <w:top w:val="none" w:sz="0" w:space="0" w:color="auto"/>
                <w:left w:val="none" w:sz="0" w:space="0" w:color="auto"/>
                <w:bottom w:val="none" w:sz="0" w:space="0" w:color="auto"/>
                <w:right w:val="none" w:sz="0" w:space="0" w:color="auto"/>
              </w:divBdr>
              <w:divsChild>
                <w:div w:id="587925413">
                  <w:marLeft w:val="0"/>
                  <w:marRight w:val="0"/>
                  <w:marTop w:val="0"/>
                  <w:marBottom w:val="0"/>
                  <w:divBdr>
                    <w:top w:val="none" w:sz="0" w:space="0" w:color="auto"/>
                    <w:left w:val="none" w:sz="0" w:space="0" w:color="auto"/>
                    <w:bottom w:val="none" w:sz="0" w:space="0" w:color="auto"/>
                    <w:right w:val="none" w:sz="0" w:space="0" w:color="auto"/>
                  </w:divBdr>
                  <w:divsChild>
                    <w:div w:id="145590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49449">
      <w:bodyDiv w:val="1"/>
      <w:marLeft w:val="0"/>
      <w:marRight w:val="0"/>
      <w:marTop w:val="0"/>
      <w:marBottom w:val="0"/>
      <w:divBdr>
        <w:top w:val="none" w:sz="0" w:space="0" w:color="auto"/>
        <w:left w:val="none" w:sz="0" w:space="0" w:color="auto"/>
        <w:bottom w:val="none" w:sz="0" w:space="0" w:color="auto"/>
        <w:right w:val="none" w:sz="0" w:space="0" w:color="auto"/>
      </w:divBdr>
      <w:divsChild>
        <w:div w:id="885604683">
          <w:marLeft w:val="0"/>
          <w:marRight w:val="0"/>
          <w:marTop w:val="0"/>
          <w:marBottom w:val="0"/>
          <w:divBdr>
            <w:top w:val="none" w:sz="0" w:space="0" w:color="auto"/>
            <w:left w:val="none" w:sz="0" w:space="0" w:color="auto"/>
            <w:bottom w:val="none" w:sz="0" w:space="0" w:color="auto"/>
            <w:right w:val="none" w:sz="0" w:space="0" w:color="auto"/>
          </w:divBdr>
          <w:divsChild>
            <w:div w:id="205262513">
              <w:marLeft w:val="0"/>
              <w:marRight w:val="0"/>
              <w:marTop w:val="0"/>
              <w:marBottom w:val="0"/>
              <w:divBdr>
                <w:top w:val="none" w:sz="0" w:space="0" w:color="auto"/>
                <w:left w:val="none" w:sz="0" w:space="0" w:color="auto"/>
                <w:bottom w:val="none" w:sz="0" w:space="0" w:color="auto"/>
                <w:right w:val="none" w:sz="0" w:space="0" w:color="auto"/>
              </w:divBdr>
              <w:divsChild>
                <w:div w:id="24623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49457">
      <w:bodyDiv w:val="1"/>
      <w:marLeft w:val="0"/>
      <w:marRight w:val="0"/>
      <w:marTop w:val="0"/>
      <w:marBottom w:val="0"/>
      <w:divBdr>
        <w:top w:val="none" w:sz="0" w:space="0" w:color="auto"/>
        <w:left w:val="none" w:sz="0" w:space="0" w:color="auto"/>
        <w:bottom w:val="none" w:sz="0" w:space="0" w:color="auto"/>
        <w:right w:val="none" w:sz="0" w:space="0" w:color="auto"/>
      </w:divBdr>
    </w:div>
    <w:div w:id="205334959">
      <w:bodyDiv w:val="1"/>
      <w:marLeft w:val="0"/>
      <w:marRight w:val="0"/>
      <w:marTop w:val="0"/>
      <w:marBottom w:val="0"/>
      <w:divBdr>
        <w:top w:val="none" w:sz="0" w:space="0" w:color="auto"/>
        <w:left w:val="none" w:sz="0" w:space="0" w:color="auto"/>
        <w:bottom w:val="none" w:sz="0" w:space="0" w:color="auto"/>
        <w:right w:val="none" w:sz="0" w:space="0" w:color="auto"/>
      </w:divBdr>
      <w:divsChild>
        <w:div w:id="1416514872">
          <w:marLeft w:val="0"/>
          <w:marRight w:val="0"/>
          <w:marTop w:val="0"/>
          <w:marBottom w:val="0"/>
          <w:divBdr>
            <w:top w:val="none" w:sz="0" w:space="0" w:color="auto"/>
            <w:left w:val="none" w:sz="0" w:space="0" w:color="auto"/>
            <w:bottom w:val="none" w:sz="0" w:space="0" w:color="auto"/>
            <w:right w:val="none" w:sz="0" w:space="0" w:color="auto"/>
          </w:divBdr>
          <w:divsChild>
            <w:div w:id="726030177">
              <w:marLeft w:val="0"/>
              <w:marRight w:val="0"/>
              <w:marTop w:val="0"/>
              <w:marBottom w:val="0"/>
              <w:divBdr>
                <w:top w:val="none" w:sz="0" w:space="0" w:color="auto"/>
                <w:left w:val="none" w:sz="0" w:space="0" w:color="auto"/>
                <w:bottom w:val="none" w:sz="0" w:space="0" w:color="auto"/>
                <w:right w:val="none" w:sz="0" w:space="0" w:color="auto"/>
              </w:divBdr>
              <w:divsChild>
                <w:div w:id="1423141463">
                  <w:marLeft w:val="0"/>
                  <w:marRight w:val="0"/>
                  <w:marTop w:val="0"/>
                  <w:marBottom w:val="0"/>
                  <w:divBdr>
                    <w:top w:val="none" w:sz="0" w:space="0" w:color="auto"/>
                    <w:left w:val="none" w:sz="0" w:space="0" w:color="auto"/>
                    <w:bottom w:val="none" w:sz="0" w:space="0" w:color="auto"/>
                    <w:right w:val="none" w:sz="0" w:space="0" w:color="auto"/>
                  </w:divBdr>
                  <w:divsChild>
                    <w:div w:id="42874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6094777">
      <w:bodyDiv w:val="1"/>
      <w:marLeft w:val="0"/>
      <w:marRight w:val="0"/>
      <w:marTop w:val="0"/>
      <w:marBottom w:val="0"/>
      <w:divBdr>
        <w:top w:val="none" w:sz="0" w:space="0" w:color="auto"/>
        <w:left w:val="none" w:sz="0" w:space="0" w:color="auto"/>
        <w:bottom w:val="none" w:sz="0" w:space="0" w:color="auto"/>
        <w:right w:val="none" w:sz="0" w:space="0" w:color="auto"/>
      </w:divBdr>
      <w:divsChild>
        <w:div w:id="270287276">
          <w:marLeft w:val="0"/>
          <w:marRight w:val="0"/>
          <w:marTop w:val="0"/>
          <w:marBottom w:val="0"/>
          <w:divBdr>
            <w:top w:val="none" w:sz="0" w:space="0" w:color="auto"/>
            <w:left w:val="none" w:sz="0" w:space="0" w:color="auto"/>
            <w:bottom w:val="none" w:sz="0" w:space="0" w:color="auto"/>
            <w:right w:val="none" w:sz="0" w:space="0" w:color="auto"/>
          </w:divBdr>
          <w:divsChild>
            <w:div w:id="1109546324">
              <w:marLeft w:val="0"/>
              <w:marRight w:val="0"/>
              <w:marTop w:val="0"/>
              <w:marBottom w:val="0"/>
              <w:divBdr>
                <w:top w:val="none" w:sz="0" w:space="0" w:color="auto"/>
                <w:left w:val="none" w:sz="0" w:space="0" w:color="auto"/>
                <w:bottom w:val="none" w:sz="0" w:space="0" w:color="auto"/>
                <w:right w:val="none" w:sz="0" w:space="0" w:color="auto"/>
              </w:divBdr>
              <w:divsChild>
                <w:div w:id="184524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890379">
      <w:bodyDiv w:val="1"/>
      <w:marLeft w:val="0"/>
      <w:marRight w:val="0"/>
      <w:marTop w:val="0"/>
      <w:marBottom w:val="0"/>
      <w:divBdr>
        <w:top w:val="none" w:sz="0" w:space="0" w:color="auto"/>
        <w:left w:val="none" w:sz="0" w:space="0" w:color="auto"/>
        <w:bottom w:val="none" w:sz="0" w:space="0" w:color="auto"/>
        <w:right w:val="none" w:sz="0" w:space="0" w:color="auto"/>
      </w:divBdr>
      <w:divsChild>
        <w:div w:id="803499993">
          <w:marLeft w:val="0"/>
          <w:marRight w:val="0"/>
          <w:marTop w:val="0"/>
          <w:marBottom w:val="0"/>
          <w:divBdr>
            <w:top w:val="none" w:sz="0" w:space="0" w:color="auto"/>
            <w:left w:val="none" w:sz="0" w:space="0" w:color="auto"/>
            <w:bottom w:val="none" w:sz="0" w:space="0" w:color="auto"/>
            <w:right w:val="none" w:sz="0" w:space="0" w:color="auto"/>
          </w:divBdr>
          <w:divsChild>
            <w:div w:id="2132437257">
              <w:marLeft w:val="0"/>
              <w:marRight w:val="0"/>
              <w:marTop w:val="0"/>
              <w:marBottom w:val="0"/>
              <w:divBdr>
                <w:top w:val="none" w:sz="0" w:space="0" w:color="auto"/>
                <w:left w:val="none" w:sz="0" w:space="0" w:color="auto"/>
                <w:bottom w:val="none" w:sz="0" w:space="0" w:color="auto"/>
                <w:right w:val="none" w:sz="0" w:space="0" w:color="auto"/>
              </w:divBdr>
              <w:divsChild>
                <w:div w:id="202447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579005">
      <w:bodyDiv w:val="1"/>
      <w:marLeft w:val="0"/>
      <w:marRight w:val="0"/>
      <w:marTop w:val="0"/>
      <w:marBottom w:val="0"/>
      <w:divBdr>
        <w:top w:val="none" w:sz="0" w:space="0" w:color="auto"/>
        <w:left w:val="none" w:sz="0" w:space="0" w:color="auto"/>
        <w:bottom w:val="none" w:sz="0" w:space="0" w:color="auto"/>
        <w:right w:val="none" w:sz="0" w:space="0" w:color="auto"/>
      </w:divBdr>
      <w:divsChild>
        <w:div w:id="1409618902">
          <w:marLeft w:val="0"/>
          <w:marRight w:val="0"/>
          <w:marTop w:val="0"/>
          <w:marBottom w:val="0"/>
          <w:divBdr>
            <w:top w:val="none" w:sz="0" w:space="0" w:color="auto"/>
            <w:left w:val="none" w:sz="0" w:space="0" w:color="auto"/>
            <w:bottom w:val="none" w:sz="0" w:space="0" w:color="auto"/>
            <w:right w:val="none" w:sz="0" w:space="0" w:color="auto"/>
          </w:divBdr>
          <w:divsChild>
            <w:div w:id="1084495512">
              <w:marLeft w:val="0"/>
              <w:marRight w:val="0"/>
              <w:marTop w:val="0"/>
              <w:marBottom w:val="150"/>
              <w:divBdr>
                <w:top w:val="single" w:sz="6" w:space="0" w:color="A6CE39"/>
                <w:left w:val="single" w:sz="6" w:space="0" w:color="A6CE39"/>
                <w:bottom w:val="single" w:sz="6" w:space="0" w:color="A6CE39"/>
                <w:right w:val="single" w:sz="6" w:space="0" w:color="A6CE39"/>
              </w:divBdr>
              <w:divsChild>
                <w:div w:id="1958100724">
                  <w:marLeft w:val="0"/>
                  <w:marRight w:val="0"/>
                  <w:marTop w:val="0"/>
                  <w:marBottom w:val="0"/>
                  <w:divBdr>
                    <w:top w:val="none" w:sz="0" w:space="0" w:color="auto"/>
                    <w:left w:val="none" w:sz="0" w:space="0" w:color="auto"/>
                    <w:bottom w:val="none" w:sz="0" w:space="0" w:color="auto"/>
                    <w:right w:val="none" w:sz="0" w:space="0" w:color="auto"/>
                  </w:divBdr>
                  <w:divsChild>
                    <w:div w:id="304235504">
                      <w:marLeft w:val="-75"/>
                      <w:marRight w:val="-75"/>
                      <w:marTop w:val="0"/>
                      <w:marBottom w:val="0"/>
                      <w:divBdr>
                        <w:top w:val="none" w:sz="0" w:space="0" w:color="auto"/>
                        <w:left w:val="none" w:sz="0" w:space="0" w:color="auto"/>
                        <w:bottom w:val="none" w:sz="0" w:space="0" w:color="auto"/>
                        <w:right w:val="none" w:sz="0" w:space="0" w:color="auto"/>
                      </w:divBdr>
                      <w:divsChild>
                        <w:div w:id="139777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1099407">
      <w:bodyDiv w:val="1"/>
      <w:marLeft w:val="0"/>
      <w:marRight w:val="0"/>
      <w:marTop w:val="0"/>
      <w:marBottom w:val="0"/>
      <w:divBdr>
        <w:top w:val="none" w:sz="0" w:space="0" w:color="auto"/>
        <w:left w:val="none" w:sz="0" w:space="0" w:color="auto"/>
        <w:bottom w:val="none" w:sz="0" w:space="0" w:color="auto"/>
        <w:right w:val="none" w:sz="0" w:space="0" w:color="auto"/>
      </w:divBdr>
      <w:divsChild>
        <w:div w:id="2091190777">
          <w:marLeft w:val="0"/>
          <w:marRight w:val="0"/>
          <w:marTop w:val="0"/>
          <w:marBottom w:val="0"/>
          <w:divBdr>
            <w:top w:val="none" w:sz="0" w:space="0" w:color="auto"/>
            <w:left w:val="none" w:sz="0" w:space="0" w:color="auto"/>
            <w:bottom w:val="none" w:sz="0" w:space="0" w:color="auto"/>
            <w:right w:val="none" w:sz="0" w:space="0" w:color="auto"/>
          </w:divBdr>
          <w:divsChild>
            <w:div w:id="1836333954">
              <w:marLeft w:val="0"/>
              <w:marRight w:val="0"/>
              <w:marTop w:val="0"/>
              <w:marBottom w:val="0"/>
              <w:divBdr>
                <w:top w:val="none" w:sz="0" w:space="0" w:color="auto"/>
                <w:left w:val="none" w:sz="0" w:space="0" w:color="auto"/>
                <w:bottom w:val="none" w:sz="0" w:space="0" w:color="auto"/>
                <w:right w:val="none" w:sz="0" w:space="0" w:color="auto"/>
              </w:divBdr>
              <w:divsChild>
                <w:div w:id="98435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825935">
      <w:bodyDiv w:val="1"/>
      <w:marLeft w:val="0"/>
      <w:marRight w:val="0"/>
      <w:marTop w:val="0"/>
      <w:marBottom w:val="0"/>
      <w:divBdr>
        <w:top w:val="none" w:sz="0" w:space="0" w:color="auto"/>
        <w:left w:val="none" w:sz="0" w:space="0" w:color="auto"/>
        <w:bottom w:val="none" w:sz="0" w:space="0" w:color="auto"/>
        <w:right w:val="none" w:sz="0" w:space="0" w:color="auto"/>
      </w:divBdr>
    </w:div>
    <w:div w:id="345324789">
      <w:bodyDiv w:val="1"/>
      <w:marLeft w:val="0"/>
      <w:marRight w:val="0"/>
      <w:marTop w:val="0"/>
      <w:marBottom w:val="0"/>
      <w:divBdr>
        <w:top w:val="none" w:sz="0" w:space="0" w:color="auto"/>
        <w:left w:val="none" w:sz="0" w:space="0" w:color="auto"/>
        <w:bottom w:val="none" w:sz="0" w:space="0" w:color="auto"/>
        <w:right w:val="none" w:sz="0" w:space="0" w:color="auto"/>
      </w:divBdr>
    </w:div>
    <w:div w:id="347215532">
      <w:bodyDiv w:val="1"/>
      <w:marLeft w:val="0"/>
      <w:marRight w:val="0"/>
      <w:marTop w:val="0"/>
      <w:marBottom w:val="0"/>
      <w:divBdr>
        <w:top w:val="none" w:sz="0" w:space="0" w:color="auto"/>
        <w:left w:val="none" w:sz="0" w:space="0" w:color="auto"/>
        <w:bottom w:val="none" w:sz="0" w:space="0" w:color="auto"/>
        <w:right w:val="none" w:sz="0" w:space="0" w:color="auto"/>
      </w:divBdr>
      <w:divsChild>
        <w:div w:id="1881359856">
          <w:marLeft w:val="0"/>
          <w:marRight w:val="0"/>
          <w:marTop w:val="0"/>
          <w:marBottom w:val="0"/>
          <w:divBdr>
            <w:top w:val="none" w:sz="0" w:space="0" w:color="auto"/>
            <w:left w:val="none" w:sz="0" w:space="0" w:color="auto"/>
            <w:bottom w:val="none" w:sz="0" w:space="0" w:color="auto"/>
            <w:right w:val="none" w:sz="0" w:space="0" w:color="auto"/>
          </w:divBdr>
          <w:divsChild>
            <w:div w:id="1562403192">
              <w:marLeft w:val="0"/>
              <w:marRight w:val="0"/>
              <w:marTop w:val="0"/>
              <w:marBottom w:val="0"/>
              <w:divBdr>
                <w:top w:val="none" w:sz="0" w:space="0" w:color="auto"/>
                <w:left w:val="none" w:sz="0" w:space="0" w:color="auto"/>
                <w:bottom w:val="none" w:sz="0" w:space="0" w:color="auto"/>
                <w:right w:val="none" w:sz="0" w:space="0" w:color="auto"/>
              </w:divBdr>
              <w:divsChild>
                <w:div w:id="795829614">
                  <w:marLeft w:val="0"/>
                  <w:marRight w:val="0"/>
                  <w:marTop w:val="0"/>
                  <w:marBottom w:val="0"/>
                  <w:divBdr>
                    <w:top w:val="none" w:sz="0" w:space="0" w:color="auto"/>
                    <w:left w:val="none" w:sz="0" w:space="0" w:color="auto"/>
                    <w:bottom w:val="none" w:sz="0" w:space="0" w:color="auto"/>
                    <w:right w:val="none" w:sz="0" w:space="0" w:color="auto"/>
                  </w:divBdr>
                  <w:divsChild>
                    <w:div w:id="86252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916584">
      <w:bodyDiv w:val="1"/>
      <w:marLeft w:val="0"/>
      <w:marRight w:val="0"/>
      <w:marTop w:val="0"/>
      <w:marBottom w:val="0"/>
      <w:divBdr>
        <w:top w:val="none" w:sz="0" w:space="0" w:color="auto"/>
        <w:left w:val="none" w:sz="0" w:space="0" w:color="auto"/>
        <w:bottom w:val="none" w:sz="0" w:space="0" w:color="auto"/>
        <w:right w:val="none" w:sz="0" w:space="0" w:color="auto"/>
      </w:divBdr>
      <w:divsChild>
        <w:div w:id="1898082412">
          <w:marLeft w:val="0"/>
          <w:marRight w:val="0"/>
          <w:marTop w:val="0"/>
          <w:marBottom w:val="0"/>
          <w:divBdr>
            <w:top w:val="none" w:sz="0" w:space="0" w:color="auto"/>
            <w:left w:val="none" w:sz="0" w:space="0" w:color="auto"/>
            <w:bottom w:val="none" w:sz="0" w:space="0" w:color="auto"/>
            <w:right w:val="none" w:sz="0" w:space="0" w:color="auto"/>
          </w:divBdr>
          <w:divsChild>
            <w:div w:id="339702618">
              <w:marLeft w:val="0"/>
              <w:marRight w:val="0"/>
              <w:marTop w:val="0"/>
              <w:marBottom w:val="0"/>
              <w:divBdr>
                <w:top w:val="none" w:sz="0" w:space="0" w:color="auto"/>
                <w:left w:val="none" w:sz="0" w:space="0" w:color="auto"/>
                <w:bottom w:val="none" w:sz="0" w:space="0" w:color="auto"/>
                <w:right w:val="none" w:sz="0" w:space="0" w:color="auto"/>
              </w:divBdr>
              <w:divsChild>
                <w:div w:id="116713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939853">
      <w:bodyDiv w:val="1"/>
      <w:marLeft w:val="0"/>
      <w:marRight w:val="0"/>
      <w:marTop w:val="0"/>
      <w:marBottom w:val="0"/>
      <w:divBdr>
        <w:top w:val="none" w:sz="0" w:space="0" w:color="auto"/>
        <w:left w:val="none" w:sz="0" w:space="0" w:color="auto"/>
        <w:bottom w:val="none" w:sz="0" w:space="0" w:color="auto"/>
        <w:right w:val="none" w:sz="0" w:space="0" w:color="auto"/>
      </w:divBdr>
      <w:divsChild>
        <w:div w:id="723261259">
          <w:marLeft w:val="0"/>
          <w:marRight w:val="0"/>
          <w:marTop w:val="0"/>
          <w:marBottom w:val="0"/>
          <w:divBdr>
            <w:top w:val="none" w:sz="0" w:space="0" w:color="auto"/>
            <w:left w:val="none" w:sz="0" w:space="0" w:color="auto"/>
            <w:bottom w:val="none" w:sz="0" w:space="0" w:color="auto"/>
            <w:right w:val="none" w:sz="0" w:space="0" w:color="auto"/>
          </w:divBdr>
          <w:divsChild>
            <w:div w:id="1674720831">
              <w:marLeft w:val="0"/>
              <w:marRight w:val="0"/>
              <w:marTop w:val="0"/>
              <w:marBottom w:val="0"/>
              <w:divBdr>
                <w:top w:val="none" w:sz="0" w:space="0" w:color="auto"/>
                <w:left w:val="none" w:sz="0" w:space="0" w:color="auto"/>
                <w:bottom w:val="none" w:sz="0" w:space="0" w:color="auto"/>
                <w:right w:val="none" w:sz="0" w:space="0" w:color="auto"/>
              </w:divBdr>
              <w:divsChild>
                <w:div w:id="96261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001869">
      <w:bodyDiv w:val="1"/>
      <w:marLeft w:val="0"/>
      <w:marRight w:val="0"/>
      <w:marTop w:val="0"/>
      <w:marBottom w:val="0"/>
      <w:divBdr>
        <w:top w:val="none" w:sz="0" w:space="0" w:color="auto"/>
        <w:left w:val="none" w:sz="0" w:space="0" w:color="auto"/>
        <w:bottom w:val="none" w:sz="0" w:space="0" w:color="auto"/>
        <w:right w:val="none" w:sz="0" w:space="0" w:color="auto"/>
      </w:divBdr>
      <w:divsChild>
        <w:div w:id="1037243437">
          <w:marLeft w:val="0"/>
          <w:marRight w:val="0"/>
          <w:marTop w:val="0"/>
          <w:marBottom w:val="0"/>
          <w:divBdr>
            <w:top w:val="none" w:sz="0" w:space="0" w:color="auto"/>
            <w:left w:val="none" w:sz="0" w:space="0" w:color="auto"/>
            <w:bottom w:val="none" w:sz="0" w:space="0" w:color="auto"/>
            <w:right w:val="none" w:sz="0" w:space="0" w:color="auto"/>
          </w:divBdr>
          <w:divsChild>
            <w:div w:id="1422144147">
              <w:marLeft w:val="0"/>
              <w:marRight w:val="0"/>
              <w:marTop w:val="0"/>
              <w:marBottom w:val="0"/>
              <w:divBdr>
                <w:top w:val="none" w:sz="0" w:space="0" w:color="auto"/>
                <w:left w:val="none" w:sz="0" w:space="0" w:color="auto"/>
                <w:bottom w:val="none" w:sz="0" w:space="0" w:color="auto"/>
                <w:right w:val="none" w:sz="0" w:space="0" w:color="auto"/>
              </w:divBdr>
              <w:divsChild>
                <w:div w:id="295457462">
                  <w:marLeft w:val="0"/>
                  <w:marRight w:val="0"/>
                  <w:marTop w:val="0"/>
                  <w:marBottom w:val="0"/>
                  <w:divBdr>
                    <w:top w:val="none" w:sz="0" w:space="0" w:color="auto"/>
                    <w:left w:val="none" w:sz="0" w:space="0" w:color="auto"/>
                    <w:bottom w:val="none" w:sz="0" w:space="0" w:color="auto"/>
                    <w:right w:val="none" w:sz="0" w:space="0" w:color="auto"/>
                  </w:divBdr>
                </w:div>
                <w:div w:id="59490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038430">
      <w:bodyDiv w:val="1"/>
      <w:marLeft w:val="0"/>
      <w:marRight w:val="0"/>
      <w:marTop w:val="0"/>
      <w:marBottom w:val="0"/>
      <w:divBdr>
        <w:top w:val="none" w:sz="0" w:space="0" w:color="auto"/>
        <w:left w:val="none" w:sz="0" w:space="0" w:color="auto"/>
        <w:bottom w:val="none" w:sz="0" w:space="0" w:color="auto"/>
        <w:right w:val="none" w:sz="0" w:space="0" w:color="auto"/>
      </w:divBdr>
    </w:div>
    <w:div w:id="468867168">
      <w:bodyDiv w:val="1"/>
      <w:marLeft w:val="0"/>
      <w:marRight w:val="0"/>
      <w:marTop w:val="0"/>
      <w:marBottom w:val="0"/>
      <w:divBdr>
        <w:top w:val="none" w:sz="0" w:space="0" w:color="auto"/>
        <w:left w:val="none" w:sz="0" w:space="0" w:color="auto"/>
        <w:bottom w:val="none" w:sz="0" w:space="0" w:color="auto"/>
        <w:right w:val="none" w:sz="0" w:space="0" w:color="auto"/>
      </w:divBdr>
    </w:div>
    <w:div w:id="472137328">
      <w:bodyDiv w:val="1"/>
      <w:marLeft w:val="0"/>
      <w:marRight w:val="0"/>
      <w:marTop w:val="0"/>
      <w:marBottom w:val="0"/>
      <w:divBdr>
        <w:top w:val="none" w:sz="0" w:space="0" w:color="auto"/>
        <w:left w:val="none" w:sz="0" w:space="0" w:color="auto"/>
        <w:bottom w:val="none" w:sz="0" w:space="0" w:color="auto"/>
        <w:right w:val="none" w:sz="0" w:space="0" w:color="auto"/>
      </w:divBdr>
    </w:div>
    <w:div w:id="476148293">
      <w:bodyDiv w:val="1"/>
      <w:marLeft w:val="0"/>
      <w:marRight w:val="0"/>
      <w:marTop w:val="0"/>
      <w:marBottom w:val="0"/>
      <w:divBdr>
        <w:top w:val="none" w:sz="0" w:space="0" w:color="auto"/>
        <w:left w:val="none" w:sz="0" w:space="0" w:color="auto"/>
        <w:bottom w:val="none" w:sz="0" w:space="0" w:color="auto"/>
        <w:right w:val="none" w:sz="0" w:space="0" w:color="auto"/>
      </w:divBdr>
      <w:divsChild>
        <w:div w:id="1058164228">
          <w:marLeft w:val="0"/>
          <w:marRight w:val="0"/>
          <w:marTop w:val="0"/>
          <w:marBottom w:val="0"/>
          <w:divBdr>
            <w:top w:val="none" w:sz="0" w:space="0" w:color="auto"/>
            <w:left w:val="none" w:sz="0" w:space="0" w:color="auto"/>
            <w:bottom w:val="none" w:sz="0" w:space="0" w:color="auto"/>
            <w:right w:val="none" w:sz="0" w:space="0" w:color="auto"/>
          </w:divBdr>
          <w:divsChild>
            <w:div w:id="1662005713">
              <w:marLeft w:val="0"/>
              <w:marRight w:val="0"/>
              <w:marTop w:val="0"/>
              <w:marBottom w:val="0"/>
              <w:divBdr>
                <w:top w:val="none" w:sz="0" w:space="0" w:color="auto"/>
                <w:left w:val="none" w:sz="0" w:space="0" w:color="auto"/>
                <w:bottom w:val="none" w:sz="0" w:space="0" w:color="auto"/>
                <w:right w:val="none" w:sz="0" w:space="0" w:color="auto"/>
              </w:divBdr>
              <w:divsChild>
                <w:div w:id="175743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286340">
      <w:bodyDiv w:val="1"/>
      <w:marLeft w:val="0"/>
      <w:marRight w:val="0"/>
      <w:marTop w:val="0"/>
      <w:marBottom w:val="0"/>
      <w:divBdr>
        <w:top w:val="none" w:sz="0" w:space="0" w:color="auto"/>
        <w:left w:val="none" w:sz="0" w:space="0" w:color="auto"/>
        <w:bottom w:val="none" w:sz="0" w:space="0" w:color="auto"/>
        <w:right w:val="none" w:sz="0" w:space="0" w:color="auto"/>
      </w:divBdr>
      <w:divsChild>
        <w:div w:id="1610821846">
          <w:marLeft w:val="0"/>
          <w:marRight w:val="0"/>
          <w:marTop w:val="0"/>
          <w:marBottom w:val="0"/>
          <w:divBdr>
            <w:top w:val="none" w:sz="0" w:space="0" w:color="auto"/>
            <w:left w:val="none" w:sz="0" w:space="0" w:color="auto"/>
            <w:bottom w:val="none" w:sz="0" w:space="0" w:color="auto"/>
            <w:right w:val="none" w:sz="0" w:space="0" w:color="auto"/>
          </w:divBdr>
          <w:divsChild>
            <w:div w:id="660080429">
              <w:marLeft w:val="0"/>
              <w:marRight w:val="0"/>
              <w:marTop w:val="0"/>
              <w:marBottom w:val="0"/>
              <w:divBdr>
                <w:top w:val="none" w:sz="0" w:space="0" w:color="auto"/>
                <w:left w:val="none" w:sz="0" w:space="0" w:color="auto"/>
                <w:bottom w:val="none" w:sz="0" w:space="0" w:color="auto"/>
                <w:right w:val="none" w:sz="0" w:space="0" w:color="auto"/>
              </w:divBdr>
              <w:divsChild>
                <w:div w:id="20907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831419">
      <w:bodyDiv w:val="1"/>
      <w:marLeft w:val="0"/>
      <w:marRight w:val="0"/>
      <w:marTop w:val="0"/>
      <w:marBottom w:val="0"/>
      <w:divBdr>
        <w:top w:val="none" w:sz="0" w:space="0" w:color="auto"/>
        <w:left w:val="none" w:sz="0" w:space="0" w:color="auto"/>
        <w:bottom w:val="none" w:sz="0" w:space="0" w:color="auto"/>
        <w:right w:val="none" w:sz="0" w:space="0" w:color="auto"/>
      </w:divBdr>
      <w:divsChild>
        <w:div w:id="146091692">
          <w:marLeft w:val="0"/>
          <w:marRight w:val="0"/>
          <w:marTop w:val="0"/>
          <w:marBottom w:val="0"/>
          <w:divBdr>
            <w:top w:val="none" w:sz="0" w:space="0" w:color="auto"/>
            <w:left w:val="none" w:sz="0" w:space="0" w:color="auto"/>
            <w:bottom w:val="none" w:sz="0" w:space="0" w:color="auto"/>
            <w:right w:val="none" w:sz="0" w:space="0" w:color="auto"/>
          </w:divBdr>
          <w:divsChild>
            <w:div w:id="280887386">
              <w:marLeft w:val="0"/>
              <w:marRight w:val="0"/>
              <w:marTop w:val="0"/>
              <w:marBottom w:val="0"/>
              <w:divBdr>
                <w:top w:val="none" w:sz="0" w:space="0" w:color="auto"/>
                <w:left w:val="none" w:sz="0" w:space="0" w:color="auto"/>
                <w:bottom w:val="none" w:sz="0" w:space="0" w:color="auto"/>
                <w:right w:val="none" w:sz="0" w:space="0" w:color="auto"/>
              </w:divBdr>
              <w:divsChild>
                <w:div w:id="1572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665989">
      <w:bodyDiv w:val="1"/>
      <w:marLeft w:val="0"/>
      <w:marRight w:val="0"/>
      <w:marTop w:val="0"/>
      <w:marBottom w:val="0"/>
      <w:divBdr>
        <w:top w:val="none" w:sz="0" w:space="0" w:color="auto"/>
        <w:left w:val="none" w:sz="0" w:space="0" w:color="auto"/>
        <w:bottom w:val="none" w:sz="0" w:space="0" w:color="auto"/>
        <w:right w:val="none" w:sz="0" w:space="0" w:color="auto"/>
      </w:divBdr>
    </w:div>
    <w:div w:id="745303601">
      <w:bodyDiv w:val="1"/>
      <w:marLeft w:val="0"/>
      <w:marRight w:val="0"/>
      <w:marTop w:val="0"/>
      <w:marBottom w:val="0"/>
      <w:divBdr>
        <w:top w:val="none" w:sz="0" w:space="0" w:color="auto"/>
        <w:left w:val="none" w:sz="0" w:space="0" w:color="auto"/>
        <w:bottom w:val="none" w:sz="0" w:space="0" w:color="auto"/>
        <w:right w:val="none" w:sz="0" w:space="0" w:color="auto"/>
      </w:divBdr>
      <w:divsChild>
        <w:div w:id="247737625">
          <w:marLeft w:val="0"/>
          <w:marRight w:val="0"/>
          <w:marTop w:val="0"/>
          <w:marBottom w:val="0"/>
          <w:divBdr>
            <w:top w:val="none" w:sz="0" w:space="0" w:color="auto"/>
            <w:left w:val="none" w:sz="0" w:space="0" w:color="auto"/>
            <w:bottom w:val="none" w:sz="0" w:space="0" w:color="auto"/>
            <w:right w:val="none" w:sz="0" w:space="0" w:color="auto"/>
          </w:divBdr>
          <w:divsChild>
            <w:div w:id="2021077663">
              <w:marLeft w:val="0"/>
              <w:marRight w:val="0"/>
              <w:marTop w:val="0"/>
              <w:marBottom w:val="0"/>
              <w:divBdr>
                <w:top w:val="none" w:sz="0" w:space="0" w:color="auto"/>
                <w:left w:val="none" w:sz="0" w:space="0" w:color="auto"/>
                <w:bottom w:val="none" w:sz="0" w:space="0" w:color="auto"/>
                <w:right w:val="none" w:sz="0" w:space="0" w:color="auto"/>
              </w:divBdr>
              <w:divsChild>
                <w:div w:id="172622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714002">
      <w:bodyDiv w:val="1"/>
      <w:marLeft w:val="0"/>
      <w:marRight w:val="0"/>
      <w:marTop w:val="0"/>
      <w:marBottom w:val="0"/>
      <w:divBdr>
        <w:top w:val="none" w:sz="0" w:space="0" w:color="auto"/>
        <w:left w:val="none" w:sz="0" w:space="0" w:color="auto"/>
        <w:bottom w:val="none" w:sz="0" w:space="0" w:color="auto"/>
        <w:right w:val="none" w:sz="0" w:space="0" w:color="auto"/>
      </w:divBdr>
    </w:div>
    <w:div w:id="814763278">
      <w:bodyDiv w:val="1"/>
      <w:marLeft w:val="0"/>
      <w:marRight w:val="0"/>
      <w:marTop w:val="0"/>
      <w:marBottom w:val="0"/>
      <w:divBdr>
        <w:top w:val="none" w:sz="0" w:space="0" w:color="auto"/>
        <w:left w:val="none" w:sz="0" w:space="0" w:color="auto"/>
        <w:bottom w:val="none" w:sz="0" w:space="0" w:color="auto"/>
        <w:right w:val="none" w:sz="0" w:space="0" w:color="auto"/>
      </w:divBdr>
    </w:div>
    <w:div w:id="874539114">
      <w:bodyDiv w:val="1"/>
      <w:marLeft w:val="0"/>
      <w:marRight w:val="0"/>
      <w:marTop w:val="0"/>
      <w:marBottom w:val="0"/>
      <w:divBdr>
        <w:top w:val="none" w:sz="0" w:space="0" w:color="auto"/>
        <w:left w:val="none" w:sz="0" w:space="0" w:color="auto"/>
        <w:bottom w:val="none" w:sz="0" w:space="0" w:color="auto"/>
        <w:right w:val="none" w:sz="0" w:space="0" w:color="auto"/>
      </w:divBdr>
      <w:divsChild>
        <w:div w:id="2083529688">
          <w:marLeft w:val="0"/>
          <w:marRight w:val="0"/>
          <w:marTop w:val="0"/>
          <w:marBottom w:val="0"/>
          <w:divBdr>
            <w:top w:val="none" w:sz="0" w:space="0" w:color="auto"/>
            <w:left w:val="none" w:sz="0" w:space="0" w:color="auto"/>
            <w:bottom w:val="none" w:sz="0" w:space="0" w:color="auto"/>
            <w:right w:val="none" w:sz="0" w:space="0" w:color="auto"/>
          </w:divBdr>
          <w:divsChild>
            <w:div w:id="379289422">
              <w:marLeft w:val="0"/>
              <w:marRight w:val="0"/>
              <w:marTop w:val="0"/>
              <w:marBottom w:val="0"/>
              <w:divBdr>
                <w:top w:val="none" w:sz="0" w:space="0" w:color="auto"/>
                <w:left w:val="none" w:sz="0" w:space="0" w:color="auto"/>
                <w:bottom w:val="none" w:sz="0" w:space="0" w:color="auto"/>
                <w:right w:val="none" w:sz="0" w:space="0" w:color="auto"/>
              </w:divBdr>
              <w:divsChild>
                <w:div w:id="77699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20536">
      <w:bodyDiv w:val="1"/>
      <w:marLeft w:val="0"/>
      <w:marRight w:val="0"/>
      <w:marTop w:val="0"/>
      <w:marBottom w:val="0"/>
      <w:divBdr>
        <w:top w:val="none" w:sz="0" w:space="0" w:color="auto"/>
        <w:left w:val="none" w:sz="0" w:space="0" w:color="auto"/>
        <w:bottom w:val="none" w:sz="0" w:space="0" w:color="auto"/>
        <w:right w:val="none" w:sz="0" w:space="0" w:color="auto"/>
      </w:divBdr>
      <w:divsChild>
        <w:div w:id="907763974">
          <w:marLeft w:val="0"/>
          <w:marRight w:val="0"/>
          <w:marTop w:val="0"/>
          <w:marBottom w:val="0"/>
          <w:divBdr>
            <w:top w:val="none" w:sz="0" w:space="0" w:color="auto"/>
            <w:left w:val="none" w:sz="0" w:space="0" w:color="auto"/>
            <w:bottom w:val="none" w:sz="0" w:space="0" w:color="auto"/>
            <w:right w:val="none" w:sz="0" w:space="0" w:color="auto"/>
          </w:divBdr>
          <w:divsChild>
            <w:div w:id="1718433954">
              <w:marLeft w:val="0"/>
              <w:marRight w:val="0"/>
              <w:marTop w:val="0"/>
              <w:marBottom w:val="0"/>
              <w:divBdr>
                <w:top w:val="none" w:sz="0" w:space="0" w:color="auto"/>
                <w:left w:val="none" w:sz="0" w:space="0" w:color="auto"/>
                <w:bottom w:val="none" w:sz="0" w:space="0" w:color="auto"/>
                <w:right w:val="none" w:sz="0" w:space="0" w:color="auto"/>
              </w:divBdr>
              <w:divsChild>
                <w:div w:id="1755933301">
                  <w:marLeft w:val="0"/>
                  <w:marRight w:val="0"/>
                  <w:marTop w:val="0"/>
                  <w:marBottom w:val="0"/>
                  <w:divBdr>
                    <w:top w:val="none" w:sz="0" w:space="0" w:color="auto"/>
                    <w:left w:val="none" w:sz="0" w:space="0" w:color="auto"/>
                    <w:bottom w:val="none" w:sz="0" w:space="0" w:color="auto"/>
                    <w:right w:val="none" w:sz="0" w:space="0" w:color="auto"/>
                  </w:divBdr>
                </w:div>
                <w:div w:id="115599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141686">
      <w:bodyDiv w:val="1"/>
      <w:marLeft w:val="0"/>
      <w:marRight w:val="0"/>
      <w:marTop w:val="0"/>
      <w:marBottom w:val="0"/>
      <w:divBdr>
        <w:top w:val="none" w:sz="0" w:space="0" w:color="auto"/>
        <w:left w:val="none" w:sz="0" w:space="0" w:color="auto"/>
        <w:bottom w:val="none" w:sz="0" w:space="0" w:color="auto"/>
        <w:right w:val="none" w:sz="0" w:space="0" w:color="auto"/>
      </w:divBdr>
    </w:div>
    <w:div w:id="958681177">
      <w:bodyDiv w:val="1"/>
      <w:marLeft w:val="0"/>
      <w:marRight w:val="0"/>
      <w:marTop w:val="0"/>
      <w:marBottom w:val="0"/>
      <w:divBdr>
        <w:top w:val="none" w:sz="0" w:space="0" w:color="auto"/>
        <w:left w:val="none" w:sz="0" w:space="0" w:color="auto"/>
        <w:bottom w:val="none" w:sz="0" w:space="0" w:color="auto"/>
        <w:right w:val="none" w:sz="0" w:space="0" w:color="auto"/>
      </w:divBdr>
    </w:div>
    <w:div w:id="991299796">
      <w:bodyDiv w:val="1"/>
      <w:marLeft w:val="0"/>
      <w:marRight w:val="0"/>
      <w:marTop w:val="0"/>
      <w:marBottom w:val="0"/>
      <w:divBdr>
        <w:top w:val="none" w:sz="0" w:space="0" w:color="auto"/>
        <w:left w:val="none" w:sz="0" w:space="0" w:color="auto"/>
        <w:bottom w:val="none" w:sz="0" w:space="0" w:color="auto"/>
        <w:right w:val="none" w:sz="0" w:space="0" w:color="auto"/>
      </w:divBdr>
    </w:div>
    <w:div w:id="997808849">
      <w:bodyDiv w:val="1"/>
      <w:marLeft w:val="0"/>
      <w:marRight w:val="0"/>
      <w:marTop w:val="0"/>
      <w:marBottom w:val="0"/>
      <w:divBdr>
        <w:top w:val="none" w:sz="0" w:space="0" w:color="auto"/>
        <w:left w:val="none" w:sz="0" w:space="0" w:color="auto"/>
        <w:bottom w:val="none" w:sz="0" w:space="0" w:color="auto"/>
        <w:right w:val="none" w:sz="0" w:space="0" w:color="auto"/>
      </w:divBdr>
    </w:div>
    <w:div w:id="1170759256">
      <w:bodyDiv w:val="1"/>
      <w:marLeft w:val="0"/>
      <w:marRight w:val="0"/>
      <w:marTop w:val="0"/>
      <w:marBottom w:val="0"/>
      <w:divBdr>
        <w:top w:val="none" w:sz="0" w:space="0" w:color="auto"/>
        <w:left w:val="none" w:sz="0" w:space="0" w:color="auto"/>
        <w:bottom w:val="none" w:sz="0" w:space="0" w:color="auto"/>
        <w:right w:val="none" w:sz="0" w:space="0" w:color="auto"/>
      </w:divBdr>
    </w:div>
    <w:div w:id="1225331142">
      <w:bodyDiv w:val="1"/>
      <w:marLeft w:val="0"/>
      <w:marRight w:val="0"/>
      <w:marTop w:val="0"/>
      <w:marBottom w:val="0"/>
      <w:divBdr>
        <w:top w:val="none" w:sz="0" w:space="0" w:color="auto"/>
        <w:left w:val="none" w:sz="0" w:space="0" w:color="auto"/>
        <w:bottom w:val="none" w:sz="0" w:space="0" w:color="auto"/>
        <w:right w:val="none" w:sz="0" w:space="0" w:color="auto"/>
      </w:divBdr>
    </w:div>
    <w:div w:id="1236088183">
      <w:bodyDiv w:val="1"/>
      <w:marLeft w:val="0"/>
      <w:marRight w:val="0"/>
      <w:marTop w:val="0"/>
      <w:marBottom w:val="0"/>
      <w:divBdr>
        <w:top w:val="none" w:sz="0" w:space="0" w:color="auto"/>
        <w:left w:val="none" w:sz="0" w:space="0" w:color="auto"/>
        <w:bottom w:val="none" w:sz="0" w:space="0" w:color="auto"/>
        <w:right w:val="none" w:sz="0" w:space="0" w:color="auto"/>
      </w:divBdr>
    </w:div>
    <w:div w:id="1281301626">
      <w:bodyDiv w:val="1"/>
      <w:marLeft w:val="0"/>
      <w:marRight w:val="0"/>
      <w:marTop w:val="0"/>
      <w:marBottom w:val="0"/>
      <w:divBdr>
        <w:top w:val="none" w:sz="0" w:space="0" w:color="auto"/>
        <w:left w:val="none" w:sz="0" w:space="0" w:color="auto"/>
        <w:bottom w:val="none" w:sz="0" w:space="0" w:color="auto"/>
        <w:right w:val="none" w:sz="0" w:space="0" w:color="auto"/>
      </w:divBdr>
      <w:divsChild>
        <w:div w:id="783305758">
          <w:marLeft w:val="0"/>
          <w:marRight w:val="0"/>
          <w:marTop w:val="0"/>
          <w:marBottom w:val="0"/>
          <w:divBdr>
            <w:top w:val="none" w:sz="0" w:space="0" w:color="auto"/>
            <w:left w:val="none" w:sz="0" w:space="0" w:color="auto"/>
            <w:bottom w:val="none" w:sz="0" w:space="0" w:color="auto"/>
            <w:right w:val="none" w:sz="0" w:space="0" w:color="auto"/>
          </w:divBdr>
          <w:divsChild>
            <w:div w:id="317733650">
              <w:marLeft w:val="0"/>
              <w:marRight w:val="0"/>
              <w:marTop w:val="0"/>
              <w:marBottom w:val="0"/>
              <w:divBdr>
                <w:top w:val="none" w:sz="0" w:space="0" w:color="auto"/>
                <w:left w:val="none" w:sz="0" w:space="0" w:color="auto"/>
                <w:bottom w:val="none" w:sz="0" w:space="0" w:color="auto"/>
                <w:right w:val="none" w:sz="0" w:space="0" w:color="auto"/>
              </w:divBdr>
              <w:divsChild>
                <w:div w:id="94295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890891">
      <w:bodyDiv w:val="1"/>
      <w:marLeft w:val="0"/>
      <w:marRight w:val="0"/>
      <w:marTop w:val="0"/>
      <w:marBottom w:val="0"/>
      <w:divBdr>
        <w:top w:val="none" w:sz="0" w:space="0" w:color="auto"/>
        <w:left w:val="none" w:sz="0" w:space="0" w:color="auto"/>
        <w:bottom w:val="none" w:sz="0" w:space="0" w:color="auto"/>
        <w:right w:val="none" w:sz="0" w:space="0" w:color="auto"/>
      </w:divBdr>
      <w:divsChild>
        <w:div w:id="820393699">
          <w:marLeft w:val="0"/>
          <w:marRight w:val="0"/>
          <w:marTop w:val="0"/>
          <w:marBottom w:val="0"/>
          <w:divBdr>
            <w:top w:val="none" w:sz="0" w:space="0" w:color="auto"/>
            <w:left w:val="none" w:sz="0" w:space="0" w:color="auto"/>
            <w:bottom w:val="none" w:sz="0" w:space="0" w:color="auto"/>
            <w:right w:val="none" w:sz="0" w:space="0" w:color="auto"/>
          </w:divBdr>
          <w:divsChild>
            <w:div w:id="653417863">
              <w:marLeft w:val="0"/>
              <w:marRight w:val="0"/>
              <w:marTop w:val="0"/>
              <w:marBottom w:val="150"/>
              <w:divBdr>
                <w:top w:val="single" w:sz="6" w:space="0" w:color="A6CE39"/>
                <w:left w:val="single" w:sz="6" w:space="0" w:color="A6CE39"/>
                <w:bottom w:val="single" w:sz="6" w:space="0" w:color="A6CE39"/>
                <w:right w:val="single" w:sz="6" w:space="0" w:color="A6CE39"/>
              </w:divBdr>
              <w:divsChild>
                <w:div w:id="678895883">
                  <w:marLeft w:val="0"/>
                  <w:marRight w:val="0"/>
                  <w:marTop w:val="0"/>
                  <w:marBottom w:val="0"/>
                  <w:divBdr>
                    <w:top w:val="none" w:sz="0" w:space="0" w:color="auto"/>
                    <w:left w:val="none" w:sz="0" w:space="0" w:color="auto"/>
                    <w:bottom w:val="none" w:sz="0" w:space="0" w:color="auto"/>
                    <w:right w:val="none" w:sz="0" w:space="0" w:color="auto"/>
                  </w:divBdr>
                  <w:divsChild>
                    <w:div w:id="1492790696">
                      <w:marLeft w:val="-75"/>
                      <w:marRight w:val="-75"/>
                      <w:marTop w:val="0"/>
                      <w:marBottom w:val="0"/>
                      <w:divBdr>
                        <w:top w:val="none" w:sz="0" w:space="0" w:color="auto"/>
                        <w:left w:val="none" w:sz="0" w:space="0" w:color="auto"/>
                        <w:bottom w:val="none" w:sz="0" w:space="0" w:color="auto"/>
                        <w:right w:val="none" w:sz="0" w:space="0" w:color="auto"/>
                      </w:divBdr>
                      <w:divsChild>
                        <w:div w:id="183665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9014722">
      <w:bodyDiv w:val="1"/>
      <w:marLeft w:val="0"/>
      <w:marRight w:val="0"/>
      <w:marTop w:val="0"/>
      <w:marBottom w:val="0"/>
      <w:divBdr>
        <w:top w:val="none" w:sz="0" w:space="0" w:color="auto"/>
        <w:left w:val="none" w:sz="0" w:space="0" w:color="auto"/>
        <w:bottom w:val="none" w:sz="0" w:space="0" w:color="auto"/>
        <w:right w:val="none" w:sz="0" w:space="0" w:color="auto"/>
      </w:divBdr>
      <w:divsChild>
        <w:div w:id="1424836628">
          <w:marLeft w:val="0"/>
          <w:marRight w:val="0"/>
          <w:marTop w:val="0"/>
          <w:marBottom w:val="0"/>
          <w:divBdr>
            <w:top w:val="none" w:sz="0" w:space="0" w:color="auto"/>
            <w:left w:val="none" w:sz="0" w:space="0" w:color="auto"/>
            <w:bottom w:val="none" w:sz="0" w:space="0" w:color="auto"/>
            <w:right w:val="none" w:sz="0" w:space="0" w:color="auto"/>
          </w:divBdr>
          <w:divsChild>
            <w:div w:id="961695118">
              <w:marLeft w:val="0"/>
              <w:marRight w:val="0"/>
              <w:marTop w:val="0"/>
              <w:marBottom w:val="0"/>
              <w:divBdr>
                <w:top w:val="none" w:sz="0" w:space="0" w:color="auto"/>
                <w:left w:val="none" w:sz="0" w:space="0" w:color="auto"/>
                <w:bottom w:val="none" w:sz="0" w:space="0" w:color="auto"/>
                <w:right w:val="none" w:sz="0" w:space="0" w:color="auto"/>
              </w:divBdr>
              <w:divsChild>
                <w:div w:id="1372727006">
                  <w:marLeft w:val="0"/>
                  <w:marRight w:val="0"/>
                  <w:marTop w:val="0"/>
                  <w:marBottom w:val="0"/>
                  <w:divBdr>
                    <w:top w:val="none" w:sz="0" w:space="0" w:color="auto"/>
                    <w:left w:val="none" w:sz="0" w:space="0" w:color="auto"/>
                    <w:bottom w:val="none" w:sz="0" w:space="0" w:color="auto"/>
                    <w:right w:val="none" w:sz="0" w:space="0" w:color="auto"/>
                  </w:divBdr>
                  <w:divsChild>
                    <w:div w:id="10840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6345317">
      <w:bodyDiv w:val="1"/>
      <w:marLeft w:val="0"/>
      <w:marRight w:val="0"/>
      <w:marTop w:val="0"/>
      <w:marBottom w:val="0"/>
      <w:divBdr>
        <w:top w:val="none" w:sz="0" w:space="0" w:color="auto"/>
        <w:left w:val="none" w:sz="0" w:space="0" w:color="auto"/>
        <w:bottom w:val="none" w:sz="0" w:space="0" w:color="auto"/>
        <w:right w:val="none" w:sz="0" w:space="0" w:color="auto"/>
      </w:divBdr>
    </w:div>
    <w:div w:id="1356075090">
      <w:bodyDiv w:val="1"/>
      <w:marLeft w:val="0"/>
      <w:marRight w:val="0"/>
      <w:marTop w:val="0"/>
      <w:marBottom w:val="0"/>
      <w:divBdr>
        <w:top w:val="none" w:sz="0" w:space="0" w:color="auto"/>
        <w:left w:val="none" w:sz="0" w:space="0" w:color="auto"/>
        <w:bottom w:val="none" w:sz="0" w:space="0" w:color="auto"/>
        <w:right w:val="none" w:sz="0" w:space="0" w:color="auto"/>
      </w:divBdr>
      <w:divsChild>
        <w:div w:id="1545944147">
          <w:marLeft w:val="0"/>
          <w:marRight w:val="0"/>
          <w:marTop w:val="0"/>
          <w:marBottom w:val="0"/>
          <w:divBdr>
            <w:top w:val="none" w:sz="0" w:space="0" w:color="auto"/>
            <w:left w:val="none" w:sz="0" w:space="0" w:color="auto"/>
            <w:bottom w:val="none" w:sz="0" w:space="0" w:color="auto"/>
            <w:right w:val="none" w:sz="0" w:space="0" w:color="auto"/>
          </w:divBdr>
          <w:divsChild>
            <w:div w:id="1831672539">
              <w:marLeft w:val="0"/>
              <w:marRight w:val="0"/>
              <w:marTop w:val="0"/>
              <w:marBottom w:val="0"/>
              <w:divBdr>
                <w:top w:val="none" w:sz="0" w:space="0" w:color="auto"/>
                <w:left w:val="none" w:sz="0" w:space="0" w:color="auto"/>
                <w:bottom w:val="none" w:sz="0" w:space="0" w:color="auto"/>
                <w:right w:val="none" w:sz="0" w:space="0" w:color="auto"/>
              </w:divBdr>
              <w:divsChild>
                <w:div w:id="2055881815">
                  <w:marLeft w:val="0"/>
                  <w:marRight w:val="0"/>
                  <w:marTop w:val="0"/>
                  <w:marBottom w:val="0"/>
                  <w:divBdr>
                    <w:top w:val="none" w:sz="0" w:space="0" w:color="auto"/>
                    <w:left w:val="none" w:sz="0" w:space="0" w:color="auto"/>
                    <w:bottom w:val="none" w:sz="0" w:space="0" w:color="auto"/>
                    <w:right w:val="none" w:sz="0" w:space="0" w:color="auto"/>
                  </w:divBdr>
                </w:div>
                <w:div w:id="166962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074459">
      <w:bodyDiv w:val="1"/>
      <w:marLeft w:val="0"/>
      <w:marRight w:val="0"/>
      <w:marTop w:val="0"/>
      <w:marBottom w:val="0"/>
      <w:divBdr>
        <w:top w:val="none" w:sz="0" w:space="0" w:color="auto"/>
        <w:left w:val="none" w:sz="0" w:space="0" w:color="auto"/>
        <w:bottom w:val="none" w:sz="0" w:space="0" w:color="auto"/>
        <w:right w:val="none" w:sz="0" w:space="0" w:color="auto"/>
      </w:divBdr>
      <w:divsChild>
        <w:div w:id="2038508172">
          <w:marLeft w:val="0"/>
          <w:marRight w:val="0"/>
          <w:marTop w:val="0"/>
          <w:marBottom w:val="0"/>
          <w:divBdr>
            <w:top w:val="none" w:sz="0" w:space="0" w:color="auto"/>
            <w:left w:val="none" w:sz="0" w:space="0" w:color="auto"/>
            <w:bottom w:val="none" w:sz="0" w:space="0" w:color="auto"/>
            <w:right w:val="none" w:sz="0" w:space="0" w:color="auto"/>
          </w:divBdr>
          <w:divsChild>
            <w:div w:id="2058387436">
              <w:marLeft w:val="0"/>
              <w:marRight w:val="0"/>
              <w:marTop w:val="0"/>
              <w:marBottom w:val="0"/>
              <w:divBdr>
                <w:top w:val="none" w:sz="0" w:space="0" w:color="auto"/>
                <w:left w:val="none" w:sz="0" w:space="0" w:color="auto"/>
                <w:bottom w:val="none" w:sz="0" w:space="0" w:color="auto"/>
                <w:right w:val="none" w:sz="0" w:space="0" w:color="auto"/>
              </w:divBdr>
              <w:divsChild>
                <w:div w:id="138378362">
                  <w:marLeft w:val="0"/>
                  <w:marRight w:val="0"/>
                  <w:marTop w:val="0"/>
                  <w:marBottom w:val="0"/>
                  <w:divBdr>
                    <w:top w:val="none" w:sz="0" w:space="0" w:color="auto"/>
                    <w:left w:val="none" w:sz="0" w:space="0" w:color="auto"/>
                    <w:bottom w:val="none" w:sz="0" w:space="0" w:color="auto"/>
                    <w:right w:val="none" w:sz="0" w:space="0" w:color="auto"/>
                  </w:divBdr>
                </w:div>
              </w:divsChild>
            </w:div>
            <w:div w:id="1080829014">
              <w:marLeft w:val="0"/>
              <w:marRight w:val="0"/>
              <w:marTop w:val="0"/>
              <w:marBottom w:val="0"/>
              <w:divBdr>
                <w:top w:val="none" w:sz="0" w:space="0" w:color="auto"/>
                <w:left w:val="none" w:sz="0" w:space="0" w:color="auto"/>
                <w:bottom w:val="none" w:sz="0" w:space="0" w:color="auto"/>
                <w:right w:val="none" w:sz="0" w:space="0" w:color="auto"/>
              </w:divBdr>
              <w:divsChild>
                <w:div w:id="110187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198191">
          <w:marLeft w:val="0"/>
          <w:marRight w:val="0"/>
          <w:marTop w:val="0"/>
          <w:marBottom w:val="0"/>
          <w:divBdr>
            <w:top w:val="none" w:sz="0" w:space="0" w:color="auto"/>
            <w:left w:val="none" w:sz="0" w:space="0" w:color="auto"/>
            <w:bottom w:val="none" w:sz="0" w:space="0" w:color="auto"/>
            <w:right w:val="none" w:sz="0" w:space="0" w:color="auto"/>
          </w:divBdr>
          <w:divsChild>
            <w:div w:id="2027320324">
              <w:marLeft w:val="0"/>
              <w:marRight w:val="0"/>
              <w:marTop w:val="0"/>
              <w:marBottom w:val="0"/>
              <w:divBdr>
                <w:top w:val="none" w:sz="0" w:space="0" w:color="auto"/>
                <w:left w:val="none" w:sz="0" w:space="0" w:color="auto"/>
                <w:bottom w:val="none" w:sz="0" w:space="0" w:color="auto"/>
                <w:right w:val="none" w:sz="0" w:space="0" w:color="auto"/>
              </w:divBdr>
              <w:divsChild>
                <w:div w:id="148852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284377">
      <w:bodyDiv w:val="1"/>
      <w:marLeft w:val="0"/>
      <w:marRight w:val="0"/>
      <w:marTop w:val="0"/>
      <w:marBottom w:val="0"/>
      <w:divBdr>
        <w:top w:val="none" w:sz="0" w:space="0" w:color="auto"/>
        <w:left w:val="none" w:sz="0" w:space="0" w:color="auto"/>
        <w:bottom w:val="none" w:sz="0" w:space="0" w:color="auto"/>
        <w:right w:val="none" w:sz="0" w:space="0" w:color="auto"/>
      </w:divBdr>
    </w:div>
    <w:div w:id="1405178190">
      <w:bodyDiv w:val="1"/>
      <w:marLeft w:val="0"/>
      <w:marRight w:val="0"/>
      <w:marTop w:val="0"/>
      <w:marBottom w:val="0"/>
      <w:divBdr>
        <w:top w:val="none" w:sz="0" w:space="0" w:color="auto"/>
        <w:left w:val="none" w:sz="0" w:space="0" w:color="auto"/>
        <w:bottom w:val="none" w:sz="0" w:space="0" w:color="auto"/>
        <w:right w:val="none" w:sz="0" w:space="0" w:color="auto"/>
      </w:divBdr>
    </w:div>
    <w:div w:id="1436243873">
      <w:bodyDiv w:val="1"/>
      <w:marLeft w:val="0"/>
      <w:marRight w:val="0"/>
      <w:marTop w:val="0"/>
      <w:marBottom w:val="0"/>
      <w:divBdr>
        <w:top w:val="none" w:sz="0" w:space="0" w:color="auto"/>
        <w:left w:val="none" w:sz="0" w:space="0" w:color="auto"/>
        <w:bottom w:val="none" w:sz="0" w:space="0" w:color="auto"/>
        <w:right w:val="none" w:sz="0" w:space="0" w:color="auto"/>
      </w:divBdr>
      <w:divsChild>
        <w:div w:id="1358770812">
          <w:marLeft w:val="0"/>
          <w:marRight w:val="0"/>
          <w:marTop w:val="0"/>
          <w:marBottom w:val="0"/>
          <w:divBdr>
            <w:top w:val="none" w:sz="0" w:space="0" w:color="auto"/>
            <w:left w:val="none" w:sz="0" w:space="0" w:color="auto"/>
            <w:bottom w:val="none" w:sz="0" w:space="0" w:color="auto"/>
            <w:right w:val="none" w:sz="0" w:space="0" w:color="auto"/>
          </w:divBdr>
          <w:divsChild>
            <w:div w:id="2101876513">
              <w:marLeft w:val="0"/>
              <w:marRight w:val="0"/>
              <w:marTop w:val="0"/>
              <w:marBottom w:val="0"/>
              <w:divBdr>
                <w:top w:val="none" w:sz="0" w:space="0" w:color="auto"/>
                <w:left w:val="none" w:sz="0" w:space="0" w:color="auto"/>
                <w:bottom w:val="none" w:sz="0" w:space="0" w:color="auto"/>
                <w:right w:val="none" w:sz="0" w:space="0" w:color="auto"/>
              </w:divBdr>
              <w:divsChild>
                <w:div w:id="210773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925888">
      <w:bodyDiv w:val="1"/>
      <w:marLeft w:val="0"/>
      <w:marRight w:val="0"/>
      <w:marTop w:val="0"/>
      <w:marBottom w:val="0"/>
      <w:divBdr>
        <w:top w:val="none" w:sz="0" w:space="0" w:color="auto"/>
        <w:left w:val="none" w:sz="0" w:space="0" w:color="auto"/>
        <w:bottom w:val="none" w:sz="0" w:space="0" w:color="auto"/>
        <w:right w:val="none" w:sz="0" w:space="0" w:color="auto"/>
      </w:divBdr>
    </w:div>
    <w:div w:id="1510027142">
      <w:bodyDiv w:val="1"/>
      <w:marLeft w:val="0"/>
      <w:marRight w:val="0"/>
      <w:marTop w:val="0"/>
      <w:marBottom w:val="0"/>
      <w:divBdr>
        <w:top w:val="none" w:sz="0" w:space="0" w:color="auto"/>
        <w:left w:val="none" w:sz="0" w:space="0" w:color="auto"/>
        <w:bottom w:val="none" w:sz="0" w:space="0" w:color="auto"/>
        <w:right w:val="none" w:sz="0" w:space="0" w:color="auto"/>
      </w:divBdr>
    </w:div>
    <w:div w:id="1528523081">
      <w:bodyDiv w:val="1"/>
      <w:marLeft w:val="0"/>
      <w:marRight w:val="0"/>
      <w:marTop w:val="0"/>
      <w:marBottom w:val="0"/>
      <w:divBdr>
        <w:top w:val="none" w:sz="0" w:space="0" w:color="auto"/>
        <w:left w:val="none" w:sz="0" w:space="0" w:color="auto"/>
        <w:bottom w:val="none" w:sz="0" w:space="0" w:color="auto"/>
        <w:right w:val="none" w:sz="0" w:space="0" w:color="auto"/>
      </w:divBdr>
    </w:div>
    <w:div w:id="1574391231">
      <w:bodyDiv w:val="1"/>
      <w:marLeft w:val="0"/>
      <w:marRight w:val="0"/>
      <w:marTop w:val="0"/>
      <w:marBottom w:val="0"/>
      <w:divBdr>
        <w:top w:val="none" w:sz="0" w:space="0" w:color="auto"/>
        <w:left w:val="none" w:sz="0" w:space="0" w:color="auto"/>
        <w:bottom w:val="none" w:sz="0" w:space="0" w:color="auto"/>
        <w:right w:val="none" w:sz="0" w:space="0" w:color="auto"/>
      </w:divBdr>
      <w:divsChild>
        <w:div w:id="1559512278">
          <w:marLeft w:val="0"/>
          <w:marRight w:val="0"/>
          <w:marTop w:val="0"/>
          <w:marBottom w:val="0"/>
          <w:divBdr>
            <w:top w:val="none" w:sz="0" w:space="0" w:color="auto"/>
            <w:left w:val="none" w:sz="0" w:space="0" w:color="auto"/>
            <w:bottom w:val="none" w:sz="0" w:space="0" w:color="auto"/>
            <w:right w:val="none" w:sz="0" w:space="0" w:color="auto"/>
          </w:divBdr>
          <w:divsChild>
            <w:div w:id="704789597">
              <w:marLeft w:val="0"/>
              <w:marRight w:val="0"/>
              <w:marTop w:val="0"/>
              <w:marBottom w:val="0"/>
              <w:divBdr>
                <w:top w:val="none" w:sz="0" w:space="0" w:color="auto"/>
                <w:left w:val="none" w:sz="0" w:space="0" w:color="auto"/>
                <w:bottom w:val="none" w:sz="0" w:space="0" w:color="auto"/>
                <w:right w:val="none" w:sz="0" w:space="0" w:color="auto"/>
              </w:divBdr>
              <w:divsChild>
                <w:div w:id="211054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896236">
      <w:bodyDiv w:val="1"/>
      <w:marLeft w:val="0"/>
      <w:marRight w:val="0"/>
      <w:marTop w:val="0"/>
      <w:marBottom w:val="0"/>
      <w:divBdr>
        <w:top w:val="none" w:sz="0" w:space="0" w:color="auto"/>
        <w:left w:val="none" w:sz="0" w:space="0" w:color="auto"/>
        <w:bottom w:val="none" w:sz="0" w:space="0" w:color="auto"/>
        <w:right w:val="none" w:sz="0" w:space="0" w:color="auto"/>
      </w:divBdr>
      <w:divsChild>
        <w:div w:id="1849249523">
          <w:marLeft w:val="0"/>
          <w:marRight w:val="0"/>
          <w:marTop w:val="0"/>
          <w:marBottom w:val="0"/>
          <w:divBdr>
            <w:top w:val="none" w:sz="0" w:space="0" w:color="auto"/>
            <w:left w:val="none" w:sz="0" w:space="0" w:color="auto"/>
            <w:bottom w:val="none" w:sz="0" w:space="0" w:color="auto"/>
            <w:right w:val="none" w:sz="0" w:space="0" w:color="auto"/>
          </w:divBdr>
          <w:divsChild>
            <w:div w:id="980882473">
              <w:marLeft w:val="0"/>
              <w:marRight w:val="0"/>
              <w:marTop w:val="0"/>
              <w:marBottom w:val="0"/>
              <w:divBdr>
                <w:top w:val="none" w:sz="0" w:space="0" w:color="auto"/>
                <w:left w:val="none" w:sz="0" w:space="0" w:color="auto"/>
                <w:bottom w:val="none" w:sz="0" w:space="0" w:color="auto"/>
                <w:right w:val="none" w:sz="0" w:space="0" w:color="auto"/>
              </w:divBdr>
              <w:divsChild>
                <w:div w:id="160630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947686">
      <w:bodyDiv w:val="1"/>
      <w:marLeft w:val="0"/>
      <w:marRight w:val="0"/>
      <w:marTop w:val="0"/>
      <w:marBottom w:val="0"/>
      <w:divBdr>
        <w:top w:val="none" w:sz="0" w:space="0" w:color="auto"/>
        <w:left w:val="none" w:sz="0" w:space="0" w:color="auto"/>
        <w:bottom w:val="none" w:sz="0" w:space="0" w:color="auto"/>
        <w:right w:val="none" w:sz="0" w:space="0" w:color="auto"/>
      </w:divBdr>
      <w:divsChild>
        <w:div w:id="477192008">
          <w:marLeft w:val="0"/>
          <w:marRight w:val="0"/>
          <w:marTop w:val="0"/>
          <w:marBottom w:val="0"/>
          <w:divBdr>
            <w:top w:val="none" w:sz="0" w:space="0" w:color="auto"/>
            <w:left w:val="none" w:sz="0" w:space="0" w:color="auto"/>
            <w:bottom w:val="none" w:sz="0" w:space="0" w:color="auto"/>
            <w:right w:val="none" w:sz="0" w:space="0" w:color="auto"/>
          </w:divBdr>
          <w:divsChild>
            <w:div w:id="2138840614">
              <w:marLeft w:val="0"/>
              <w:marRight w:val="0"/>
              <w:marTop w:val="0"/>
              <w:marBottom w:val="0"/>
              <w:divBdr>
                <w:top w:val="none" w:sz="0" w:space="0" w:color="auto"/>
                <w:left w:val="none" w:sz="0" w:space="0" w:color="auto"/>
                <w:bottom w:val="none" w:sz="0" w:space="0" w:color="auto"/>
                <w:right w:val="none" w:sz="0" w:space="0" w:color="auto"/>
              </w:divBdr>
              <w:divsChild>
                <w:div w:id="954289054">
                  <w:marLeft w:val="0"/>
                  <w:marRight w:val="0"/>
                  <w:marTop w:val="0"/>
                  <w:marBottom w:val="0"/>
                  <w:divBdr>
                    <w:top w:val="none" w:sz="0" w:space="0" w:color="auto"/>
                    <w:left w:val="none" w:sz="0" w:space="0" w:color="auto"/>
                    <w:bottom w:val="none" w:sz="0" w:space="0" w:color="auto"/>
                    <w:right w:val="none" w:sz="0" w:space="0" w:color="auto"/>
                  </w:divBdr>
                  <w:divsChild>
                    <w:div w:id="146080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293543">
      <w:bodyDiv w:val="1"/>
      <w:marLeft w:val="0"/>
      <w:marRight w:val="0"/>
      <w:marTop w:val="0"/>
      <w:marBottom w:val="0"/>
      <w:divBdr>
        <w:top w:val="none" w:sz="0" w:space="0" w:color="auto"/>
        <w:left w:val="none" w:sz="0" w:space="0" w:color="auto"/>
        <w:bottom w:val="none" w:sz="0" w:space="0" w:color="auto"/>
        <w:right w:val="none" w:sz="0" w:space="0" w:color="auto"/>
      </w:divBdr>
    </w:div>
    <w:div w:id="1782218064">
      <w:bodyDiv w:val="1"/>
      <w:marLeft w:val="0"/>
      <w:marRight w:val="0"/>
      <w:marTop w:val="0"/>
      <w:marBottom w:val="0"/>
      <w:divBdr>
        <w:top w:val="none" w:sz="0" w:space="0" w:color="auto"/>
        <w:left w:val="none" w:sz="0" w:space="0" w:color="auto"/>
        <w:bottom w:val="none" w:sz="0" w:space="0" w:color="auto"/>
        <w:right w:val="none" w:sz="0" w:space="0" w:color="auto"/>
      </w:divBdr>
    </w:div>
    <w:div w:id="1787891469">
      <w:bodyDiv w:val="1"/>
      <w:marLeft w:val="0"/>
      <w:marRight w:val="0"/>
      <w:marTop w:val="0"/>
      <w:marBottom w:val="0"/>
      <w:divBdr>
        <w:top w:val="none" w:sz="0" w:space="0" w:color="auto"/>
        <w:left w:val="none" w:sz="0" w:space="0" w:color="auto"/>
        <w:bottom w:val="none" w:sz="0" w:space="0" w:color="auto"/>
        <w:right w:val="none" w:sz="0" w:space="0" w:color="auto"/>
      </w:divBdr>
      <w:divsChild>
        <w:div w:id="1337923365">
          <w:marLeft w:val="0"/>
          <w:marRight w:val="0"/>
          <w:marTop w:val="0"/>
          <w:marBottom w:val="0"/>
          <w:divBdr>
            <w:top w:val="none" w:sz="0" w:space="0" w:color="auto"/>
            <w:left w:val="none" w:sz="0" w:space="0" w:color="auto"/>
            <w:bottom w:val="none" w:sz="0" w:space="0" w:color="auto"/>
            <w:right w:val="none" w:sz="0" w:space="0" w:color="auto"/>
          </w:divBdr>
          <w:divsChild>
            <w:div w:id="1653941956">
              <w:marLeft w:val="0"/>
              <w:marRight w:val="0"/>
              <w:marTop w:val="0"/>
              <w:marBottom w:val="0"/>
              <w:divBdr>
                <w:top w:val="none" w:sz="0" w:space="0" w:color="auto"/>
                <w:left w:val="none" w:sz="0" w:space="0" w:color="auto"/>
                <w:bottom w:val="none" w:sz="0" w:space="0" w:color="auto"/>
                <w:right w:val="none" w:sz="0" w:space="0" w:color="auto"/>
              </w:divBdr>
              <w:divsChild>
                <w:div w:id="199710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562893">
      <w:bodyDiv w:val="1"/>
      <w:marLeft w:val="0"/>
      <w:marRight w:val="0"/>
      <w:marTop w:val="0"/>
      <w:marBottom w:val="0"/>
      <w:divBdr>
        <w:top w:val="none" w:sz="0" w:space="0" w:color="auto"/>
        <w:left w:val="none" w:sz="0" w:space="0" w:color="auto"/>
        <w:bottom w:val="none" w:sz="0" w:space="0" w:color="auto"/>
        <w:right w:val="none" w:sz="0" w:space="0" w:color="auto"/>
      </w:divBdr>
      <w:divsChild>
        <w:div w:id="1178426197">
          <w:marLeft w:val="0"/>
          <w:marRight w:val="0"/>
          <w:marTop w:val="0"/>
          <w:marBottom w:val="0"/>
          <w:divBdr>
            <w:top w:val="none" w:sz="0" w:space="0" w:color="auto"/>
            <w:left w:val="none" w:sz="0" w:space="0" w:color="auto"/>
            <w:bottom w:val="none" w:sz="0" w:space="0" w:color="auto"/>
            <w:right w:val="none" w:sz="0" w:space="0" w:color="auto"/>
          </w:divBdr>
          <w:divsChild>
            <w:div w:id="392121598">
              <w:marLeft w:val="0"/>
              <w:marRight w:val="0"/>
              <w:marTop w:val="0"/>
              <w:marBottom w:val="0"/>
              <w:divBdr>
                <w:top w:val="none" w:sz="0" w:space="0" w:color="auto"/>
                <w:left w:val="none" w:sz="0" w:space="0" w:color="auto"/>
                <w:bottom w:val="none" w:sz="0" w:space="0" w:color="auto"/>
                <w:right w:val="none" w:sz="0" w:space="0" w:color="auto"/>
              </w:divBdr>
              <w:divsChild>
                <w:div w:id="198149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234139">
      <w:bodyDiv w:val="1"/>
      <w:marLeft w:val="0"/>
      <w:marRight w:val="0"/>
      <w:marTop w:val="0"/>
      <w:marBottom w:val="0"/>
      <w:divBdr>
        <w:top w:val="none" w:sz="0" w:space="0" w:color="auto"/>
        <w:left w:val="none" w:sz="0" w:space="0" w:color="auto"/>
        <w:bottom w:val="none" w:sz="0" w:space="0" w:color="auto"/>
        <w:right w:val="none" w:sz="0" w:space="0" w:color="auto"/>
      </w:divBdr>
      <w:divsChild>
        <w:div w:id="1613515250">
          <w:marLeft w:val="0"/>
          <w:marRight w:val="0"/>
          <w:marTop w:val="0"/>
          <w:marBottom w:val="0"/>
          <w:divBdr>
            <w:top w:val="none" w:sz="0" w:space="0" w:color="auto"/>
            <w:left w:val="none" w:sz="0" w:space="0" w:color="auto"/>
            <w:bottom w:val="none" w:sz="0" w:space="0" w:color="auto"/>
            <w:right w:val="none" w:sz="0" w:space="0" w:color="auto"/>
          </w:divBdr>
          <w:divsChild>
            <w:div w:id="624967940">
              <w:marLeft w:val="0"/>
              <w:marRight w:val="0"/>
              <w:marTop w:val="0"/>
              <w:marBottom w:val="0"/>
              <w:divBdr>
                <w:top w:val="none" w:sz="0" w:space="0" w:color="auto"/>
                <w:left w:val="none" w:sz="0" w:space="0" w:color="auto"/>
                <w:bottom w:val="none" w:sz="0" w:space="0" w:color="auto"/>
                <w:right w:val="none" w:sz="0" w:space="0" w:color="auto"/>
              </w:divBdr>
              <w:divsChild>
                <w:div w:id="207835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410548">
      <w:bodyDiv w:val="1"/>
      <w:marLeft w:val="0"/>
      <w:marRight w:val="0"/>
      <w:marTop w:val="0"/>
      <w:marBottom w:val="0"/>
      <w:divBdr>
        <w:top w:val="none" w:sz="0" w:space="0" w:color="auto"/>
        <w:left w:val="none" w:sz="0" w:space="0" w:color="auto"/>
        <w:bottom w:val="none" w:sz="0" w:space="0" w:color="auto"/>
        <w:right w:val="none" w:sz="0" w:space="0" w:color="auto"/>
      </w:divBdr>
    </w:div>
    <w:div w:id="1893544297">
      <w:bodyDiv w:val="1"/>
      <w:marLeft w:val="0"/>
      <w:marRight w:val="0"/>
      <w:marTop w:val="0"/>
      <w:marBottom w:val="0"/>
      <w:divBdr>
        <w:top w:val="none" w:sz="0" w:space="0" w:color="auto"/>
        <w:left w:val="none" w:sz="0" w:space="0" w:color="auto"/>
        <w:bottom w:val="none" w:sz="0" w:space="0" w:color="auto"/>
        <w:right w:val="none" w:sz="0" w:space="0" w:color="auto"/>
      </w:divBdr>
    </w:div>
    <w:div w:id="1920670896">
      <w:bodyDiv w:val="1"/>
      <w:marLeft w:val="0"/>
      <w:marRight w:val="0"/>
      <w:marTop w:val="0"/>
      <w:marBottom w:val="0"/>
      <w:divBdr>
        <w:top w:val="none" w:sz="0" w:space="0" w:color="auto"/>
        <w:left w:val="none" w:sz="0" w:space="0" w:color="auto"/>
        <w:bottom w:val="none" w:sz="0" w:space="0" w:color="auto"/>
        <w:right w:val="none" w:sz="0" w:space="0" w:color="auto"/>
      </w:divBdr>
      <w:divsChild>
        <w:div w:id="610626530">
          <w:marLeft w:val="0"/>
          <w:marRight w:val="0"/>
          <w:marTop w:val="0"/>
          <w:marBottom w:val="0"/>
          <w:divBdr>
            <w:top w:val="none" w:sz="0" w:space="0" w:color="auto"/>
            <w:left w:val="none" w:sz="0" w:space="0" w:color="auto"/>
            <w:bottom w:val="none" w:sz="0" w:space="0" w:color="auto"/>
            <w:right w:val="none" w:sz="0" w:space="0" w:color="auto"/>
          </w:divBdr>
          <w:divsChild>
            <w:div w:id="1807510333">
              <w:marLeft w:val="0"/>
              <w:marRight w:val="0"/>
              <w:marTop w:val="0"/>
              <w:marBottom w:val="0"/>
              <w:divBdr>
                <w:top w:val="none" w:sz="0" w:space="0" w:color="auto"/>
                <w:left w:val="none" w:sz="0" w:space="0" w:color="auto"/>
                <w:bottom w:val="none" w:sz="0" w:space="0" w:color="auto"/>
                <w:right w:val="none" w:sz="0" w:space="0" w:color="auto"/>
              </w:divBdr>
              <w:divsChild>
                <w:div w:id="1660032902">
                  <w:marLeft w:val="0"/>
                  <w:marRight w:val="0"/>
                  <w:marTop w:val="0"/>
                  <w:marBottom w:val="0"/>
                  <w:divBdr>
                    <w:top w:val="none" w:sz="0" w:space="0" w:color="auto"/>
                    <w:left w:val="none" w:sz="0" w:space="0" w:color="auto"/>
                    <w:bottom w:val="none" w:sz="0" w:space="0" w:color="auto"/>
                    <w:right w:val="none" w:sz="0" w:space="0" w:color="auto"/>
                  </w:divBdr>
                  <w:divsChild>
                    <w:div w:id="61414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7319675">
      <w:bodyDiv w:val="1"/>
      <w:marLeft w:val="0"/>
      <w:marRight w:val="0"/>
      <w:marTop w:val="0"/>
      <w:marBottom w:val="0"/>
      <w:divBdr>
        <w:top w:val="none" w:sz="0" w:space="0" w:color="auto"/>
        <w:left w:val="none" w:sz="0" w:space="0" w:color="auto"/>
        <w:bottom w:val="none" w:sz="0" w:space="0" w:color="auto"/>
        <w:right w:val="none" w:sz="0" w:space="0" w:color="auto"/>
      </w:divBdr>
    </w:div>
    <w:div w:id="1947224226">
      <w:bodyDiv w:val="1"/>
      <w:marLeft w:val="0"/>
      <w:marRight w:val="0"/>
      <w:marTop w:val="0"/>
      <w:marBottom w:val="0"/>
      <w:divBdr>
        <w:top w:val="none" w:sz="0" w:space="0" w:color="auto"/>
        <w:left w:val="none" w:sz="0" w:space="0" w:color="auto"/>
        <w:bottom w:val="none" w:sz="0" w:space="0" w:color="auto"/>
        <w:right w:val="none" w:sz="0" w:space="0" w:color="auto"/>
      </w:divBdr>
      <w:divsChild>
        <w:div w:id="1424103115">
          <w:marLeft w:val="0"/>
          <w:marRight w:val="0"/>
          <w:marTop w:val="0"/>
          <w:marBottom w:val="0"/>
          <w:divBdr>
            <w:top w:val="none" w:sz="0" w:space="0" w:color="auto"/>
            <w:left w:val="none" w:sz="0" w:space="0" w:color="auto"/>
            <w:bottom w:val="none" w:sz="0" w:space="0" w:color="auto"/>
            <w:right w:val="none" w:sz="0" w:space="0" w:color="auto"/>
          </w:divBdr>
          <w:divsChild>
            <w:div w:id="1766077092">
              <w:marLeft w:val="0"/>
              <w:marRight w:val="0"/>
              <w:marTop w:val="0"/>
              <w:marBottom w:val="0"/>
              <w:divBdr>
                <w:top w:val="none" w:sz="0" w:space="0" w:color="auto"/>
                <w:left w:val="none" w:sz="0" w:space="0" w:color="auto"/>
                <w:bottom w:val="none" w:sz="0" w:space="0" w:color="auto"/>
                <w:right w:val="none" w:sz="0" w:space="0" w:color="auto"/>
              </w:divBdr>
              <w:divsChild>
                <w:div w:id="48840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261968">
      <w:bodyDiv w:val="1"/>
      <w:marLeft w:val="0"/>
      <w:marRight w:val="0"/>
      <w:marTop w:val="0"/>
      <w:marBottom w:val="0"/>
      <w:divBdr>
        <w:top w:val="none" w:sz="0" w:space="0" w:color="auto"/>
        <w:left w:val="none" w:sz="0" w:space="0" w:color="auto"/>
        <w:bottom w:val="none" w:sz="0" w:space="0" w:color="auto"/>
        <w:right w:val="none" w:sz="0" w:space="0" w:color="auto"/>
      </w:divBdr>
    </w:div>
    <w:div w:id="2030180379">
      <w:bodyDiv w:val="1"/>
      <w:marLeft w:val="0"/>
      <w:marRight w:val="0"/>
      <w:marTop w:val="0"/>
      <w:marBottom w:val="0"/>
      <w:divBdr>
        <w:top w:val="none" w:sz="0" w:space="0" w:color="auto"/>
        <w:left w:val="none" w:sz="0" w:space="0" w:color="auto"/>
        <w:bottom w:val="none" w:sz="0" w:space="0" w:color="auto"/>
        <w:right w:val="none" w:sz="0" w:space="0" w:color="auto"/>
      </w:divBdr>
    </w:div>
    <w:div w:id="2064088558">
      <w:bodyDiv w:val="1"/>
      <w:marLeft w:val="0"/>
      <w:marRight w:val="0"/>
      <w:marTop w:val="0"/>
      <w:marBottom w:val="0"/>
      <w:divBdr>
        <w:top w:val="none" w:sz="0" w:space="0" w:color="auto"/>
        <w:left w:val="none" w:sz="0" w:space="0" w:color="auto"/>
        <w:bottom w:val="none" w:sz="0" w:space="0" w:color="auto"/>
        <w:right w:val="none" w:sz="0" w:space="0" w:color="auto"/>
      </w:divBdr>
    </w:div>
    <w:div w:id="2087917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Colors" Target="diagrams/colors1.xml"/><Relationship Id="rId18" Type="http://schemas.openxmlformats.org/officeDocument/2006/relationships/hyperlink" Target="https://doi.org/10.1145/2583008.2583023" TargetMode="External"/><Relationship Id="rId26" Type="http://schemas.openxmlformats.org/officeDocument/2006/relationships/hyperlink" Target="https://doi.org/10.18510/hssr.2019.757" TargetMode="External"/><Relationship Id="rId3" Type="http://schemas.openxmlformats.org/officeDocument/2006/relationships/styles" Target="styles.xml"/><Relationship Id="rId21" Type="http://schemas.openxmlformats.org/officeDocument/2006/relationships/hyperlink" Target="https://ddd.uab.cat/pub/llibres/2018/188188/ebook15.pdf"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4.jpeg"/><Relationship Id="rId25" Type="http://schemas.openxmlformats.org/officeDocument/2006/relationships/hyperlink" Target="http://users.cs.northwestern.edu/~hunicke/MDA.pdf"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s://media.iese.edu/research/pdfs/ST-0476.pdf" TargetMode="External"/><Relationship Id="rId29" Type="http://schemas.openxmlformats.org/officeDocument/2006/relationships/hyperlink" Target="https://ddd.uab.cat/pub/llibres/2018/188188/ebook15.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hyperlink" Target="https://shura.shu.ac.uk/7172/1/Glover_-_Play_As_You_Learn_-_proceeding_112246.pdf"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dx.doi.org/10.1145/2559206.2578870" TargetMode="External"/><Relationship Id="rId28" Type="http://schemas.openxmlformats.org/officeDocument/2006/relationships/hyperlink" Target="https://doi.org/10.29139/aijss.20160404" TargetMode="External"/><Relationship Id="rId10" Type="http://schemas.openxmlformats.org/officeDocument/2006/relationships/diagramData" Target="diagrams/data1.xml"/><Relationship Id="rId19" Type="http://schemas.openxmlformats.org/officeDocument/2006/relationships/hyperlink" Target="https://doi.org/10.1080/00098650903505415"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aml570@ual.es" TargetMode="External"/><Relationship Id="rId14" Type="http://schemas.microsoft.com/office/2007/relationships/diagramDrawing" Target="diagrams/drawing1.xml"/><Relationship Id="rId22" Type="http://schemas.openxmlformats.org/officeDocument/2006/relationships/hyperlink" Target="http://gamification-research.org/wp-content/uploads/2011/04/02-Deterding-Khaled-Nacke-Dixon.pdf" TargetMode="External"/><Relationship Id="rId27" Type="http://schemas.openxmlformats.org/officeDocument/2006/relationships/hyperlink" Target="https://doi.org/10.1007/978-3-642-39226-9_12" TargetMode="External"/><Relationship Id="rId30" Type="http://schemas.openxmlformats.org/officeDocument/2006/relationships/header" Target="header1.xml"/><Relationship Id="rId35"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s://doi.org/XXXX/edmetic.XXXXXX"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orcid.org/0000-0003-3916-6772" TargetMode="External"/><Relationship Id="rId3" Type="http://schemas.openxmlformats.org/officeDocument/2006/relationships/hyperlink" Target="mailto:gabbers1983@hotmail.com" TargetMode="External"/><Relationship Id="rId7" Type="http://schemas.openxmlformats.org/officeDocument/2006/relationships/hyperlink" Target="mailto:jalvarez@ual.es" TargetMode="External"/><Relationship Id="rId2" Type="http://schemas.openxmlformats.org/officeDocument/2006/relationships/hyperlink" Target="https://orcid.org/0000-0001-6966-0355" TargetMode="External"/><Relationship Id="rId1" Type="http://schemas.openxmlformats.org/officeDocument/2006/relationships/hyperlink" Target="mailto:aml570@ual.es" TargetMode="External"/><Relationship Id="rId6" Type="http://schemas.openxmlformats.org/officeDocument/2006/relationships/hyperlink" Target="https://orcid.org/0000-0001-8489-51795" TargetMode="External"/><Relationship Id="rId5" Type="http://schemas.openxmlformats.org/officeDocument/2006/relationships/hyperlink" Target="mailto:rtr088@ual.es" TargetMode="External"/><Relationship Id="rId10" Type="http://schemas.openxmlformats.org/officeDocument/2006/relationships/hyperlink" Target="https://orcid.org/0000-0002-6703-0680" TargetMode="External"/><Relationship Id="rId4" Type="http://schemas.openxmlformats.org/officeDocument/2006/relationships/hyperlink" Target="https://orcid.org/0000-0001-9746-9697" TargetMode="External"/><Relationship Id="rId9" Type="http://schemas.openxmlformats.org/officeDocument/2006/relationships/hyperlink" Target="mailto:jmaguilar@ual.es" TargetMode="Externa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4F8A464-B021-774D-B1B5-F1695A8AA065}" type="doc">
      <dgm:prSet loTypeId="urn:microsoft.com/office/officeart/2005/8/layout/pyramid2" loCatId="" qsTypeId="urn:microsoft.com/office/officeart/2005/8/quickstyle/simple4" qsCatId="simple" csTypeId="urn:microsoft.com/office/officeart/2005/8/colors/colorful4" csCatId="colorful" phldr="1"/>
      <dgm:spPr/>
    </dgm:pt>
    <dgm:pt modelId="{9363FA38-924D-C84C-9349-5D46092AB4FD}">
      <dgm:prSet phldrT="[Texto]"/>
      <dgm:spPr/>
      <dgm:t>
        <a:bodyPr/>
        <a:lstStyle/>
        <a:p>
          <a:r>
            <a:rPr lang="es-ES_tradnl"/>
            <a:t>Estética: Grey Place</a:t>
          </a:r>
        </a:p>
      </dgm:t>
    </dgm:pt>
    <dgm:pt modelId="{7E0FD590-7B95-7C42-B6D3-1116521B991D}" type="parTrans" cxnId="{F75A0AC9-A6F4-6440-B6DB-D7F6407E2A08}">
      <dgm:prSet/>
      <dgm:spPr/>
      <dgm:t>
        <a:bodyPr/>
        <a:lstStyle/>
        <a:p>
          <a:endParaRPr lang="es-ES"/>
        </a:p>
      </dgm:t>
    </dgm:pt>
    <dgm:pt modelId="{2F100F60-FC2B-3146-BBD4-AAC5F9CE4782}" type="sibTrans" cxnId="{F75A0AC9-A6F4-6440-B6DB-D7F6407E2A08}">
      <dgm:prSet/>
      <dgm:spPr/>
      <dgm:t>
        <a:bodyPr/>
        <a:lstStyle/>
        <a:p>
          <a:endParaRPr lang="es-ES"/>
        </a:p>
      </dgm:t>
    </dgm:pt>
    <dgm:pt modelId="{4B4F4E61-1194-E944-97C4-99F6222A1527}">
      <dgm:prSet phldrT="[Texto]"/>
      <dgm:spPr/>
      <dgm:t>
        <a:bodyPr/>
        <a:lstStyle/>
        <a:p>
          <a:r>
            <a:rPr lang="es-ES_tradnl"/>
            <a:t>Dinámicas: Misiones individuales, desafío grupal y evento desbloqueable (Breakout Edu)</a:t>
          </a:r>
        </a:p>
      </dgm:t>
    </dgm:pt>
    <dgm:pt modelId="{9A83CECC-1A35-7940-8974-98D2A9FAB01A}" type="parTrans" cxnId="{D627A0EE-23DE-AC41-89F9-4A7060EB4B37}">
      <dgm:prSet/>
      <dgm:spPr/>
      <dgm:t>
        <a:bodyPr/>
        <a:lstStyle/>
        <a:p>
          <a:endParaRPr lang="es-ES"/>
        </a:p>
      </dgm:t>
    </dgm:pt>
    <dgm:pt modelId="{C939B950-28FE-D74B-B605-0255C7E80578}" type="sibTrans" cxnId="{D627A0EE-23DE-AC41-89F9-4A7060EB4B37}">
      <dgm:prSet/>
      <dgm:spPr/>
      <dgm:t>
        <a:bodyPr/>
        <a:lstStyle/>
        <a:p>
          <a:endParaRPr lang="es-ES"/>
        </a:p>
      </dgm:t>
    </dgm:pt>
    <dgm:pt modelId="{3EBD796E-8AF3-E84E-8F4F-8EDB04ABDAC9}">
      <dgm:prSet phldrT="[Texto]"/>
      <dgm:spPr/>
      <dgm:t>
        <a:bodyPr/>
        <a:lstStyle/>
        <a:p>
          <a:r>
            <a:rPr lang="es-ES_tradnl"/>
            <a:t>Mecánicas: Contrato, ficha del caso y puntos.</a:t>
          </a:r>
        </a:p>
      </dgm:t>
    </dgm:pt>
    <dgm:pt modelId="{2314E801-61CA-564B-8059-C3F22A40A961}" type="parTrans" cxnId="{A25FB9F1-525B-4241-AA64-18315895CC4A}">
      <dgm:prSet/>
      <dgm:spPr/>
      <dgm:t>
        <a:bodyPr/>
        <a:lstStyle/>
        <a:p>
          <a:endParaRPr lang="es-ES"/>
        </a:p>
      </dgm:t>
    </dgm:pt>
    <dgm:pt modelId="{A08E7F3F-C2EF-BD4C-8AD5-DA7F5F920A41}" type="sibTrans" cxnId="{A25FB9F1-525B-4241-AA64-18315895CC4A}">
      <dgm:prSet/>
      <dgm:spPr/>
      <dgm:t>
        <a:bodyPr/>
        <a:lstStyle/>
        <a:p>
          <a:endParaRPr lang="es-ES"/>
        </a:p>
      </dgm:t>
    </dgm:pt>
    <dgm:pt modelId="{6657BBAA-4777-0445-8BA9-86F4BC07AE0D}" type="pres">
      <dgm:prSet presAssocID="{C4F8A464-B021-774D-B1B5-F1695A8AA065}" presName="compositeShape" presStyleCnt="0">
        <dgm:presLayoutVars>
          <dgm:dir/>
          <dgm:resizeHandles/>
        </dgm:presLayoutVars>
      </dgm:prSet>
      <dgm:spPr/>
    </dgm:pt>
    <dgm:pt modelId="{9697C696-A8CA-C744-ACD9-4C62EA268A05}" type="pres">
      <dgm:prSet presAssocID="{C4F8A464-B021-774D-B1B5-F1695A8AA065}" presName="pyramid" presStyleLbl="node1" presStyleIdx="0" presStyleCnt="1"/>
      <dgm:spPr/>
    </dgm:pt>
    <dgm:pt modelId="{DF767BD6-BB75-964B-AB98-AE0669B32D07}" type="pres">
      <dgm:prSet presAssocID="{C4F8A464-B021-774D-B1B5-F1695A8AA065}" presName="theList" presStyleCnt="0"/>
      <dgm:spPr/>
    </dgm:pt>
    <dgm:pt modelId="{D1064707-6F7A-C842-927B-2530B4D53AAD}" type="pres">
      <dgm:prSet presAssocID="{9363FA38-924D-C84C-9349-5D46092AB4FD}" presName="aNode" presStyleLbl="fgAcc1" presStyleIdx="0" presStyleCnt="3">
        <dgm:presLayoutVars>
          <dgm:bulletEnabled val="1"/>
        </dgm:presLayoutVars>
      </dgm:prSet>
      <dgm:spPr/>
      <dgm:t>
        <a:bodyPr/>
        <a:lstStyle/>
        <a:p>
          <a:endParaRPr lang="es-ES"/>
        </a:p>
      </dgm:t>
    </dgm:pt>
    <dgm:pt modelId="{B51CC135-1536-834E-B92A-B38EDC78EA83}" type="pres">
      <dgm:prSet presAssocID="{9363FA38-924D-C84C-9349-5D46092AB4FD}" presName="aSpace" presStyleCnt="0"/>
      <dgm:spPr/>
    </dgm:pt>
    <dgm:pt modelId="{BC565DDA-D893-DA4D-9F3E-EFDCE3544BAB}" type="pres">
      <dgm:prSet presAssocID="{4B4F4E61-1194-E944-97C4-99F6222A1527}" presName="aNode" presStyleLbl="fgAcc1" presStyleIdx="1" presStyleCnt="3">
        <dgm:presLayoutVars>
          <dgm:bulletEnabled val="1"/>
        </dgm:presLayoutVars>
      </dgm:prSet>
      <dgm:spPr/>
      <dgm:t>
        <a:bodyPr/>
        <a:lstStyle/>
        <a:p>
          <a:endParaRPr lang="es-ES"/>
        </a:p>
      </dgm:t>
    </dgm:pt>
    <dgm:pt modelId="{803A4140-86FE-414F-945C-2766BAEF8D30}" type="pres">
      <dgm:prSet presAssocID="{4B4F4E61-1194-E944-97C4-99F6222A1527}" presName="aSpace" presStyleCnt="0"/>
      <dgm:spPr/>
    </dgm:pt>
    <dgm:pt modelId="{6709886F-2B39-A74C-9C69-8CBC153ED9E0}" type="pres">
      <dgm:prSet presAssocID="{3EBD796E-8AF3-E84E-8F4F-8EDB04ABDAC9}" presName="aNode" presStyleLbl="fgAcc1" presStyleIdx="2" presStyleCnt="3">
        <dgm:presLayoutVars>
          <dgm:bulletEnabled val="1"/>
        </dgm:presLayoutVars>
      </dgm:prSet>
      <dgm:spPr/>
      <dgm:t>
        <a:bodyPr/>
        <a:lstStyle/>
        <a:p>
          <a:endParaRPr lang="es-ES"/>
        </a:p>
      </dgm:t>
    </dgm:pt>
    <dgm:pt modelId="{366099AF-3904-2446-AF39-C0B7EA378E49}" type="pres">
      <dgm:prSet presAssocID="{3EBD796E-8AF3-E84E-8F4F-8EDB04ABDAC9}" presName="aSpace" presStyleCnt="0"/>
      <dgm:spPr/>
    </dgm:pt>
  </dgm:ptLst>
  <dgm:cxnLst>
    <dgm:cxn modelId="{A676EDD5-600A-FD47-871F-5C94CA0ABB25}" type="presOf" srcId="{9363FA38-924D-C84C-9349-5D46092AB4FD}" destId="{D1064707-6F7A-C842-927B-2530B4D53AAD}" srcOrd="0" destOrd="0" presId="urn:microsoft.com/office/officeart/2005/8/layout/pyramid2"/>
    <dgm:cxn modelId="{D09EE9AC-09AE-6B47-98DA-C504C2B9A6EB}" type="presOf" srcId="{3EBD796E-8AF3-E84E-8F4F-8EDB04ABDAC9}" destId="{6709886F-2B39-A74C-9C69-8CBC153ED9E0}" srcOrd="0" destOrd="0" presId="urn:microsoft.com/office/officeart/2005/8/layout/pyramid2"/>
    <dgm:cxn modelId="{0114103A-D547-2B49-B949-5E2A3423BBD8}" type="presOf" srcId="{C4F8A464-B021-774D-B1B5-F1695A8AA065}" destId="{6657BBAA-4777-0445-8BA9-86F4BC07AE0D}" srcOrd="0" destOrd="0" presId="urn:microsoft.com/office/officeart/2005/8/layout/pyramid2"/>
    <dgm:cxn modelId="{2C9373BE-C03E-6141-B5E9-2D556F06BDC2}" type="presOf" srcId="{4B4F4E61-1194-E944-97C4-99F6222A1527}" destId="{BC565DDA-D893-DA4D-9F3E-EFDCE3544BAB}" srcOrd="0" destOrd="0" presId="urn:microsoft.com/office/officeart/2005/8/layout/pyramid2"/>
    <dgm:cxn modelId="{F75A0AC9-A6F4-6440-B6DB-D7F6407E2A08}" srcId="{C4F8A464-B021-774D-B1B5-F1695A8AA065}" destId="{9363FA38-924D-C84C-9349-5D46092AB4FD}" srcOrd="0" destOrd="0" parTransId="{7E0FD590-7B95-7C42-B6D3-1116521B991D}" sibTransId="{2F100F60-FC2B-3146-BBD4-AAC5F9CE4782}"/>
    <dgm:cxn modelId="{A25FB9F1-525B-4241-AA64-18315895CC4A}" srcId="{C4F8A464-B021-774D-B1B5-F1695A8AA065}" destId="{3EBD796E-8AF3-E84E-8F4F-8EDB04ABDAC9}" srcOrd="2" destOrd="0" parTransId="{2314E801-61CA-564B-8059-C3F22A40A961}" sibTransId="{A08E7F3F-C2EF-BD4C-8AD5-DA7F5F920A41}"/>
    <dgm:cxn modelId="{D627A0EE-23DE-AC41-89F9-4A7060EB4B37}" srcId="{C4F8A464-B021-774D-B1B5-F1695A8AA065}" destId="{4B4F4E61-1194-E944-97C4-99F6222A1527}" srcOrd="1" destOrd="0" parTransId="{9A83CECC-1A35-7940-8974-98D2A9FAB01A}" sibTransId="{C939B950-28FE-D74B-B605-0255C7E80578}"/>
    <dgm:cxn modelId="{80CC16E2-143F-9247-B384-DD9CF0CB9088}" type="presParOf" srcId="{6657BBAA-4777-0445-8BA9-86F4BC07AE0D}" destId="{9697C696-A8CA-C744-ACD9-4C62EA268A05}" srcOrd="0" destOrd="0" presId="urn:microsoft.com/office/officeart/2005/8/layout/pyramid2"/>
    <dgm:cxn modelId="{6547C968-7DAF-214A-B15E-24A90AF803DB}" type="presParOf" srcId="{6657BBAA-4777-0445-8BA9-86F4BC07AE0D}" destId="{DF767BD6-BB75-964B-AB98-AE0669B32D07}" srcOrd="1" destOrd="0" presId="urn:microsoft.com/office/officeart/2005/8/layout/pyramid2"/>
    <dgm:cxn modelId="{8364A0CC-A146-E24F-B598-3D329A548C5A}" type="presParOf" srcId="{DF767BD6-BB75-964B-AB98-AE0669B32D07}" destId="{D1064707-6F7A-C842-927B-2530B4D53AAD}" srcOrd="0" destOrd="0" presId="urn:microsoft.com/office/officeart/2005/8/layout/pyramid2"/>
    <dgm:cxn modelId="{E2B8C278-559F-EB41-BA56-C280859D88F5}" type="presParOf" srcId="{DF767BD6-BB75-964B-AB98-AE0669B32D07}" destId="{B51CC135-1536-834E-B92A-B38EDC78EA83}" srcOrd="1" destOrd="0" presId="urn:microsoft.com/office/officeart/2005/8/layout/pyramid2"/>
    <dgm:cxn modelId="{E83D3E22-3977-E349-B690-5F1984DE86CE}" type="presParOf" srcId="{DF767BD6-BB75-964B-AB98-AE0669B32D07}" destId="{BC565DDA-D893-DA4D-9F3E-EFDCE3544BAB}" srcOrd="2" destOrd="0" presId="urn:microsoft.com/office/officeart/2005/8/layout/pyramid2"/>
    <dgm:cxn modelId="{69BCB19E-0D71-DA44-9EAD-C64EFB31AF64}" type="presParOf" srcId="{DF767BD6-BB75-964B-AB98-AE0669B32D07}" destId="{803A4140-86FE-414F-945C-2766BAEF8D30}" srcOrd="3" destOrd="0" presId="urn:microsoft.com/office/officeart/2005/8/layout/pyramid2"/>
    <dgm:cxn modelId="{1D8FDEC6-1B7F-454D-A396-D32227F6F604}" type="presParOf" srcId="{DF767BD6-BB75-964B-AB98-AE0669B32D07}" destId="{6709886F-2B39-A74C-9C69-8CBC153ED9E0}" srcOrd="4" destOrd="0" presId="urn:microsoft.com/office/officeart/2005/8/layout/pyramid2"/>
    <dgm:cxn modelId="{CA3E666C-828E-EF4D-A95D-5A86142D690E}" type="presParOf" srcId="{DF767BD6-BB75-964B-AB98-AE0669B32D07}" destId="{366099AF-3904-2446-AF39-C0B7EA378E49}" srcOrd="5" destOrd="0" presId="urn:microsoft.com/office/officeart/2005/8/layout/pyramid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97C696-A8CA-C744-ACD9-4C62EA268A05}">
      <dsp:nvSpPr>
        <dsp:cNvPr id="0" name=""/>
        <dsp:cNvSpPr/>
      </dsp:nvSpPr>
      <dsp:spPr>
        <a:xfrm>
          <a:off x="902969" y="0"/>
          <a:ext cx="3200400" cy="3200400"/>
        </a:xfrm>
        <a:prstGeom prst="triangle">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D1064707-6F7A-C842-927B-2530B4D53AAD}">
      <dsp:nvSpPr>
        <dsp:cNvPr id="0" name=""/>
        <dsp:cNvSpPr/>
      </dsp:nvSpPr>
      <dsp:spPr>
        <a:xfrm>
          <a:off x="2503170" y="321758"/>
          <a:ext cx="2080260" cy="757594"/>
        </a:xfrm>
        <a:prstGeom prst="roundRect">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_tradnl" sz="1100" kern="1200"/>
            <a:t>Estética: Grey Place</a:t>
          </a:r>
        </a:p>
      </dsp:txBody>
      <dsp:txXfrm>
        <a:off x="2540153" y="358741"/>
        <a:ext cx="2006294" cy="683628"/>
      </dsp:txXfrm>
    </dsp:sp>
    <dsp:sp modelId="{BC565DDA-D893-DA4D-9F3E-EFDCE3544BAB}">
      <dsp:nvSpPr>
        <dsp:cNvPr id="0" name=""/>
        <dsp:cNvSpPr/>
      </dsp:nvSpPr>
      <dsp:spPr>
        <a:xfrm>
          <a:off x="2503170" y="1174052"/>
          <a:ext cx="2080260" cy="757594"/>
        </a:xfrm>
        <a:prstGeom prst="roundRect">
          <a:avLst/>
        </a:prstGeom>
        <a:solidFill>
          <a:schemeClr val="lt1">
            <a:alpha val="90000"/>
            <a:hueOff val="0"/>
            <a:satOff val="0"/>
            <a:lumOff val="0"/>
            <a:alphaOff val="0"/>
          </a:schemeClr>
        </a:solidFill>
        <a:ln w="9525" cap="flat" cmpd="sng" algn="ctr">
          <a:solidFill>
            <a:schemeClr val="accent4">
              <a:hueOff val="-2232385"/>
              <a:satOff val="13449"/>
              <a:lumOff val="1078"/>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_tradnl" sz="1100" kern="1200"/>
            <a:t>Dinámicas: Misiones individuales, desafío grupal y evento desbloqueable (Breakout Edu)</a:t>
          </a:r>
        </a:p>
      </dsp:txBody>
      <dsp:txXfrm>
        <a:off x="2540153" y="1211035"/>
        <a:ext cx="2006294" cy="683628"/>
      </dsp:txXfrm>
    </dsp:sp>
    <dsp:sp modelId="{6709886F-2B39-A74C-9C69-8CBC153ED9E0}">
      <dsp:nvSpPr>
        <dsp:cNvPr id="0" name=""/>
        <dsp:cNvSpPr/>
      </dsp:nvSpPr>
      <dsp:spPr>
        <a:xfrm>
          <a:off x="2503170" y="2026347"/>
          <a:ext cx="2080260" cy="757594"/>
        </a:xfrm>
        <a:prstGeom prst="roundRect">
          <a:avLst/>
        </a:prstGeom>
        <a:solidFill>
          <a:schemeClr val="lt1">
            <a:alpha val="90000"/>
            <a:hueOff val="0"/>
            <a:satOff val="0"/>
            <a:lumOff val="0"/>
            <a:alphaOff val="0"/>
          </a:schemeClr>
        </a:solidFill>
        <a:ln w="9525" cap="flat" cmpd="sng" algn="ctr">
          <a:solidFill>
            <a:schemeClr val="accent4">
              <a:hueOff val="-4464770"/>
              <a:satOff val="26899"/>
              <a:lumOff val="2156"/>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_tradnl" sz="1100" kern="1200"/>
            <a:t>Mecánicas: Contrato, ficha del caso y puntos.</a:t>
          </a:r>
        </a:p>
      </dsp:txBody>
      <dsp:txXfrm>
        <a:off x="2540153" y="2063330"/>
        <a:ext cx="2006294" cy="683628"/>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52577E-07C3-4B58-B280-3F5DE67154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5839</Words>
  <Characters>32116</Characters>
  <Application>Microsoft Office Word</Application>
  <DocSecurity>0</DocSecurity>
  <Lines>267</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37880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 de Windows</cp:lastModifiedBy>
  <cp:revision>2</cp:revision>
  <dcterms:created xsi:type="dcterms:W3CDTF">2019-11-06T10:09:00Z</dcterms:created>
  <dcterms:modified xsi:type="dcterms:W3CDTF">2019-11-06T10:09:00Z</dcterms:modified>
</cp:coreProperties>
</file>