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71D7A" w14:textId="77777777" w:rsidR="00A16EAA" w:rsidRPr="00BB25C7" w:rsidRDefault="00550702">
      <w:pPr>
        <w:spacing w:after="0" w:line="240" w:lineRule="auto"/>
        <w:jc w:val="center"/>
        <w:rPr>
          <w:rFonts w:ascii="Times New Roman" w:eastAsia="Times New Roman" w:hAnsi="Times New Roman" w:cs="Times New Roman"/>
          <w:sz w:val="18"/>
          <w:szCs w:val="18"/>
        </w:rPr>
      </w:pPr>
      <w:r w:rsidRPr="00BB25C7">
        <w:rPr>
          <w:rFonts w:ascii="Century Gothic" w:eastAsia="Century Gothic" w:hAnsi="Century Gothic" w:cs="Century Gothic"/>
          <w:color w:val="000000"/>
          <w:sz w:val="18"/>
          <w:szCs w:val="18"/>
        </w:rPr>
        <w:t xml:space="preserve">Tabla 1. Características de los espacios de afinidad en línea, resumidas y adaptadas de </w:t>
      </w:r>
      <w:proofErr w:type="spellStart"/>
      <w:r w:rsidRPr="00BB25C7">
        <w:rPr>
          <w:rFonts w:ascii="Century Gothic" w:eastAsia="Century Gothic" w:hAnsi="Century Gothic" w:cs="Century Gothic"/>
          <w:color w:val="000000"/>
          <w:sz w:val="18"/>
          <w:szCs w:val="18"/>
        </w:rPr>
        <w:t>Pfister</w:t>
      </w:r>
      <w:proofErr w:type="spellEnd"/>
      <w:r w:rsidRPr="00BB25C7">
        <w:rPr>
          <w:rFonts w:ascii="Century Gothic" w:eastAsia="Century Gothic" w:hAnsi="Century Gothic" w:cs="Century Gothic"/>
          <w:color w:val="000000"/>
          <w:sz w:val="18"/>
          <w:szCs w:val="18"/>
        </w:rPr>
        <w:t xml:space="preserve"> &amp; Martin (2019, p. 64-98). </w:t>
      </w:r>
      <w:r w:rsidRPr="00BB25C7">
        <w:rPr>
          <w:rFonts w:ascii="Century Gothic" w:eastAsia="Century Gothic" w:hAnsi="Century Gothic" w:cs="Century Gothic"/>
          <w:sz w:val="18"/>
          <w:szCs w:val="18"/>
        </w:rPr>
        <w:t>[Consultado el 27 de septiembre de 2019].</w:t>
      </w:r>
    </w:p>
    <w:tbl>
      <w:tblPr>
        <w:tblStyle w:val="a"/>
        <w:tblW w:w="8370" w:type="dxa"/>
        <w:tblInd w:w="135" w:type="dxa"/>
        <w:tblLayout w:type="fixed"/>
        <w:tblLook w:val="0400" w:firstRow="0" w:lastRow="0" w:firstColumn="0" w:lastColumn="0" w:noHBand="0" w:noVBand="1"/>
      </w:tblPr>
      <w:tblGrid>
        <w:gridCol w:w="1695"/>
        <w:gridCol w:w="6675"/>
      </w:tblGrid>
      <w:tr w:rsidR="00A16EAA" w14:paraId="6F805D33" w14:textId="77777777">
        <w:tc>
          <w:tcPr>
            <w:tcW w:w="1695" w:type="dxa"/>
            <w:tcBorders>
              <w:top w:val="single" w:sz="4" w:space="0" w:color="000000"/>
              <w:bottom w:val="single" w:sz="4" w:space="0" w:color="000000"/>
            </w:tcBorders>
            <w:tcMar>
              <w:top w:w="0" w:type="dxa"/>
              <w:left w:w="115" w:type="dxa"/>
              <w:bottom w:w="0" w:type="dxa"/>
              <w:right w:w="115" w:type="dxa"/>
            </w:tcMar>
          </w:tcPr>
          <w:p w14:paraId="7E02D783"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Infraestructura y espacio</w:t>
            </w:r>
          </w:p>
        </w:tc>
        <w:tc>
          <w:tcPr>
            <w:tcW w:w="6675" w:type="dxa"/>
            <w:tcBorders>
              <w:top w:val="single" w:sz="4" w:space="0" w:color="000000"/>
              <w:bottom w:val="single" w:sz="4" w:space="0" w:color="000000"/>
            </w:tcBorders>
            <w:tcMar>
              <w:top w:w="0" w:type="dxa"/>
              <w:left w:w="115" w:type="dxa"/>
              <w:bottom w:w="0" w:type="dxa"/>
              <w:right w:w="115" w:type="dxa"/>
            </w:tcMar>
          </w:tcPr>
          <w:p w14:paraId="4E12C914"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xml:space="preserve">Gracias a internet, cuentan con nuevas infraestructuras para que las personas se comuniquen y se organicen entorno a intereses y afinidades con cierta facilidad y de manera más permeable en la vida cotidiana. Las capacidades o </w:t>
            </w:r>
            <w:proofErr w:type="spellStart"/>
            <w:r>
              <w:rPr>
                <w:rFonts w:ascii="Century Gothic" w:eastAsia="Century Gothic" w:hAnsi="Century Gothic" w:cs="Century Gothic"/>
                <w:i/>
                <w:color w:val="000000"/>
                <w:sz w:val="16"/>
                <w:szCs w:val="16"/>
              </w:rPr>
              <w:t>affordances</w:t>
            </w:r>
            <w:proofErr w:type="spellEnd"/>
            <w:r>
              <w:rPr>
                <w:rFonts w:ascii="Century Gothic" w:eastAsia="Century Gothic" w:hAnsi="Century Gothic" w:cs="Century Gothic"/>
                <w:color w:val="000000"/>
                <w:sz w:val="16"/>
                <w:szCs w:val="16"/>
              </w:rPr>
              <w:t xml:space="preserve"> (Gibson) de las tecnologías vienen limitadas y moduladas por sus características, pero sí permiten la construcción de un espacio, que normalmente cuenta con un sesgo bajo por el que un aprendiz de lenguas puede, amparado en un cierto anonimato, usar la lengua con un sesgo bajo.</w:t>
            </w:r>
          </w:p>
          <w:p w14:paraId="41B8F449" w14:textId="36633510"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Participar en estos espacios, que ya no se ubican en un único lugar, implica una red más o menos especializada, un involucramiento intencional y que, al menos parte de la actividad, se desarrolla en la red en abierto.</w:t>
            </w:r>
          </w:p>
        </w:tc>
      </w:tr>
      <w:tr w:rsidR="00A16EAA" w14:paraId="2C7A64D6" w14:textId="77777777">
        <w:tc>
          <w:tcPr>
            <w:tcW w:w="1695" w:type="dxa"/>
            <w:tcBorders>
              <w:top w:val="single" w:sz="4" w:space="0" w:color="000000"/>
              <w:bottom w:val="single" w:sz="4" w:space="0" w:color="000000"/>
            </w:tcBorders>
            <w:tcMar>
              <w:top w:w="0" w:type="dxa"/>
              <w:left w:w="115" w:type="dxa"/>
              <w:bottom w:w="0" w:type="dxa"/>
              <w:right w:w="115" w:type="dxa"/>
            </w:tcMar>
          </w:tcPr>
          <w:p w14:paraId="2A844EB6"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Cultura, conocimientos y propósitos compartidos</w:t>
            </w:r>
          </w:p>
        </w:tc>
        <w:tc>
          <w:tcPr>
            <w:tcW w:w="6675" w:type="dxa"/>
            <w:tcBorders>
              <w:top w:val="single" w:sz="4" w:space="0" w:color="000000"/>
              <w:bottom w:val="single" w:sz="4" w:space="0" w:color="000000"/>
            </w:tcBorders>
            <w:tcMar>
              <w:top w:w="0" w:type="dxa"/>
              <w:left w:w="115" w:type="dxa"/>
              <w:bottom w:w="0" w:type="dxa"/>
              <w:right w:w="115" w:type="dxa"/>
            </w:tcMar>
          </w:tcPr>
          <w:p w14:paraId="30CC6639"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Cuentan con un conjunto de intereses, identidades y valores compartidos y que une a los participantes en un espacio de afinidad determinado. Por ejemplo, la afición por la literatura de Harry Potter implica compartir conocimientos y valores. Si no se es parte de este universo, difícilmente se puede entender las implicaciones que representan las cuatro casas del Colegio Hogwarts (</w:t>
            </w:r>
            <w:proofErr w:type="spellStart"/>
            <w:r>
              <w:rPr>
                <w:rFonts w:ascii="Century Gothic" w:eastAsia="Century Gothic" w:hAnsi="Century Gothic" w:cs="Century Gothic"/>
                <w:color w:val="000000"/>
                <w:sz w:val="16"/>
                <w:szCs w:val="16"/>
              </w:rPr>
              <w:t>Griffindor</w:t>
            </w:r>
            <w:proofErr w:type="spellEnd"/>
            <w:r>
              <w:rPr>
                <w:rFonts w:ascii="Century Gothic" w:eastAsia="Century Gothic" w:hAnsi="Century Gothic" w:cs="Century Gothic"/>
                <w:color w:val="000000"/>
                <w:sz w:val="16"/>
                <w:szCs w:val="16"/>
              </w:rPr>
              <w:t xml:space="preserve"> [valientes y determinados], </w:t>
            </w:r>
            <w:proofErr w:type="spellStart"/>
            <w:r>
              <w:rPr>
                <w:rFonts w:ascii="Century Gothic" w:eastAsia="Century Gothic" w:hAnsi="Century Gothic" w:cs="Century Gothic"/>
                <w:color w:val="000000"/>
                <w:sz w:val="16"/>
                <w:szCs w:val="16"/>
              </w:rPr>
              <w:t>Hufflepuff</w:t>
            </w:r>
            <w:proofErr w:type="spellEnd"/>
            <w:r>
              <w:rPr>
                <w:rFonts w:ascii="Century Gothic" w:eastAsia="Century Gothic" w:hAnsi="Century Gothic" w:cs="Century Gothic"/>
                <w:color w:val="000000"/>
                <w:sz w:val="16"/>
                <w:szCs w:val="16"/>
              </w:rPr>
              <w:t xml:space="preserve"> [leales y trabajadores], </w:t>
            </w:r>
            <w:proofErr w:type="spellStart"/>
            <w:r>
              <w:rPr>
                <w:rFonts w:ascii="Century Gothic" w:eastAsia="Century Gothic" w:hAnsi="Century Gothic" w:cs="Century Gothic"/>
                <w:color w:val="000000"/>
                <w:sz w:val="16"/>
                <w:szCs w:val="16"/>
              </w:rPr>
              <w:t>Ravenclaw</w:t>
            </w:r>
            <w:proofErr w:type="spellEnd"/>
            <w:r>
              <w:rPr>
                <w:rFonts w:ascii="Century Gothic" w:eastAsia="Century Gothic" w:hAnsi="Century Gothic" w:cs="Century Gothic"/>
                <w:color w:val="000000"/>
                <w:sz w:val="16"/>
                <w:szCs w:val="16"/>
              </w:rPr>
              <w:t xml:space="preserve"> [académicos y estudiosos] y </w:t>
            </w:r>
            <w:proofErr w:type="spellStart"/>
            <w:r>
              <w:rPr>
                <w:rFonts w:ascii="Century Gothic" w:eastAsia="Century Gothic" w:hAnsi="Century Gothic" w:cs="Century Gothic"/>
                <w:color w:val="000000"/>
                <w:sz w:val="16"/>
                <w:szCs w:val="16"/>
              </w:rPr>
              <w:t>Slytherin</w:t>
            </w:r>
            <w:proofErr w:type="spellEnd"/>
            <w:r>
              <w:rPr>
                <w:rFonts w:ascii="Century Gothic" w:eastAsia="Century Gothic" w:hAnsi="Century Gothic" w:cs="Century Gothic"/>
                <w:color w:val="000000"/>
                <w:sz w:val="16"/>
                <w:szCs w:val="16"/>
              </w:rPr>
              <w:t xml:space="preserve"> [astutos y fríos]), con características y expectativas determinadas para sus respectivos alumnos.</w:t>
            </w:r>
          </w:p>
        </w:tc>
      </w:tr>
      <w:tr w:rsidR="00A16EAA" w14:paraId="7BE58360" w14:textId="77777777">
        <w:tc>
          <w:tcPr>
            <w:tcW w:w="1695" w:type="dxa"/>
            <w:tcBorders>
              <w:top w:val="single" w:sz="4" w:space="0" w:color="000000"/>
              <w:bottom w:val="single" w:sz="4" w:space="0" w:color="000000"/>
            </w:tcBorders>
            <w:tcMar>
              <w:top w:w="0" w:type="dxa"/>
              <w:left w:w="115" w:type="dxa"/>
              <w:bottom w:w="0" w:type="dxa"/>
              <w:right w:w="115" w:type="dxa"/>
            </w:tcMar>
          </w:tcPr>
          <w:p w14:paraId="6E7B2E32"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Prácticas y producción colaborativa</w:t>
            </w:r>
          </w:p>
        </w:tc>
        <w:tc>
          <w:tcPr>
            <w:tcW w:w="6675" w:type="dxa"/>
            <w:tcBorders>
              <w:top w:val="single" w:sz="4" w:space="0" w:color="000000"/>
              <w:bottom w:val="single" w:sz="4" w:space="0" w:color="000000"/>
            </w:tcBorders>
            <w:tcMar>
              <w:top w:w="0" w:type="dxa"/>
              <w:left w:w="115" w:type="dxa"/>
              <w:bottom w:w="0" w:type="dxa"/>
              <w:right w:w="115" w:type="dxa"/>
            </w:tcMar>
          </w:tcPr>
          <w:p w14:paraId="06A826CF" w14:textId="5114C1EE"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xml:space="preserve">Con diversidad de roles y formas de propagar y/o generar conocimiento y contenido, los participantes en espacios de afinidad </w:t>
            </w:r>
            <w:bookmarkStart w:id="0" w:name="_GoBack"/>
            <w:bookmarkEnd w:id="0"/>
            <w:r>
              <w:rPr>
                <w:rFonts w:ascii="Century Gothic" w:eastAsia="Century Gothic" w:hAnsi="Century Gothic" w:cs="Century Gothic"/>
                <w:color w:val="000000"/>
                <w:sz w:val="16"/>
                <w:szCs w:val="16"/>
              </w:rPr>
              <w:t>colaboran de diversas maneras (como escritora de fanfiction, como lectora que comenta el fanfic que lee, etc.) para conseguir el propósito compartido. Esta colaboración implica aunar habilidades y aprender de manera significativa y práctica, avistar nuevas creaciones para la comunidad y prolongar la vida de la afinidad que comparten. </w:t>
            </w:r>
          </w:p>
        </w:tc>
      </w:tr>
      <w:tr w:rsidR="00A16EAA" w14:paraId="3CEEACA2" w14:textId="77777777">
        <w:tc>
          <w:tcPr>
            <w:tcW w:w="1695" w:type="dxa"/>
            <w:tcBorders>
              <w:top w:val="single" w:sz="4" w:space="0" w:color="000000"/>
              <w:bottom w:val="single" w:sz="4" w:space="0" w:color="000000"/>
            </w:tcBorders>
            <w:tcMar>
              <w:top w:w="0" w:type="dxa"/>
              <w:left w:w="115" w:type="dxa"/>
              <w:bottom w:w="0" w:type="dxa"/>
              <w:right w:w="115" w:type="dxa"/>
            </w:tcMar>
          </w:tcPr>
          <w:p w14:paraId="2EEDF236"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Competición y retos</w:t>
            </w:r>
          </w:p>
        </w:tc>
        <w:tc>
          <w:tcPr>
            <w:tcW w:w="6675" w:type="dxa"/>
            <w:tcBorders>
              <w:top w:val="single" w:sz="4" w:space="0" w:color="000000"/>
              <w:bottom w:val="single" w:sz="4" w:space="0" w:color="000000"/>
            </w:tcBorders>
            <w:tcMar>
              <w:top w:w="0" w:type="dxa"/>
              <w:left w:w="115" w:type="dxa"/>
              <w:bottom w:w="0" w:type="dxa"/>
              <w:right w:w="115" w:type="dxa"/>
            </w:tcMar>
          </w:tcPr>
          <w:p w14:paraId="7971D0AA"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xml:space="preserve">La competición y la consecución de retos en los espacios de afinidad se conciben como una fuente de inspiración creativa. Tanto en el plano del desarrollo individual como miembro de un espacio de afinidad como en el nivel de la comunidad en sí conseguir premios, visibilidad, audiencia o estatus forma parte del </w:t>
            </w:r>
            <w:proofErr w:type="spellStart"/>
            <w:r>
              <w:rPr>
                <w:rFonts w:ascii="Century Gothic" w:eastAsia="Century Gothic" w:hAnsi="Century Gothic" w:cs="Century Gothic"/>
                <w:i/>
                <w:color w:val="000000"/>
                <w:sz w:val="16"/>
                <w:szCs w:val="16"/>
              </w:rPr>
              <w:t>ethos</w:t>
            </w:r>
            <w:proofErr w:type="spellEnd"/>
            <w:r>
              <w:rPr>
                <w:rFonts w:ascii="Century Gothic" w:eastAsia="Century Gothic" w:hAnsi="Century Gothic" w:cs="Century Gothic"/>
                <w:color w:val="000000"/>
                <w:sz w:val="16"/>
                <w:szCs w:val="16"/>
              </w:rPr>
              <w:t xml:space="preserve"> y de su compromiso para con los demás aficionados. Ganar premios individuales o como grupo se suele exhibir como parte del capital cultural acumulado.</w:t>
            </w:r>
          </w:p>
          <w:p w14:paraId="1E5EFBCD"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Esto no contradice que todas las posibilidades de participación sean posibles y valoradas positivamente; sin un escritor amateur no existiría un nuevo fanfic, pero sin una audiencia lectora, el espacio Fanfiction.net carecería de sentido.</w:t>
            </w:r>
          </w:p>
        </w:tc>
      </w:tr>
      <w:tr w:rsidR="00A16EAA" w14:paraId="1B9F1F2C" w14:textId="77777777">
        <w:tc>
          <w:tcPr>
            <w:tcW w:w="1695" w:type="dxa"/>
            <w:tcBorders>
              <w:top w:val="single" w:sz="4" w:space="0" w:color="000000"/>
              <w:bottom w:val="single" w:sz="4" w:space="0" w:color="000000"/>
            </w:tcBorders>
            <w:tcMar>
              <w:top w:w="0" w:type="dxa"/>
              <w:left w:w="115" w:type="dxa"/>
              <w:bottom w:w="0" w:type="dxa"/>
              <w:right w:w="115" w:type="dxa"/>
            </w:tcMar>
          </w:tcPr>
          <w:p w14:paraId="2B618F6E"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Ecología organizativa comunitaria</w:t>
            </w:r>
          </w:p>
        </w:tc>
        <w:tc>
          <w:tcPr>
            <w:tcW w:w="6675" w:type="dxa"/>
            <w:tcBorders>
              <w:top w:val="single" w:sz="4" w:space="0" w:color="000000"/>
              <w:bottom w:val="single" w:sz="4" w:space="0" w:color="000000"/>
            </w:tcBorders>
            <w:tcMar>
              <w:top w:w="0" w:type="dxa"/>
              <w:left w:w="115" w:type="dxa"/>
              <w:bottom w:w="0" w:type="dxa"/>
              <w:right w:w="115" w:type="dxa"/>
            </w:tcMar>
          </w:tcPr>
          <w:p w14:paraId="58C83ADD"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xml:space="preserve">El mantenimiento de un espacio de afinidad requiere de un cierto trabajo organizativo y voluntario, por el cual se asignan y reasignan el desempeño, rol y estatus de los miembros que lo conforman. Ser miembro de un espacio de afinidad es un hecho dinámico, en el que comparten </w:t>
            </w:r>
            <w:proofErr w:type="gramStart"/>
            <w:r>
              <w:rPr>
                <w:rFonts w:ascii="Century Gothic" w:eastAsia="Century Gothic" w:hAnsi="Century Gothic" w:cs="Century Gothic"/>
                <w:color w:val="000000"/>
                <w:sz w:val="16"/>
                <w:szCs w:val="16"/>
              </w:rPr>
              <w:t>espacio expertos</w:t>
            </w:r>
            <w:proofErr w:type="gramEnd"/>
            <w:r>
              <w:rPr>
                <w:rFonts w:ascii="Century Gothic" w:eastAsia="Century Gothic" w:hAnsi="Century Gothic" w:cs="Century Gothic"/>
                <w:color w:val="000000"/>
                <w:sz w:val="16"/>
                <w:szCs w:val="16"/>
              </w:rPr>
              <w:t xml:space="preserve"> con noveles, productores y creadores con audiencia reactiva.</w:t>
            </w:r>
          </w:p>
          <w:p w14:paraId="14870A34" w14:textId="77777777" w:rsidR="00A16EAA" w:rsidRDefault="00550702">
            <w:pPr>
              <w:spacing w:after="0" w:line="240" w:lineRule="auto"/>
              <w:jc w:val="both"/>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Cada grupo y espacio cuenta con sus propias estructuras de liderazgo, diversas actitudes de tolerancia frente a elementos fuera del foco del grupo y maneras en que las normas y los principios de la comunidad se articulan y practican. Al mismo tiempo, aquellos espacios de afinidad en línea que pretendan altos niveles de calidad en lo que realizan se enfrentan al desafío de cómo mantener tal calidad (debatiendo qué es calidad en su espacio de afinidad), centrar la atención en los objetivos pretendidos y lidiar con posibles conflictos o comportamientos problemáticos.</w:t>
            </w:r>
          </w:p>
        </w:tc>
      </w:tr>
    </w:tbl>
    <w:p w14:paraId="427B89E4" w14:textId="77777777" w:rsidR="00A16EAA" w:rsidRDefault="00A16EAA">
      <w:pPr>
        <w:rPr>
          <w:rFonts w:ascii="Century Gothic" w:eastAsia="Century Gothic" w:hAnsi="Century Gothic" w:cs="Century Gothic"/>
          <w:sz w:val="20"/>
          <w:szCs w:val="20"/>
        </w:rPr>
      </w:pPr>
      <w:bookmarkStart w:id="1" w:name="_heading=h.gjdgxs" w:colFirst="0" w:colLast="0"/>
      <w:bookmarkEnd w:id="1"/>
    </w:p>
    <w:sectPr w:rsidR="00A16EAA">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AA"/>
    <w:rsid w:val="00550702"/>
    <w:rsid w:val="00A16EAA"/>
    <w:rsid w:val="00BB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474A32"/>
  <w15:docId w15:val="{366B90A3-0652-5D48-9356-0BBA3F48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E495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M7D8WmVZVnKcpJ+bHsLF59ZzrQ==">AMUW2mXAPpQuONvdCQsdJq6FYNq+wH07PrAEnNtv8FyLz974MveEt5GWFLTtphSK9qlOiJEBG/4tR2v62GMgDktepRt6+m9fgf7pQtGdHGy/DRnIdm1FmQnwYreX97yHN4V+o41lCfUK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 Garcia Roca</dc:creator>
  <cp:lastModifiedBy>Peer Review</cp:lastModifiedBy>
  <cp:revision>3</cp:revision>
  <dcterms:created xsi:type="dcterms:W3CDTF">2019-09-27T20:43:00Z</dcterms:created>
  <dcterms:modified xsi:type="dcterms:W3CDTF">2019-09-30T09:56:00Z</dcterms:modified>
</cp:coreProperties>
</file>