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9E3" w:rsidRPr="007613E5" w:rsidRDefault="005D49E3" w:rsidP="007613E5">
      <w:pPr>
        <w:pStyle w:val="TTULODELARTCULO"/>
        <w:spacing w:line="240" w:lineRule="auto"/>
        <w:rPr>
          <w:rFonts w:cs="Times New Roman"/>
          <w:sz w:val="22"/>
          <w:szCs w:val="22"/>
        </w:rPr>
      </w:pPr>
      <w:r w:rsidRPr="007613E5">
        <w:rPr>
          <w:rFonts w:cs="Times New Roman"/>
          <w:sz w:val="22"/>
          <w:szCs w:val="22"/>
        </w:rPr>
        <w:t>Relación de cambios al texto Análisis crítico al término “masivo” en los MOOC: una Cartografía Conceptual</w:t>
      </w:r>
    </w:p>
    <w:p w:rsidR="005D63F2" w:rsidRPr="007613E5" w:rsidRDefault="00981F7C" w:rsidP="007613E5">
      <w:pPr>
        <w:rPr>
          <w:rFonts w:ascii="Century Gothic" w:hAnsi="Century Gothic" w:cs="Times New Roman"/>
          <w:sz w:val="22"/>
          <w:szCs w:val="22"/>
          <w:lang w:val="es-ES"/>
        </w:rPr>
      </w:pPr>
    </w:p>
    <w:tbl>
      <w:tblPr>
        <w:tblStyle w:val="Tablaconcuadrcula"/>
        <w:tblW w:w="0" w:type="auto"/>
        <w:tblLook w:val="04A0" w:firstRow="1" w:lastRow="0" w:firstColumn="1" w:lastColumn="0" w:noHBand="0" w:noVBand="1"/>
      </w:tblPr>
      <w:tblGrid>
        <w:gridCol w:w="3485"/>
        <w:gridCol w:w="5343"/>
      </w:tblGrid>
      <w:tr w:rsidR="0072533C" w:rsidRPr="007613E5" w:rsidTr="0072533C">
        <w:tc>
          <w:tcPr>
            <w:tcW w:w="4414" w:type="dxa"/>
            <w:shd w:val="clear" w:color="auto" w:fill="D9D9D9" w:themeFill="background1" w:themeFillShade="D9"/>
          </w:tcPr>
          <w:p w:rsidR="0072533C" w:rsidRPr="007613E5" w:rsidRDefault="0072533C" w:rsidP="007613E5">
            <w:pPr>
              <w:jc w:val="cente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Observaciones evaluador 1</w:t>
            </w:r>
          </w:p>
        </w:tc>
        <w:tc>
          <w:tcPr>
            <w:tcW w:w="4414" w:type="dxa"/>
            <w:shd w:val="clear" w:color="auto" w:fill="D9D9D9" w:themeFill="background1" w:themeFillShade="D9"/>
          </w:tcPr>
          <w:p w:rsidR="0072533C" w:rsidRPr="007613E5" w:rsidRDefault="00D261F0" w:rsidP="007613E5">
            <w:pPr>
              <w:jc w:val="cente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C</w:t>
            </w:r>
            <w:r w:rsidR="0072533C" w:rsidRPr="007613E5">
              <w:rPr>
                <w:rFonts w:ascii="Century Gothic" w:hAnsi="Century Gothic" w:cs="Times New Roman"/>
                <w:b/>
                <w:bCs/>
                <w:sz w:val="22"/>
                <w:szCs w:val="22"/>
                <w:lang w:val="es-ES"/>
              </w:rPr>
              <w:t>ambios</w:t>
            </w:r>
          </w:p>
        </w:tc>
      </w:tr>
      <w:tr w:rsidR="0072533C" w:rsidRPr="007613E5" w:rsidTr="0072533C">
        <w:tc>
          <w:tcPr>
            <w:tcW w:w="4414"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t>¿El marco teórico que sustenta el artículo es adecuado?</w:t>
            </w:r>
          </w:p>
          <w:p w:rsidR="00367468" w:rsidRPr="007613E5" w:rsidRDefault="00367468" w:rsidP="007613E5">
            <w:pPr>
              <w:rPr>
                <w:rFonts w:ascii="Century Gothic" w:hAnsi="Century Gothic" w:cs="Times New Roman"/>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El marco teórico es insuficiente, se debe describir con más detalle las características de</w:t>
            </w:r>
            <w:r w:rsidR="00F703A3" w:rsidRPr="007613E5">
              <w:rPr>
                <w:rFonts w:ascii="Century Gothic" w:hAnsi="Century Gothic" w:cs="Times New Roman"/>
                <w:i/>
                <w:iCs/>
                <w:sz w:val="22"/>
                <w:szCs w:val="22"/>
                <w:lang w:val="es-ES"/>
              </w:rPr>
              <w:t xml:space="preserve"> </w:t>
            </w:r>
            <w:r w:rsidRPr="007613E5">
              <w:rPr>
                <w:rFonts w:ascii="Century Gothic" w:hAnsi="Century Gothic" w:cs="Times New Roman"/>
                <w:i/>
                <w:iCs/>
                <w:sz w:val="22"/>
                <w:szCs w:val="22"/>
                <w:lang w:val="es-ES"/>
              </w:rPr>
              <w:t>los diferentes tipos de MOOC según la literatura nacional e internacional. Los autores titulan su artículo con el matiz de “análisis crítico”; por lo tanto, el marco teórico y la discusión deben profundizar en estudios nacionales e internacionales y discutirlos convenientemente.</w:t>
            </w:r>
          </w:p>
        </w:tc>
        <w:tc>
          <w:tcPr>
            <w:tcW w:w="4414" w:type="dxa"/>
          </w:tcPr>
          <w:p w:rsidR="0072533C" w:rsidRPr="00DC32CF" w:rsidRDefault="00D261F0" w:rsidP="007613E5">
            <w:pPr>
              <w:rPr>
                <w:rFonts w:ascii="Century Gothic" w:hAnsi="Century Gothic" w:cs="Times New Roman"/>
                <w:b/>
                <w:bCs/>
                <w:sz w:val="22"/>
                <w:szCs w:val="22"/>
                <w:lang w:val="es-ES"/>
              </w:rPr>
            </w:pPr>
            <w:r w:rsidRPr="00DC32CF">
              <w:rPr>
                <w:rFonts w:ascii="Century Gothic" w:hAnsi="Century Gothic" w:cs="Times New Roman"/>
                <w:b/>
                <w:bCs/>
                <w:sz w:val="22"/>
                <w:szCs w:val="22"/>
                <w:lang w:val="es-ES"/>
              </w:rPr>
              <w:t>Se incluyó el Anexo 1, donde se enlistan los 259 textos revisados para realizar la Cartografía Conceptual. Esos textos comprenden estudios nacionales e internacionales.</w:t>
            </w:r>
          </w:p>
          <w:p w:rsidR="00D261F0" w:rsidRPr="007613E5" w:rsidRDefault="00D261F0" w:rsidP="007613E5">
            <w:pPr>
              <w:rPr>
                <w:rFonts w:ascii="Century Gothic" w:hAnsi="Century Gothic" w:cs="Times New Roman"/>
                <w:sz w:val="22"/>
                <w:szCs w:val="22"/>
                <w:lang w:val="es-ES"/>
              </w:rPr>
            </w:pPr>
          </w:p>
          <w:p w:rsidR="00D261F0" w:rsidRPr="00DC32CF" w:rsidRDefault="00D261F0" w:rsidP="007613E5">
            <w:pPr>
              <w:rPr>
                <w:rFonts w:ascii="Century Gothic" w:hAnsi="Century Gothic" w:cs="Times New Roman"/>
                <w:b/>
                <w:bCs/>
                <w:sz w:val="22"/>
                <w:szCs w:val="22"/>
                <w:lang w:val="es-ES"/>
              </w:rPr>
            </w:pPr>
            <w:r w:rsidRPr="00DC32CF">
              <w:rPr>
                <w:rFonts w:ascii="Century Gothic" w:hAnsi="Century Gothic" w:cs="Times New Roman"/>
                <w:b/>
                <w:bCs/>
                <w:sz w:val="22"/>
                <w:szCs w:val="22"/>
                <w:lang w:val="es-ES"/>
              </w:rPr>
              <w:t>A partir de la página 3 se incluyó el texto:</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 xml:space="preserve">A partir del 2011, hubo un cambio en los aspectos que se estudian sobre los MOOC, y que van, desde los comportamientos de uso hasta las implicaciones prácticas, como la factibilidad financiera y asuntos relacionados con la retención o deserción de participantes. Otro aspecto que genera importantes discusiones tiene que ver con temas prácticos de los MOOC, específicamente con las altas tasas de deserción de las personas matriculadas. </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 xml:space="preserve">De acuerdo con Chiappe-Laverde, Hine, y Martínez-Silva </w:t>
            </w:r>
            <w:r w:rsidRPr="00AC264F">
              <w:rPr>
                <w:rFonts w:ascii="Century Gothic" w:hAnsi="Century Gothic" w:cs="Times New Roman"/>
                <w:sz w:val="22"/>
                <w:szCs w:val="22"/>
                <w:lang w:val="es-MX"/>
              </w:rPr>
              <w:fldChar w:fldCharType="begin" w:fldLock="1"/>
            </w:r>
            <w:r w:rsidRPr="00AC264F">
              <w:rPr>
                <w:rFonts w:ascii="Century Gothic" w:hAnsi="Century Gothic" w:cs="Times New Roman"/>
                <w:sz w:val="22"/>
                <w:szCs w:val="22"/>
                <w:lang w:val="es-MX"/>
              </w:rPr>
              <w:instrText>ADDIN CSL_CITATION {"citationItems":[{"id":"ITEM-1","itemData":{"DOI":"10.3916/C44-2015-01","ISSN":"1134-3478","abstract":"experiencias prácticas acerca de los MOOC. Los textos ana-lizados fueron publicados en revistas entre los años 2007 y 2013. Se seleccionaron 268 artículos para este estudio, de los cuales 100 se analizaron en detalle. Los asuntos encontrados en la revisión se utilizaron posteriormente como criterios de análisis de 10 experiencias empíricas sobre MOOC. La literatura estudiada resalta el rápido crecimiento en el interés por comprender los MOOC, sus fundamentos pedagógicos así como la importancia del concepto de lo abierto que se encuentra en ellos. Un nuevo énfasis ha surgido recientemente en la literatura donde los factores institucionales, particularmente aquellos concernientes con la viabilidad financiera, la certificación y la deserción se encuentran resaltados. El análisis de la prácticas actuales muestra que muchos de los temas relevantes expresados en la literatura académica están ausentes no solo de las prácticas relacionadas con las experiencias de aprendizaje basadas en los MOOC sino que se han ignorado como sustento de la implementación de un modelo de enseñanza basada en ellos. Del análisis realizado se concluye que buena parte de la actual oferta de MOOC es tan solo un pálido reflejo de la conceptualización que les dio origen y que se muestra significativa en la literatura. En síntesis, la ver-dadera esencia del concepto de lo abierto se ha perdido en la práctica. ABSTRACT This article focuses on a review of both literature and practical experiences concerning MOOCs. The literature analyzed was published in peer-reviewed journals between 2007 and 2013. 268 items were selected for this study, of which 100 were analy-zed in detail. The issues raised by this analysis were used as the criteria for the analysis of 10 current empirical MOOC expe-riences. The literature study highlighted the rapid growth in interest in understanding MOOCs and seeking to understand the pedagogic frameworks most relevant to their adoption and the importance of the concept of openness embodied within them. More recently a new emphasis has been emerging where institutional factors, particularly those concerned with financial viability, certification and retention have been highlighted. The analysis of current practice showed that many of the concerns in the aca-demic literature were absent from not only the practices embodied in current MOOC-based learning experiences but seem to have been ignored in the conceptual phase of implementing a MOOC-based teaching model. In p…","author":[{"dropping-particle":"","family":"Chiappe-Laverde","given":"Andrés","non-dropping-particle":"","parse-names":false,"suffix":""},{"dropping-particle":"","family":"Hine","given":"Nicolás","non-dropping-particle":"","parse-names":false,"suffix":""},{"dropping-particle":"","family":"Martínez-Silva","given":"José-Andrés","non-dropping-particle":"","parse-names":false,"suffix":""}],"container-title":"Comunicar. Revista Científica de Educomunicación","id":"ITEM-1","issue":"44","issued":{"date-parts":[["2015"]]},"note":"Estado del arte MOOC","page":"9-18","title":"Literatura y práctica: una revisión crítica acerca de los MOOC Literature and Practice: A Critical Review of MOOCs","type":"article-journal","volume":"22"},"suppress-author":1,"uris":["http://www.mendeley.com/documents/?uuid=ef0a26a4-0e4a-4769-9334-bed62f8fda84"]}],"mendeley":{"formattedCitation":"(2015)","plainTextFormattedCitation":"(2015)","previouslyFormattedCitation":"(2015)"},"properties":{"noteIndex":0},"schema":"https://github.com/citation-style-language/schema/raw/master/csl-citation.json"}</w:instrText>
            </w:r>
            <w:r w:rsidRPr="00AC264F">
              <w:rPr>
                <w:rFonts w:ascii="Century Gothic" w:hAnsi="Century Gothic" w:cs="Times New Roman"/>
                <w:sz w:val="22"/>
                <w:szCs w:val="22"/>
                <w:lang w:val="es-MX"/>
              </w:rPr>
              <w:fldChar w:fldCharType="separate"/>
            </w:r>
            <w:r w:rsidRPr="00AC264F">
              <w:rPr>
                <w:rFonts w:ascii="Century Gothic" w:hAnsi="Century Gothic" w:cs="Times New Roman"/>
                <w:sz w:val="22"/>
                <w:szCs w:val="22"/>
                <w:lang w:val="es-MX"/>
              </w:rPr>
              <w:t>(2015)</w:t>
            </w:r>
            <w:r w:rsidRPr="00AC264F">
              <w:rPr>
                <w:rFonts w:ascii="Century Gothic" w:hAnsi="Century Gothic" w:cs="Times New Roman"/>
                <w:sz w:val="22"/>
                <w:szCs w:val="22"/>
                <w:lang w:val="es-MX"/>
              </w:rPr>
              <w:fldChar w:fldCharType="end"/>
            </w:r>
            <w:r w:rsidRPr="00AC264F">
              <w:rPr>
                <w:rFonts w:ascii="Century Gothic" w:hAnsi="Century Gothic" w:cs="Times New Roman"/>
                <w:sz w:val="22"/>
                <w:szCs w:val="22"/>
                <w:lang w:val="es-MX"/>
              </w:rPr>
              <w:t xml:space="preserve">, investigaciones recientes muestran que los MOOC siguen siendo un tema ampliamente discutido en la educación. El crecimiento de la investigación científica sobre los MOOC en años recientes es un claro indicador del interés que despierta este fenómeno. En particular, respecto a los altos índices de deserción, Koller, Ng, Do, y Chen (2013) han concluido que un factor que puede elevar los índices de retención de los alumnos matriculados en los MOOC es la motivación de quienes eligen matricularse. </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 xml:space="preserve">En este sentido, </w:t>
            </w:r>
            <w:bookmarkStart w:id="0" w:name="_Hlk516577320"/>
            <w:r w:rsidRPr="00AC264F">
              <w:rPr>
                <w:rFonts w:ascii="Century Gothic" w:hAnsi="Century Gothic" w:cs="Times New Roman"/>
                <w:sz w:val="22"/>
                <w:szCs w:val="22"/>
                <w:lang w:val="es-MX"/>
              </w:rPr>
              <w:t xml:space="preserve">la motivación de los alumnos parece estar directamente relacionada con el hecho de que los contenidos de aprendizaje, así como los objetos de aprendizaje, deberían ser significativos (EduTrends, 2014). </w:t>
            </w:r>
            <w:bookmarkEnd w:id="0"/>
            <w:r w:rsidRPr="00AC264F">
              <w:rPr>
                <w:rFonts w:ascii="Century Gothic" w:hAnsi="Century Gothic" w:cs="Times New Roman"/>
                <w:sz w:val="22"/>
                <w:szCs w:val="22"/>
                <w:lang w:val="es-MX"/>
              </w:rPr>
              <w:t>Y, paradójicamente, un curso masivo, es decir, un curso que considera a los alumnos matriculados como “una masa”, no puede cumplir con la característica de contenido y objeto de aprendizaje significativo.</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 xml:space="preserve">La Secretaría de Educación Pública de México (SEP) firmó en el 2013, a través de la Dirección General de Televisión Educativa, un convenio de colaboración para ser parte de EdX. El 23 </w:t>
            </w:r>
            <w:r w:rsidRPr="00AC264F">
              <w:rPr>
                <w:rFonts w:ascii="Century Gothic" w:hAnsi="Century Gothic" w:cs="Times New Roman"/>
                <w:sz w:val="22"/>
                <w:szCs w:val="22"/>
                <w:lang w:val="es-MX"/>
              </w:rPr>
              <w:lastRenderedPageBreak/>
              <w:t>de junio de 2015, la Dirección General de Televisión Educativa inició su primera fase en MéxicoX, que es la plataforma de cursos abiertos gratuitos masivos en línea de la SEP.</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El contenido de la plataforma MéxicoX se define tomando como base seis líneas estratégicas: capacidades académicas fundamentales, capacitación a profesores, capacitación especializada, retos nacionales y apoyo al cumplimiento de los objetivos de las instituciones de la administración pública federal, desafíos globales; y, divulgación de la cultura, la historia, la ciencia y el disfrute del conocimiento.</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Ante este panorama, las directrices nacionales comprometen a las instituciones educativas a la producción de MOOC y se pone a disposición de éstas la plataforma MéxicoX con una lista de posibilidades para el uso de MOOC. Sin embargo, no se establece ningún tipo de criterio, estrategia o políticas académicas que sirvan como referencia para el desarrollo de los cursos de acuerdo a las necesidades de la institución y el perfil de los participantes. Es decir, hasta ahora no se hace énfasis en que la producción de un MOOC podría tener distintos matices, según el contexto, las necesidades de la institución y el grupo de usuarios al que esté dirigido.</w:t>
            </w:r>
          </w:p>
          <w:p w:rsidR="00AC264F" w:rsidRPr="00AC264F" w:rsidRDefault="00AC264F" w:rsidP="00AC264F">
            <w:pPr>
              <w:rPr>
                <w:rFonts w:ascii="Century Gothic" w:hAnsi="Century Gothic" w:cs="Times New Roman"/>
                <w:sz w:val="22"/>
                <w:szCs w:val="22"/>
                <w:lang w:val="es-MX"/>
              </w:rPr>
            </w:pPr>
            <w:r w:rsidRPr="00AC264F">
              <w:rPr>
                <w:rFonts w:ascii="Century Gothic" w:hAnsi="Century Gothic" w:cs="Times New Roman"/>
                <w:sz w:val="22"/>
                <w:szCs w:val="22"/>
                <w:lang w:val="es-MX"/>
              </w:rPr>
              <w:t xml:space="preserve">Impulsados por objetivos institucionales y el deseo de aportar algo a la sociedad por medio de los MOOC, diversas instituciones en México, se han sumado a la producción de MOOC teniendo como base su experiencia en la creación de cursos en línea y como punto de partida algún problema para el que ven a los MOOC como una estrategia de solución. </w:t>
            </w:r>
          </w:p>
          <w:p w:rsidR="00AC264F" w:rsidRPr="00AC264F" w:rsidRDefault="00AC264F" w:rsidP="00AC264F">
            <w:pPr>
              <w:rPr>
                <w:rFonts w:ascii="Century Gothic" w:hAnsi="Century Gothic" w:cs="Times New Roman"/>
                <w:sz w:val="22"/>
                <w:szCs w:val="22"/>
              </w:rPr>
            </w:pPr>
            <w:r w:rsidRPr="00AC264F">
              <w:rPr>
                <w:rFonts w:ascii="Century Gothic" w:hAnsi="Century Gothic" w:cs="Times New Roman"/>
                <w:sz w:val="22"/>
                <w:szCs w:val="22"/>
                <w:lang w:val="es-MX"/>
              </w:rPr>
              <w:t xml:space="preserve">La iniciativa mexicana antes mencionada ha surgido en el contexto de cierta desconfianza sobre la capacidad que tienen los MOOC para retener a sus alumnos inscritos. Un ejemplo de esta preocupación se puede observar en los estudios que la compañía Gartner ha hecho respecto al posicionamiento de los MOOC en los años 2012, 2013 y 2014. En esos estudios se pone de manifiesto que la admisión de cualquier tecnología digital no es estable y pasa por diferentes fases o momentos </w:t>
            </w:r>
            <w:r w:rsidRPr="00AC264F">
              <w:rPr>
                <w:rFonts w:ascii="Century Gothic" w:hAnsi="Century Gothic" w:cs="Times New Roman"/>
                <w:sz w:val="22"/>
                <w:szCs w:val="22"/>
                <w:lang w:val="es-MX"/>
              </w:rPr>
              <w:lastRenderedPageBreak/>
              <w:t>etiquetados como: lanzamiento de la tecnología, pico de exceptivas sobredimensionados, abismo de la disolución, rampa de consolidación y meseta de productividad</w:t>
            </w:r>
            <w:r w:rsidRPr="00AC264F">
              <w:rPr>
                <w:rFonts w:ascii="Century Gothic" w:hAnsi="Century Gothic" w:cs="Times New Roman"/>
                <w:sz w:val="22"/>
                <w:szCs w:val="22"/>
              </w:rPr>
              <w:t>.</w:t>
            </w:r>
          </w:p>
          <w:p w:rsidR="007613E5" w:rsidRPr="00AC264F" w:rsidRDefault="007613E5" w:rsidP="007613E5">
            <w:pPr>
              <w:rPr>
                <w:rFonts w:ascii="Century Gothic" w:hAnsi="Century Gothic" w:cs="Times New Roman"/>
                <w:sz w:val="22"/>
                <w:szCs w:val="22"/>
              </w:rPr>
            </w:pPr>
          </w:p>
          <w:p w:rsidR="00C53CED" w:rsidRPr="00DC32CF" w:rsidRDefault="007613E5" w:rsidP="007613E5">
            <w:pPr>
              <w:rPr>
                <w:rFonts w:ascii="Century Gothic" w:hAnsi="Century Gothic" w:cs="Times New Roman"/>
                <w:b/>
                <w:bCs/>
                <w:sz w:val="22"/>
                <w:szCs w:val="22"/>
                <w:lang w:val="es-ES"/>
              </w:rPr>
            </w:pPr>
            <w:r w:rsidRPr="00C53CED">
              <w:rPr>
                <w:rFonts w:ascii="Century Gothic" w:hAnsi="Century Gothic" w:cs="Times New Roman"/>
                <w:b/>
                <w:bCs/>
                <w:sz w:val="22"/>
                <w:szCs w:val="22"/>
                <w:lang w:val="es-ES"/>
              </w:rPr>
              <w:t>Se incluy</w:t>
            </w:r>
            <w:r w:rsidR="00C53CED" w:rsidRPr="00C53CED">
              <w:rPr>
                <w:rFonts w:ascii="Century Gothic" w:hAnsi="Century Gothic" w:cs="Times New Roman"/>
                <w:b/>
                <w:bCs/>
                <w:sz w:val="22"/>
                <w:szCs w:val="22"/>
                <w:lang w:val="es-ES"/>
              </w:rPr>
              <w:t>eron</w:t>
            </w:r>
            <w:r w:rsidRPr="00C53CED">
              <w:rPr>
                <w:rFonts w:ascii="Century Gothic" w:hAnsi="Century Gothic" w:cs="Times New Roman"/>
                <w:b/>
                <w:bCs/>
                <w:sz w:val="22"/>
                <w:szCs w:val="22"/>
                <w:lang w:val="es-ES"/>
              </w:rPr>
              <w:t xml:space="preserve"> la</w:t>
            </w:r>
            <w:r w:rsidR="00C53CED" w:rsidRPr="00C53CED">
              <w:rPr>
                <w:rFonts w:ascii="Century Gothic" w:hAnsi="Century Gothic" w:cs="Times New Roman"/>
                <w:b/>
                <w:bCs/>
                <w:sz w:val="22"/>
                <w:szCs w:val="22"/>
                <w:lang w:val="es-ES"/>
              </w:rPr>
              <w:t>s</w:t>
            </w:r>
            <w:r w:rsidRPr="00C53CED">
              <w:rPr>
                <w:rFonts w:ascii="Century Gothic" w:hAnsi="Century Gothic" w:cs="Times New Roman"/>
                <w:b/>
                <w:bCs/>
                <w:sz w:val="22"/>
                <w:szCs w:val="22"/>
                <w:lang w:val="es-ES"/>
              </w:rPr>
              <w:t xml:space="preserve"> siguiente</w:t>
            </w:r>
            <w:r w:rsidR="00C53CED" w:rsidRPr="00C53CED">
              <w:rPr>
                <w:rFonts w:ascii="Century Gothic" w:hAnsi="Century Gothic" w:cs="Times New Roman"/>
                <w:b/>
                <w:bCs/>
                <w:sz w:val="22"/>
                <w:szCs w:val="22"/>
                <w:lang w:val="es-ES"/>
              </w:rPr>
              <w:t>s</w:t>
            </w:r>
            <w:r w:rsidRPr="00C53CED">
              <w:rPr>
                <w:rFonts w:ascii="Century Gothic" w:hAnsi="Century Gothic" w:cs="Times New Roman"/>
                <w:b/>
                <w:bCs/>
                <w:sz w:val="22"/>
                <w:szCs w:val="22"/>
                <w:lang w:val="es-ES"/>
              </w:rPr>
              <w:t xml:space="preserve"> cita</w:t>
            </w:r>
            <w:r w:rsidR="00C53CED" w:rsidRPr="00C53CED">
              <w:rPr>
                <w:rFonts w:ascii="Century Gothic" w:hAnsi="Century Gothic" w:cs="Times New Roman"/>
                <w:b/>
                <w:bCs/>
                <w:sz w:val="22"/>
                <w:szCs w:val="22"/>
                <w:lang w:val="es-ES"/>
              </w:rPr>
              <w:t>s</w:t>
            </w:r>
            <w:r w:rsidRPr="00C53CED">
              <w:rPr>
                <w:rFonts w:ascii="Century Gothic" w:hAnsi="Century Gothic" w:cs="Times New Roman"/>
                <w:b/>
                <w:bCs/>
                <w:sz w:val="22"/>
                <w:szCs w:val="22"/>
                <w:lang w:val="es-ES"/>
              </w:rPr>
              <w:t xml:space="preserve"> y referencia</w:t>
            </w:r>
            <w:r w:rsidR="00C53CED" w:rsidRPr="00C53CED">
              <w:rPr>
                <w:rFonts w:ascii="Century Gothic" w:hAnsi="Century Gothic" w:cs="Times New Roman"/>
                <w:b/>
                <w:bCs/>
                <w:sz w:val="22"/>
                <w:szCs w:val="22"/>
                <w:lang w:val="es-ES"/>
              </w:rPr>
              <w:t>s</w:t>
            </w:r>
            <w:r w:rsidRPr="00C53CED">
              <w:rPr>
                <w:rFonts w:ascii="Century Gothic" w:hAnsi="Century Gothic" w:cs="Times New Roman"/>
                <w:b/>
                <w:bCs/>
                <w:sz w:val="22"/>
                <w:szCs w:val="22"/>
                <w:lang w:val="es-ES"/>
              </w:rPr>
              <w:t>:</w:t>
            </w:r>
          </w:p>
          <w:p w:rsidR="00C53CED" w:rsidRPr="00C53CED" w:rsidRDefault="00C53CED" w:rsidP="00C53CED">
            <w:pPr>
              <w:rPr>
                <w:rFonts w:ascii="Century Gothic" w:hAnsi="Century Gothic" w:cs="Times New Roman"/>
                <w:sz w:val="22"/>
                <w:szCs w:val="22"/>
                <w:lang w:val="es-MX"/>
              </w:rPr>
            </w:pPr>
            <w:r w:rsidRPr="00C53CED">
              <w:rPr>
                <w:rFonts w:ascii="Century Gothic" w:hAnsi="Century Gothic" w:cs="Times New Roman"/>
                <w:sz w:val="22"/>
                <w:szCs w:val="22"/>
                <w:lang w:val="es-MX"/>
              </w:rPr>
              <w:t xml:space="preserve">EduTrends. (2014). </w:t>
            </w:r>
            <w:r w:rsidRPr="00C53CED">
              <w:rPr>
                <w:rFonts w:ascii="Century Gothic" w:hAnsi="Century Gothic" w:cs="Times New Roman"/>
                <w:i/>
                <w:iCs/>
                <w:sz w:val="22"/>
                <w:szCs w:val="22"/>
                <w:lang w:val="es-MX"/>
              </w:rPr>
              <w:t>Mooc</w:t>
            </w:r>
            <w:r w:rsidRPr="00C53CED">
              <w:rPr>
                <w:rFonts w:ascii="Century Gothic" w:hAnsi="Century Gothic" w:cs="Times New Roman"/>
                <w:sz w:val="22"/>
                <w:szCs w:val="22"/>
                <w:lang w:val="es-MX"/>
              </w:rPr>
              <w:t>. Recuperado a partir de http://www.sitios.itesm.mx/webtools/Zs2Ps/roie/octubre14.pdf</w:t>
            </w:r>
          </w:p>
          <w:p w:rsidR="00C53CED" w:rsidRPr="00C53CED" w:rsidRDefault="00C53CED" w:rsidP="007613E5">
            <w:pPr>
              <w:rPr>
                <w:rFonts w:ascii="Century Gothic" w:hAnsi="Century Gothic" w:cs="Times New Roman"/>
                <w:sz w:val="22"/>
                <w:szCs w:val="22"/>
                <w:lang w:val="es-MX"/>
              </w:rPr>
            </w:pPr>
          </w:p>
          <w:p w:rsidR="007613E5" w:rsidRPr="007613E5" w:rsidRDefault="007613E5" w:rsidP="007613E5">
            <w:pPr>
              <w:widowControl w:val="0"/>
              <w:autoSpaceDE w:val="0"/>
              <w:autoSpaceDN w:val="0"/>
              <w:adjustRightInd w:val="0"/>
              <w:ind w:left="480" w:hanging="480"/>
              <w:rPr>
                <w:rFonts w:ascii="Century Gothic" w:hAnsi="Century Gothic"/>
                <w:noProof/>
                <w:sz w:val="22"/>
                <w:szCs w:val="22"/>
              </w:rPr>
            </w:pPr>
            <w:r w:rsidRPr="007613E5">
              <w:rPr>
                <w:rFonts w:ascii="Century Gothic" w:hAnsi="Century Gothic"/>
                <w:noProof/>
                <w:sz w:val="22"/>
                <w:szCs w:val="22"/>
                <w:lang w:val="en-US"/>
              </w:rPr>
              <w:t>Koller, D., Ng, A., Do, C., y Chen, Z. (2013). Retention and Intention in Massive Open Online Courses</w:t>
            </w:r>
            <w:r w:rsidRPr="007613E5">
              <w:rPr>
                <w:rFonts w:ascii="Arial" w:hAnsi="Arial" w:cs="Arial"/>
                <w:noProof/>
                <w:sz w:val="22"/>
                <w:szCs w:val="22"/>
                <w:lang w:val="en-US"/>
              </w:rPr>
              <w:t> </w:t>
            </w:r>
            <w:r w:rsidRPr="007613E5">
              <w:rPr>
                <w:rFonts w:ascii="Century Gothic" w:hAnsi="Century Gothic"/>
                <w:noProof/>
                <w:sz w:val="22"/>
                <w:szCs w:val="22"/>
                <w:lang w:val="en-US"/>
              </w:rPr>
              <w:t xml:space="preserve">: In Depth. </w:t>
            </w:r>
            <w:r w:rsidRPr="007613E5">
              <w:rPr>
                <w:rFonts w:ascii="Century Gothic" w:hAnsi="Century Gothic"/>
                <w:i/>
                <w:iCs/>
                <w:noProof/>
                <w:sz w:val="22"/>
                <w:szCs w:val="22"/>
              </w:rPr>
              <w:t>Educause review</w:t>
            </w:r>
            <w:r w:rsidRPr="007613E5">
              <w:rPr>
                <w:rFonts w:ascii="Century Gothic" w:hAnsi="Century Gothic"/>
                <w:noProof/>
                <w:sz w:val="22"/>
                <w:szCs w:val="22"/>
              </w:rPr>
              <w:t>, 1–8. https://doi.org/10.1145/2339055.2339064</w:t>
            </w:r>
          </w:p>
        </w:tc>
      </w:tr>
      <w:tr w:rsidR="0072533C" w:rsidRPr="007613E5" w:rsidTr="0072533C">
        <w:tc>
          <w:tcPr>
            <w:tcW w:w="4414"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lastRenderedPageBreak/>
              <w:t>En los artículos de investigación, el método de está explicitado, así como los instrumentos de recogida de datos.</w:t>
            </w:r>
          </w:p>
          <w:p w:rsidR="00367468" w:rsidRPr="007613E5" w:rsidRDefault="00367468" w:rsidP="007613E5">
            <w:pPr>
              <w:rPr>
                <w:rFonts w:ascii="Century Gothic" w:hAnsi="Century Gothic" w:cs="Times New Roman"/>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Se debe explicar con más detalle y documentar específicamente el método de cartografía y los observadores o investigadores implicados.</w:t>
            </w:r>
          </w:p>
        </w:tc>
        <w:tc>
          <w:tcPr>
            <w:tcW w:w="4414" w:type="dxa"/>
          </w:tcPr>
          <w:p w:rsidR="00D65286" w:rsidRPr="007613E5" w:rsidRDefault="00D65286" w:rsidP="007613E5">
            <w:pPr>
              <w:pStyle w:val="TEXTOSARTICULOS"/>
              <w:spacing w:line="240" w:lineRule="auto"/>
              <w:rPr>
                <w:rFonts w:cs="Times New Roman"/>
                <w:b/>
                <w:bCs/>
                <w:lang w:val="es-ES_tradnl"/>
              </w:rPr>
            </w:pPr>
            <w:r w:rsidRPr="007613E5">
              <w:rPr>
                <w:rFonts w:cs="Times New Roman"/>
                <w:b/>
                <w:bCs/>
                <w:lang w:val="es-ES_tradnl"/>
              </w:rPr>
              <w:t>La redacción original era:</w:t>
            </w:r>
          </w:p>
          <w:p w:rsidR="00D65286" w:rsidRPr="007613E5" w:rsidRDefault="00D65286" w:rsidP="007613E5">
            <w:pPr>
              <w:pStyle w:val="TEXTOSARTICULOS"/>
              <w:spacing w:line="240" w:lineRule="auto"/>
              <w:rPr>
                <w:rFonts w:cs="Times New Roman"/>
                <w:lang w:val="es-ES_tradnl"/>
              </w:rPr>
            </w:pPr>
            <w:r w:rsidRPr="007613E5">
              <w:rPr>
                <w:rFonts w:cs="Times New Roman"/>
                <w:lang w:val="es-ES_tradnl"/>
              </w:rPr>
              <w:t xml:space="preserve">El objetivo de esta investigación documental fue identificar si la diversificación de los MOOC obedece a que el término “masivo” no puede cumplir con los principios educativos del </w:t>
            </w:r>
            <w:r w:rsidRPr="007613E5">
              <w:rPr>
                <w:rFonts w:cs="Times New Roman"/>
                <w:i/>
                <w:lang w:val="es-ES_tradnl"/>
              </w:rPr>
              <w:t>e-learning</w:t>
            </w:r>
            <w:r w:rsidRPr="007613E5">
              <w:rPr>
                <w:rFonts w:cs="Times New Roman"/>
                <w:lang w:val="es-ES_tradnl"/>
              </w:rPr>
              <w:t>, que se basan en el diseño de ambientes virtuales y personales de aprendizaje.</w:t>
            </w:r>
          </w:p>
          <w:p w:rsidR="00D65286" w:rsidRPr="007613E5" w:rsidRDefault="00D65286" w:rsidP="007613E5">
            <w:pPr>
              <w:ind w:firstLine="708"/>
              <w:rPr>
                <w:rFonts w:ascii="Century Gothic" w:hAnsi="Century Gothic" w:cs="Times New Roman"/>
                <w:sz w:val="22"/>
                <w:szCs w:val="22"/>
              </w:rPr>
            </w:pPr>
            <w:r w:rsidRPr="007613E5">
              <w:rPr>
                <w:rFonts w:ascii="Century Gothic" w:hAnsi="Century Gothic" w:cs="Times New Roman"/>
                <w:sz w:val="22"/>
                <w:szCs w:val="22"/>
              </w:rPr>
              <w:t>Para lograr lo anterior, se aplicó el método de investigación documental llamado Cartografía Conceptual, que es un procedimiento de análisis crítico desarrollado en cuatro fases</w:t>
            </w:r>
            <w:r w:rsidRPr="007613E5">
              <w:rPr>
                <w:rFonts w:ascii="Century Gothic" w:hAnsi="Century Gothic" w:cs="Times New Roman"/>
                <w:sz w:val="22"/>
                <w:szCs w:val="22"/>
                <w:lang w:val="es-MX"/>
              </w:rPr>
              <w:t xml:space="preserve"> </w:t>
            </w:r>
            <w:r w:rsidRPr="007613E5">
              <w:rPr>
                <w:rFonts w:ascii="Century Gothic" w:hAnsi="Century Gothic" w:cs="Times New Roman"/>
                <w:sz w:val="22"/>
                <w:szCs w:val="22"/>
              </w:rPr>
              <w:t xml:space="preserve">a través de preguntas de investigación </w:t>
            </w:r>
            <w:r w:rsidRPr="007613E5">
              <w:rPr>
                <w:rFonts w:ascii="Century Gothic" w:hAnsi="Century Gothic" w:cs="Times New Roman"/>
                <w:sz w:val="22"/>
                <w:szCs w:val="22"/>
                <w:lang w:val="es-MX"/>
              </w:rPr>
              <w:fldChar w:fldCharType="begin" w:fldLock="1"/>
            </w:r>
            <w:r w:rsidRPr="007613E5">
              <w:rPr>
                <w:rFonts w:ascii="Century Gothic" w:hAnsi="Century Gothic" w:cs="Times New Roman"/>
                <w:sz w:val="22"/>
                <w:szCs w:val="22"/>
                <w:lang w:val="es-MX"/>
              </w:rPr>
              <w:instrText>ADDIN CSL_CITATION {"citationItems":[{"id":"ITEM-1","itemData":{"ISSN":"1011-2251","abstract":"Resumen Propósito: identificar las características claves de la socioformación y establecer sus ejes metodológicos. Metodología: se realizó un análisis documental basado en la cartografía conceptual a través de ocho ejes. Principales resultados: la socioformación consiste en formar para la sociedad del conocimiento mediante la resolución de problemas con colaboración y empleo de las TIC. Se caracteriza porque se basa en el proyecto ético de vida, el emprendimiento, la colaboración, la co-creación del conocimiento y la metacognición. Se diferencia de otros enfoques como el conectivismo, el aprendizaje invisible y la pedagogía conceptual en que se focaliza en la formación a partir de problemas transversales en un contexto de interacción social-ambiental. Conclusión: se tienen avances en la propuesta de la socioformación como un nuevo enfoque formativo. Se sugieren nuevos estudios conceptuales y empíricos en este campo para consolidarlo como una opción en Iberoamérica para orientar las reformas educativas. Palabras claves: socioformación, sociedad del conocimiento, didáctica, evaluación The Socioformation: a Conceptual Research Abstract Purpose: Identify the main features of the socioformation and determine their methodological axes. Methodology: make a documented analysis of conceptual mapping according with their eight principal axes. Main results: The Socioformación trains others for the knowledge society by solving context problems into the frame of a collaborative work and with the use of the ICT. It characterized because is based in an ethical life project, performances, collaborative work, co-creation of knowledge and metacognition. It differs from other approaches such as connectivism, the invisible learning and the conceptual pedagogy where the focus of the training is based on cross cutting issues inside the social-environmental interaction context. Conclusion: There are advances in socioformation proposal as a new training approach. New conceptual and empirical studies in this field, suggested consolidate the socioformative approach in Latin America as an option to guide educational reforms.","author":[{"dropping-particle":"","family":"Tobón","given":"Sergio","non-dropping-particle":"","parse-names":false,"suffix":""},{"dropping-particle":"","family":"González","given":"Lourdes","non-dropping-particle":"","parse-names":false,"suffix":""},{"dropping-particle":"","family":"Nambo","given":"Juan","non-dropping-particle":"","parse-names":false,"suffix":""},{"dropping-particle":"","family":"Vázquez","given":"José","non-dropping-particle":"","parse-names":false,"suffix":""}],"container-title":"Revista Paradigma","id":"ITEM-1","issue":"36","issued":{"date-parts":[["2015"]]},"page":"7-29","title":"La Socioformación: Un Estudio Conceptual","type":"article-journal","volume":"1"},"uris":["http://www.mendeley.com/documents/?uuid=24219d44-adf5-4b2f-a3df-74603e20df87"]},{"id":"ITEM-2","itemData":{"author":[{"dropping-particle":"","family":"Tobón","given":"Sergio","non-dropping-particle":"","parse-names":false,"suffix":""}],"id":"ITEM-2","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id":"ITEM-3","itemData":{"author":[{"dropping-particle":"","family":"Tobón","given":"Sergio","non-dropping-particle":"","parse-names":false,"suffix":""}],"id":"ITEM-3","issued":{"date-parts":[["2012"]]},"publisher":"CIFE","publisher-place":"Ciudad de México","title":"Cartografía Conceptual: Estrategia para la formación y evaluación de conceptos y teorías","type":"book"},"uris":["http://www.mendeley.com/documents/?uuid=0d67863f-04df-42b2-9795-37f1ca32331b"]}],"mendeley":{"formattedCitation":"(Tobón, 2004, 2012; Tobón, González, Nambo, &amp; Vázquez, 2015)","plainTextFormattedCitation":"(Tobón, 2004, 2012; Tobón, González, Nambo, &amp; Vázquez, 2015)","previouslyFormattedCitation":"(Tobón, 2004, 2012; Tobón, González, Nambo, &amp; Vázquez, 2015)"},"properties":{"noteIndex":0},"schema":"https://github.com/citation-style-language/schema/raw/master/csl-citation.json"}</w:instrText>
            </w:r>
            <w:r w:rsidRPr="007613E5">
              <w:rPr>
                <w:rFonts w:ascii="Century Gothic" w:hAnsi="Century Gothic" w:cs="Times New Roman"/>
                <w:sz w:val="22"/>
                <w:szCs w:val="22"/>
                <w:lang w:val="es-MX"/>
              </w:rPr>
              <w:fldChar w:fldCharType="separate"/>
            </w:r>
            <w:r w:rsidRPr="007613E5">
              <w:rPr>
                <w:rFonts w:ascii="Century Gothic" w:hAnsi="Century Gothic" w:cs="Times New Roman"/>
                <w:noProof/>
                <w:sz w:val="22"/>
                <w:szCs w:val="22"/>
                <w:lang w:val="es-MX"/>
              </w:rPr>
              <w:t>(Tobón, 2004, 2012; Tobón, González, Nambo, &amp; Vázquez, 2015)</w:t>
            </w:r>
            <w:r w:rsidRPr="007613E5">
              <w:rPr>
                <w:rFonts w:ascii="Century Gothic" w:hAnsi="Century Gothic" w:cs="Times New Roman"/>
                <w:sz w:val="22"/>
                <w:szCs w:val="22"/>
                <w:lang w:val="es-MX"/>
              </w:rPr>
              <w:fldChar w:fldCharType="end"/>
            </w:r>
            <w:r w:rsidRPr="007613E5">
              <w:rPr>
                <w:rFonts w:ascii="Century Gothic" w:hAnsi="Century Gothic" w:cs="Times New Roman"/>
                <w:sz w:val="22"/>
                <w:szCs w:val="22"/>
              </w:rPr>
              <w:t>, descritas a continuación.</w:t>
            </w:r>
          </w:p>
          <w:p w:rsidR="00D65286" w:rsidRPr="007613E5" w:rsidRDefault="00D65286" w:rsidP="007613E5">
            <w:pPr>
              <w:ind w:firstLine="708"/>
              <w:rPr>
                <w:rFonts w:ascii="Century Gothic" w:hAnsi="Century Gothic" w:cs="Times New Roman"/>
                <w:sz w:val="22"/>
                <w:szCs w:val="22"/>
                <w:lang w:val="es-MX"/>
              </w:rPr>
            </w:pPr>
          </w:p>
          <w:p w:rsidR="00D65286" w:rsidRPr="007613E5" w:rsidRDefault="00D65286" w:rsidP="007613E5">
            <w:pPr>
              <w:pStyle w:val="TEXTOSARTICULOS"/>
              <w:spacing w:line="240" w:lineRule="auto"/>
              <w:rPr>
                <w:rFonts w:cs="Times New Roman"/>
                <w:b/>
                <w:bCs/>
                <w:lang w:val="es-ES_tradnl"/>
              </w:rPr>
            </w:pPr>
            <w:r w:rsidRPr="007613E5">
              <w:rPr>
                <w:rFonts w:cs="Times New Roman"/>
                <w:b/>
                <w:bCs/>
                <w:lang w:val="es-ES_tradnl"/>
              </w:rPr>
              <w:t>Se ha hecho una nueva redacción:</w:t>
            </w:r>
          </w:p>
          <w:p w:rsidR="00D24C38" w:rsidRPr="007613E5" w:rsidRDefault="00D24C38" w:rsidP="007613E5">
            <w:pPr>
              <w:pStyle w:val="TEXTOSARTICULOS"/>
              <w:spacing w:line="240" w:lineRule="auto"/>
              <w:rPr>
                <w:rFonts w:cs="Times New Roman"/>
                <w:lang w:val="es-ES_tradnl"/>
              </w:rPr>
            </w:pPr>
            <w:r w:rsidRPr="007613E5">
              <w:rPr>
                <w:rFonts w:cs="Times New Roman"/>
                <w:lang w:val="es-ES_tradnl"/>
              </w:rPr>
              <w:t xml:space="preserve">El objetivo de esta investigación documental fue identificar si la diversificación de los MOOC obedece a que el término “masivo” no puede cumplir con los principios educativos del </w:t>
            </w:r>
            <w:r w:rsidRPr="007613E5">
              <w:rPr>
                <w:rFonts w:cs="Times New Roman"/>
                <w:i/>
                <w:lang w:val="es-ES_tradnl"/>
              </w:rPr>
              <w:t>e-learning</w:t>
            </w:r>
            <w:r w:rsidRPr="007613E5">
              <w:rPr>
                <w:rFonts w:cs="Times New Roman"/>
                <w:lang w:val="es-ES_tradnl"/>
              </w:rPr>
              <w:t xml:space="preserve">, que se basan en el diseño de ambientes virtuales y personales de aprendizaje. Para lograr lo anterior, se aplicó el método de investigación documental llamado Cartografía Conceptual. </w:t>
            </w:r>
          </w:p>
          <w:p w:rsidR="00D24C38" w:rsidRPr="007613E5" w:rsidRDefault="00D24C38" w:rsidP="007613E5">
            <w:pPr>
              <w:pStyle w:val="TEXTOSARTICULOS"/>
              <w:spacing w:line="240" w:lineRule="auto"/>
              <w:ind w:firstLine="708"/>
              <w:rPr>
                <w:rFonts w:cs="Times New Roman"/>
                <w:lang w:val="es-MX"/>
              </w:rPr>
            </w:pPr>
            <w:r w:rsidRPr="00425602">
              <w:rPr>
                <w:rFonts w:cs="Times New Roman"/>
                <w:lang w:val="es-MX"/>
              </w:rPr>
              <w:t xml:space="preserve">La Cartografía Conceptual es una estrategia de construcción y de comunicación de conceptos basada en el pensamiento complejo, mediante aspectos verbales, no </w:t>
            </w:r>
            <w:r w:rsidRPr="00425602">
              <w:rPr>
                <w:rFonts w:cs="Times New Roman"/>
                <w:lang w:val="es-MX"/>
              </w:rPr>
              <w:lastRenderedPageBreak/>
              <w:t xml:space="preserve">verbales y espaciales. Su fin es servir de apoyo en la construcción del saber conocer dentro del marco general de la formación de competencias cognitivas. </w:t>
            </w:r>
          </w:p>
          <w:p w:rsidR="00D24C38" w:rsidRPr="007613E5" w:rsidRDefault="00D24C38" w:rsidP="007613E5">
            <w:pPr>
              <w:pStyle w:val="TEXTOSARTICULOS"/>
              <w:spacing w:line="240" w:lineRule="auto"/>
              <w:ind w:firstLine="708"/>
              <w:rPr>
                <w:rFonts w:cs="Times New Roman"/>
                <w:lang w:val="es-MX"/>
              </w:rPr>
            </w:pPr>
            <w:r w:rsidRPr="007613E5">
              <w:rPr>
                <w:rFonts w:ascii="Calibri" w:hAnsi="Calibri" w:cs="Calibri"/>
                <w:lang w:val="es-MX"/>
              </w:rPr>
              <w:t>﻿</w:t>
            </w:r>
            <w:r w:rsidRPr="007613E5">
              <w:rPr>
                <w:rFonts w:cs="Times New Roman"/>
                <w:lang w:val="es-MX"/>
              </w:rPr>
              <w:t xml:space="preserve">El desarrollo de competencias cognitivas asociadas a la gestión de la información y del conocimiento, desde el pensamiento complejo, son definidas como procesos complejos de procesamiento de información para resolver problemas con idoneidad, conciencia crítica y comprensión, teniendo como base los conceptos y las habilidades de pensamiento </w:t>
            </w:r>
            <w:r w:rsidRPr="007613E5">
              <w:rPr>
                <w:rFonts w:cs="Times New Roman"/>
                <w:lang w:val="es-MX"/>
              </w:rPr>
              <w:fldChar w:fldCharType="begin" w:fldLock="1"/>
            </w:r>
            <w:r w:rsidRPr="007613E5">
              <w:rPr>
                <w:rFonts w:cs="Times New Roman"/>
                <w:lang w:val="es-MX"/>
              </w:rPr>
              <w:instrText>ADDIN CSL_CITATION {"citationItems":[{"id":"ITEM-1","itemData":{"author":[{"dropping-particle":"","family":"Ortega-Carbajal","given":"María Fabiola","non-dropping-particle":"","parse-names":false,"suffix":""},{"dropping-particle":"","family":"Hernández-Mosqueda","given":"José Silvano","non-dropping-particle":"","parse-names":false,"suffix":""},{"dropping-particle":"","family":"Tobón","given":"Sergio","non-dropping-particle":"","parse-names":false,"suffix":""}],"container-title":"Ra Ximhai","id":"ITEM-1","issue":"4","issued":{"date-parts":[["2015"]]},"page":"171-180","title":"Impacto de la cartografía conceptual como estrategia de gestión del conocimiento","type":"article-journal","volume":"11"},"uris":["http://www.mendeley.com/documents/?uuid=fecc4b4a-80bb-4063-8637-28bc4353b3b9"]}],"mendeley":{"formattedCitation":"(Ortega-Carbajal, Hernández-Mosqueda, &amp; Tobón, 2015b)","plainTextFormattedCitation":"(Ortega-Carbajal, Hernández-Mosqueda, &amp; Tobón, 2015b)"},"properties":{"noteIndex":0},"schema":"https://github.com/citation-style-language/schema/raw/master/csl-citation.json"}</w:instrText>
            </w:r>
            <w:r w:rsidRPr="007613E5">
              <w:rPr>
                <w:rFonts w:cs="Times New Roman"/>
                <w:lang w:val="es-MX"/>
              </w:rPr>
              <w:fldChar w:fldCharType="separate"/>
            </w:r>
            <w:r w:rsidRPr="007613E5">
              <w:rPr>
                <w:rFonts w:cs="Times New Roman"/>
                <w:noProof/>
                <w:lang w:val="es-MX"/>
              </w:rPr>
              <w:t>(Ortega-Carbajal, Hernández-Mosqueda, &amp; Tobón, 2015b)</w:t>
            </w:r>
            <w:r w:rsidRPr="007613E5">
              <w:rPr>
                <w:rFonts w:cs="Times New Roman"/>
                <w:lang w:val="es-MX"/>
              </w:rPr>
              <w:fldChar w:fldCharType="end"/>
            </w:r>
            <w:r w:rsidRPr="007613E5">
              <w:rPr>
                <w:rFonts w:cs="Times New Roman"/>
                <w:lang w:val="es-MX"/>
              </w:rPr>
              <w:t>.</w:t>
            </w:r>
          </w:p>
          <w:p w:rsidR="00D24C38" w:rsidRPr="00425602" w:rsidRDefault="00D24C38" w:rsidP="007613E5">
            <w:pPr>
              <w:pStyle w:val="TEXTOSARTICULOS"/>
              <w:spacing w:line="240" w:lineRule="auto"/>
              <w:ind w:firstLine="708"/>
              <w:rPr>
                <w:rFonts w:cs="Times New Roman"/>
                <w:lang w:val="es-MX"/>
              </w:rPr>
            </w:pPr>
            <w:r w:rsidRPr="007613E5">
              <w:rPr>
                <w:rFonts w:cs="Times New Roman"/>
                <w:lang w:val="es-MX"/>
              </w:rPr>
              <w:t xml:space="preserve">Una de las propuestas didácticas de este enfoque, es la Cartografía Conceptual, estrategia que apoya la gestión del conocimiento desde el análisis teórico-conceptual-práctico. La Cartografía Conceptual permite la comunicación de ideas mediante aspectos verbales, no verbales y espaciales. Además, aporta un método preciso para construir conceptos académicos y comunicarlos, dando cuenta de sus relaciones y organización, lo cual posibilita el proceso de la comprensión </w:t>
            </w:r>
            <w:r w:rsidRPr="007613E5">
              <w:rPr>
                <w:rFonts w:cs="Times New Roman"/>
                <w:lang w:val="es-MX"/>
              </w:rPr>
              <w:fldChar w:fldCharType="begin" w:fldLock="1"/>
            </w:r>
            <w:r w:rsidRPr="007613E5">
              <w:rPr>
                <w:rFonts w:cs="Times New Roman"/>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conceptual","type":"article"},"uris":["http://www.mendeley.com/documents/?uuid=a4094c2d-c249-4d57-a821-b0908510b6f1"]}],"mendeley":{"formattedCitation":"(Tobón, 2004)","plainTextFormattedCitation":"(Tobón, 2004)","previouslyFormattedCitation":"(Tobón, 2004)"},"properties":{"noteIndex":0},"schema":"https://github.com/citation-style-language/schema/raw/master/csl-citation.json"}</w:instrText>
            </w:r>
            <w:r w:rsidRPr="007613E5">
              <w:rPr>
                <w:rFonts w:cs="Times New Roman"/>
                <w:lang w:val="es-MX"/>
              </w:rPr>
              <w:fldChar w:fldCharType="separate"/>
            </w:r>
            <w:r w:rsidRPr="007613E5">
              <w:rPr>
                <w:rFonts w:cs="Times New Roman"/>
                <w:noProof/>
                <w:lang w:val="es-MX"/>
              </w:rPr>
              <w:t>(Tobón, 2004)</w:t>
            </w:r>
            <w:r w:rsidRPr="007613E5">
              <w:rPr>
                <w:rFonts w:cs="Times New Roman"/>
                <w:lang w:val="es-MX"/>
              </w:rPr>
              <w:fldChar w:fldCharType="end"/>
            </w:r>
            <w:r w:rsidRPr="00425602">
              <w:rPr>
                <w:rFonts w:cs="Times New Roman"/>
                <w:lang w:val="es-MX"/>
              </w:rPr>
              <w:t xml:space="preserve">. </w:t>
            </w:r>
          </w:p>
          <w:p w:rsidR="00D24C38" w:rsidRPr="007613E5" w:rsidRDefault="00D24C38" w:rsidP="007613E5">
            <w:pPr>
              <w:pStyle w:val="TEXTOSARTICULOS"/>
              <w:spacing w:line="240" w:lineRule="auto"/>
              <w:ind w:firstLine="708"/>
              <w:rPr>
                <w:rFonts w:cs="Times New Roman"/>
                <w:lang w:val="es-MX"/>
              </w:rPr>
            </w:pPr>
            <w:r w:rsidRPr="007613E5">
              <w:rPr>
                <w:rFonts w:cs="Times New Roman"/>
                <w:lang w:val="es-ES_tradnl"/>
              </w:rPr>
              <w:t xml:space="preserve"> </w:t>
            </w:r>
            <w:r w:rsidRPr="003B525D">
              <w:rPr>
                <w:rFonts w:cs="Times New Roman"/>
                <w:lang w:val="es-ES_tradnl"/>
              </w:rPr>
              <w:t xml:space="preserve">Desde el </w:t>
            </w:r>
            <w:r w:rsidRPr="007613E5">
              <w:rPr>
                <w:rFonts w:cs="Times New Roman"/>
                <w:lang w:val="es-ES_tradnl"/>
              </w:rPr>
              <w:t>punto de vista</w:t>
            </w:r>
            <w:r w:rsidRPr="003B525D">
              <w:rPr>
                <w:rFonts w:cs="Times New Roman"/>
                <w:lang w:val="es-ES_tradnl"/>
              </w:rPr>
              <w:t xml:space="preserve"> de la </w:t>
            </w:r>
            <w:r w:rsidR="00367468" w:rsidRPr="007613E5">
              <w:rPr>
                <w:rFonts w:cs="Times New Roman"/>
                <w:lang w:val="es-ES_tradnl"/>
              </w:rPr>
              <w:t>Cartografía</w:t>
            </w:r>
            <w:r w:rsidRPr="003B525D">
              <w:rPr>
                <w:rFonts w:cs="Times New Roman"/>
                <w:lang w:val="es-ES_tradnl"/>
              </w:rPr>
              <w:t xml:space="preserve"> Conceptual, los conceptos son constructos mentales</w:t>
            </w:r>
            <w:r w:rsidRPr="003B525D">
              <w:rPr>
                <w:rFonts w:cs="Times New Roman"/>
                <w:lang w:val="es-MX"/>
              </w:rPr>
              <w:t xml:space="preserve"> que permiten comprender los distintos objetos de la realidad interior del </w:t>
            </w:r>
            <w:r w:rsidRPr="007613E5">
              <w:rPr>
                <w:rFonts w:cs="Times New Roman"/>
                <w:lang w:val="es-MX"/>
              </w:rPr>
              <w:t>ser humano</w:t>
            </w:r>
            <w:r w:rsidRPr="003B525D">
              <w:rPr>
                <w:rFonts w:cs="Times New Roman"/>
                <w:lang w:val="es-MX"/>
              </w:rPr>
              <w:t xml:space="preserve"> (</w:t>
            </w:r>
            <w:r w:rsidRPr="007613E5">
              <w:rPr>
                <w:rFonts w:cs="Times New Roman"/>
                <w:lang w:val="es-MX"/>
              </w:rPr>
              <w:t xml:space="preserve">realidad </w:t>
            </w:r>
            <w:r w:rsidRPr="003B525D">
              <w:rPr>
                <w:rFonts w:cs="Times New Roman"/>
                <w:lang w:val="es-MX"/>
              </w:rPr>
              <w:t>subjetiva) así como de</w:t>
            </w:r>
            <w:r w:rsidRPr="007613E5">
              <w:rPr>
                <w:rFonts w:cs="Times New Roman"/>
                <w:lang w:val="es-MX"/>
              </w:rPr>
              <w:t xml:space="preserve"> su</w:t>
            </w:r>
            <w:r w:rsidRPr="003B525D">
              <w:rPr>
                <w:rFonts w:cs="Times New Roman"/>
                <w:lang w:val="es-MX"/>
              </w:rPr>
              <w:t xml:space="preserve"> exterior (</w:t>
            </w:r>
            <w:r w:rsidRPr="007613E5">
              <w:rPr>
                <w:rFonts w:cs="Times New Roman"/>
                <w:lang w:val="es-MX"/>
              </w:rPr>
              <w:t xml:space="preserve">realidad </w:t>
            </w:r>
            <w:r w:rsidRPr="003B525D">
              <w:rPr>
                <w:rFonts w:cs="Times New Roman"/>
                <w:lang w:val="es-MX"/>
              </w:rPr>
              <w:t xml:space="preserve">objetiva), brindando una clasificación, caracterización, diferenciación, composición, atributos y relaciones. </w:t>
            </w:r>
            <w:r w:rsidRPr="007613E5">
              <w:rPr>
                <w:rFonts w:cs="Times New Roman"/>
                <w:lang w:val="es-MX"/>
              </w:rPr>
              <w:t xml:space="preserve">Los conceptos son tejidos de relaciones y ello precisa una aproximación cartográfica para construirlos, comunicarlos y comprenderlos. La Cartografía Conceptual se desarrolla siguiendo los siguientes principios </w:t>
            </w:r>
            <w:r w:rsidRPr="007613E5">
              <w:rPr>
                <w:rFonts w:cs="Times New Roman"/>
                <w:lang w:val="es-MX"/>
              </w:rPr>
              <w:fldChar w:fldCharType="begin" w:fldLock="1"/>
            </w:r>
            <w:r w:rsidRPr="007613E5">
              <w:rPr>
                <w:rFonts w:cs="Times New Roman"/>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conceptual","type":"article"},"uris":["http://www.mendeley.com/documents/?uuid=a4094c2d-c249-4d57-a821-b0908510b6f1"]}],"mendeley":{"formattedCitation":"(Tobón, 2004)","plainTextFormattedCitation":"(Tobón, 2004)","previouslyFormattedCitation":"(Tobón, 2004)"},"properties":{"noteIndex":0},"schema":"https://github.com/citation-style-language/schema/raw/master/csl-citation.json"}</w:instrText>
            </w:r>
            <w:r w:rsidRPr="007613E5">
              <w:rPr>
                <w:rFonts w:cs="Times New Roman"/>
                <w:lang w:val="es-MX"/>
              </w:rPr>
              <w:fldChar w:fldCharType="separate"/>
            </w:r>
            <w:r w:rsidRPr="007613E5">
              <w:rPr>
                <w:rFonts w:cs="Times New Roman"/>
                <w:noProof/>
                <w:lang w:val="es-MX"/>
              </w:rPr>
              <w:t>(Tobón, 2004)</w:t>
            </w:r>
            <w:r w:rsidRPr="007613E5">
              <w:rPr>
                <w:rFonts w:cs="Times New Roman"/>
                <w:lang w:val="es-MX"/>
              </w:rPr>
              <w:fldChar w:fldCharType="end"/>
            </w:r>
            <w:r w:rsidRPr="007613E5">
              <w:rPr>
                <w:rFonts w:cs="Times New Roman"/>
                <w:lang w:val="es-MX"/>
              </w:rPr>
              <w:t xml:space="preserve">: 1) La construcción de conceptos es un proceso permanente, nunca acabado, acorde a los cambios sociales y culturales que influyen en el lenguaje de las ciencias; 2) En la elaboración de conceptos es necesaria la transdisciplinariedad, lo cual implica que la comprensión de un término científico en toda su complejidad trasciende los límites estrechos de un sola disciplina; 3) La construcción del </w:t>
            </w:r>
            <w:r w:rsidRPr="007613E5">
              <w:rPr>
                <w:rFonts w:cs="Times New Roman"/>
                <w:lang w:val="es-MX"/>
              </w:rPr>
              <w:lastRenderedPageBreak/>
              <w:t xml:space="preserve">término y su comunicación se hacen entretejiendo relaciones entre diferentes aspectos que le aportan sentido y le dan precisión; 4) La didáctica de los conceptos implica conjugar lo verbal con lo no verbal y el hacer con el fin de que haya una adecuada comprensión, teniendo como base el apoyo en técnicas gráficas </w:t>
            </w:r>
            <w:r w:rsidRPr="007613E5">
              <w:rPr>
                <w:rFonts w:cs="Times New Roman"/>
                <w:lang w:val="es-MX"/>
              </w:rPr>
              <w:fldChar w:fldCharType="begin" w:fldLock="1"/>
            </w:r>
            <w:r w:rsidRPr="007613E5">
              <w:rPr>
                <w:rFonts w:cs="Times New Roman"/>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conceptual","type":"article"},"locator":"10","uris":["http://www.mendeley.com/documents/?uuid=a4094c2d-c249-4d57-a821-b0908510b6f1"]}],"mendeley":{"formattedCitation":"(Tobón, 2004, p. 10)","plainTextFormattedCitation":"(Tobón, 2004, p. 10)","previouslyFormattedCitation":"(Tobón, 2004, p. 10)"},"properties":{"noteIndex":0},"schema":"https://github.com/citation-style-language/schema/raw/master/csl-citation.json"}</w:instrText>
            </w:r>
            <w:r w:rsidRPr="007613E5">
              <w:rPr>
                <w:rFonts w:cs="Times New Roman"/>
                <w:lang w:val="es-MX"/>
              </w:rPr>
              <w:fldChar w:fldCharType="separate"/>
            </w:r>
            <w:r w:rsidRPr="007613E5">
              <w:rPr>
                <w:rFonts w:cs="Times New Roman"/>
                <w:noProof/>
                <w:lang w:val="es-MX"/>
              </w:rPr>
              <w:t>(Tobón, 2004, p. 10)</w:t>
            </w:r>
            <w:r w:rsidRPr="007613E5">
              <w:rPr>
                <w:rFonts w:cs="Times New Roman"/>
                <w:lang w:val="es-MX"/>
              </w:rPr>
              <w:fldChar w:fldCharType="end"/>
            </w:r>
            <w:r w:rsidRPr="007613E5">
              <w:rPr>
                <w:rFonts w:cs="Times New Roman"/>
                <w:lang w:val="es-MX"/>
              </w:rPr>
              <w:t>.</w:t>
            </w:r>
          </w:p>
          <w:p w:rsidR="00D24C38" w:rsidRPr="007613E5" w:rsidRDefault="00D24C38" w:rsidP="007613E5">
            <w:pPr>
              <w:pStyle w:val="TEXTOSARTICULOS"/>
              <w:spacing w:line="240" w:lineRule="auto"/>
              <w:ind w:firstLine="708"/>
              <w:rPr>
                <w:rFonts w:cs="Times New Roman"/>
                <w:lang w:val="es-MX"/>
              </w:rPr>
            </w:pPr>
            <w:r w:rsidRPr="007613E5">
              <w:rPr>
                <w:rFonts w:cs="Times New Roman"/>
                <w:lang w:val="es-MX"/>
              </w:rPr>
              <w:t xml:space="preserve">La Cartografía Conceptual propone, originalmente, siete ejes para construir de una forma estandarizada los conceptos, los cuales son </w:t>
            </w:r>
            <w:r w:rsidRPr="007613E5">
              <w:rPr>
                <w:rFonts w:cs="Times New Roman"/>
                <w:lang w:val="es-MX"/>
              </w:rPr>
              <w:fldChar w:fldCharType="begin" w:fldLock="1"/>
            </w:r>
            <w:r w:rsidRPr="007613E5">
              <w:rPr>
                <w:rFonts w:cs="Times New Roman"/>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conceptual","type":"article"},"locator":"11","uris":["http://www.mendeley.com/documents/?uuid=a4094c2d-c249-4d57-a821-b0908510b6f1"]}],"mendeley":{"formattedCitation":"(Tobón, 2004, p. 11)","plainTextFormattedCitation":"(Tobón, 2004, p. 11)","previouslyFormattedCitation":"(Tobón, 2004, p. 11)"},"properties":{"noteIndex":0},"schema":"https://github.com/citation-style-language/schema/raw/master/csl-citation.json"}</w:instrText>
            </w:r>
            <w:r w:rsidRPr="007613E5">
              <w:rPr>
                <w:rFonts w:cs="Times New Roman"/>
                <w:lang w:val="es-MX"/>
              </w:rPr>
              <w:fldChar w:fldCharType="separate"/>
            </w:r>
            <w:r w:rsidRPr="007613E5">
              <w:rPr>
                <w:rFonts w:cs="Times New Roman"/>
                <w:noProof/>
                <w:lang w:val="es-MX"/>
              </w:rPr>
              <w:t>(Tobón, 2004, p. 11)</w:t>
            </w:r>
            <w:r w:rsidRPr="007613E5">
              <w:rPr>
                <w:rFonts w:cs="Times New Roman"/>
                <w:lang w:val="es-MX"/>
              </w:rPr>
              <w:fldChar w:fldCharType="end"/>
            </w:r>
            <w:r w:rsidRPr="007613E5">
              <w:rPr>
                <w:rFonts w:cs="Times New Roman"/>
                <w:lang w:val="es-MX"/>
              </w:rPr>
              <w:t>:</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nocional: Se da una aproximación al concepto estableciendo su definición corriente y el origen de la palabra o palabras de las cuales se compone.</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categorial: Se describe la clase general de conceptos dentro de la cual está incluido el concepto en cuestión.</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de diferenciación: Se establecen una o varias proposiciones en las cuales se muestre la diferencia de ese concepto de otros conceptos similares.</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de ejemplificación: Se describen proposiciones que ejemplifiquen el concepto con casos específicos.</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de caracterización: Se describen las características esenciales del concepto.</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de subdivisión: Se construyen las clases en las cuales se clasifica o divide el concepto.</w:t>
            </w:r>
          </w:p>
          <w:p w:rsidR="00D24C38" w:rsidRPr="007613E5" w:rsidRDefault="00D24C38" w:rsidP="007613E5">
            <w:pPr>
              <w:pStyle w:val="TEXTOSARTICULOS"/>
              <w:numPr>
                <w:ilvl w:val="0"/>
                <w:numId w:val="2"/>
              </w:numPr>
              <w:spacing w:line="240" w:lineRule="auto"/>
              <w:rPr>
                <w:rFonts w:cs="Times New Roman"/>
                <w:lang w:val="es-MX"/>
              </w:rPr>
            </w:pPr>
            <w:r w:rsidRPr="007613E5">
              <w:rPr>
                <w:rFonts w:cs="Times New Roman"/>
                <w:lang w:val="es-MX"/>
              </w:rPr>
              <w:t>Eje de vinculación: Se establecen las relaciones de ese concepto con otros que son importantes desde lo semántico o contextual.</w:t>
            </w:r>
          </w:p>
          <w:p w:rsidR="00D24C38" w:rsidRPr="007613E5" w:rsidRDefault="00D24C38" w:rsidP="007613E5">
            <w:pPr>
              <w:ind w:firstLine="708"/>
              <w:rPr>
                <w:rFonts w:ascii="Century Gothic" w:hAnsi="Century Gothic" w:cs="Times New Roman"/>
                <w:sz w:val="22"/>
                <w:szCs w:val="22"/>
                <w:lang w:val="es-MX"/>
              </w:rPr>
            </w:pPr>
          </w:p>
          <w:p w:rsidR="00D24C38" w:rsidRPr="007613E5" w:rsidRDefault="00D24C38" w:rsidP="007613E5">
            <w:pPr>
              <w:ind w:firstLine="708"/>
              <w:rPr>
                <w:rFonts w:ascii="Century Gothic" w:hAnsi="Century Gothic" w:cs="Times New Roman"/>
                <w:sz w:val="22"/>
                <w:szCs w:val="22"/>
                <w:lang w:val="es-MX"/>
              </w:rPr>
            </w:pPr>
            <w:r w:rsidRPr="007613E5">
              <w:rPr>
                <w:rFonts w:ascii="Century Gothic" w:hAnsi="Century Gothic" w:cs="Times New Roman"/>
                <w:sz w:val="22"/>
                <w:szCs w:val="22"/>
              </w:rPr>
              <w:t>El procedimiento de análisis crítico fue desarrollado en cuatro fases</w:t>
            </w:r>
            <w:r w:rsidRPr="007613E5">
              <w:rPr>
                <w:rFonts w:ascii="Century Gothic" w:hAnsi="Century Gothic" w:cs="Times New Roman"/>
                <w:sz w:val="22"/>
                <w:szCs w:val="22"/>
                <w:lang w:val="es-MX"/>
              </w:rPr>
              <w:t xml:space="preserve"> </w:t>
            </w:r>
            <w:r w:rsidRPr="007613E5">
              <w:rPr>
                <w:rFonts w:ascii="Century Gothic" w:hAnsi="Century Gothic" w:cs="Times New Roman"/>
                <w:sz w:val="22"/>
                <w:szCs w:val="22"/>
              </w:rPr>
              <w:t xml:space="preserve">a través de preguntas de investigación </w:t>
            </w:r>
            <w:r w:rsidRPr="007613E5">
              <w:rPr>
                <w:rFonts w:ascii="Century Gothic" w:hAnsi="Century Gothic" w:cs="Times New Roman"/>
                <w:sz w:val="22"/>
                <w:szCs w:val="22"/>
                <w:lang w:val="es-MX"/>
              </w:rPr>
              <w:fldChar w:fldCharType="begin" w:fldLock="1"/>
            </w:r>
            <w:r w:rsidRPr="007613E5">
              <w:rPr>
                <w:rFonts w:ascii="Century Gothic" w:hAnsi="Century Gothic" w:cs="Times New Roman"/>
                <w:sz w:val="22"/>
                <w:szCs w:val="22"/>
                <w:lang w:val="es-MX"/>
              </w:rPr>
              <w:instrText>ADDIN CSL_CITATION {"citationItems":[{"id":"ITEM-1","itemData":{"ISSN":"1011-2251","abstract":"Resumen Propósito: identificar las características claves de la socioformación y establecer sus ejes metodológicos. Metodología: se realizó un análisis documental basado en la cartografía conceptual a través de ocho ejes. Principales resultados: la socioformación consiste en formar para la sociedad del conocimiento mediante la resolución de problemas con colaboración y empleo de las TIC. Se caracteriza porque se basa en el proyecto ético de vida, el emprendimiento, la colaboración, la co-creación del conocimiento y la metacognición. Se diferencia de otros enfoques como el conectivismo, el aprendizaje invisible y la pedagogía conceptual en que se focaliza en la formación a partir de problemas transversales en un contexto de interacción social-ambiental. Conclusión: se tienen avances en la propuesta de la socioformación como un nuevo enfoque formativo. Se sugieren nuevos estudios conceptuales y empíricos en este campo para consolidarlo como una opción en Iberoamérica para orientar las reformas educativas. Palabras claves: socioformación, sociedad del conocimiento, didáctica, evaluación The Socioformation: a Conceptual Research Abstract Purpose: Identify the main features of the socioformation and determine their methodological axes. Methodology: make a documented analysis of conceptual mapping according with their eight principal axes. Main results: The Socioformación trains others for the knowledge society by solving context problems into the frame of a collaborative work and with the use of the ICT. It characterized because is based in an ethical life project, performances, collaborative work, co-creation of knowledge and metacognition. It differs from other approaches such as connectivism, the invisible learning and the conceptual pedagogy where the focus of the training is based on cross cutting issues inside the social-environmental interaction context. Conclusion: There are advances in socioformation proposal as a new training approach. New conceptual and empirical studies in this field, suggested consolidate the socioformative approach in Latin America as an option to guide educational reforms.","author":[{"dropping-particle":"","family":"Tobón","given":"Sergio","non-dropping-particle":"","parse-names":false,"suffix":""},{"dropping-particle":"","family":"González","given":"Lourdes","non-dropping-particle":"","parse-names":false,"suffix":""},{"dropping-particle":"","family":"Nambo","given":"Juan","non-dropping-particle":"","parse-names":false,"suffix":""},{"dropping-particle":"","family":"Vázquez","given":"José","non-dropping-particle":"","parse-names":false,"suffix":""}],"container-title":"Revista Paradigma","id":"ITEM-1","issue":"36","issued":{"date-parts":[["2015"]]},"page":"7-29","title":"La Socioformación: Un Estudio Conceptual","type":"article-journal","volume":"1"},"uris":["http://www.mendeley.com/documents/?uuid=24219d44-adf5-4b2f-a3df-74603e20df87"]},{"id":"ITEM-2","itemData":{"author":[{"dropping-particle":"","family":"Tobón","given":"Sergio","non-dropping-particle":"","parse-names":false,"suffix":""}],"id":"ITEM-2","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id":"ITEM-3","itemData":{"author":[{"dropping-particle":"","family":"Tobón","given":"Sergio","non-dropping-particle":"","parse-names":false,"suffix":""}],"id":"ITEM-3","issued":{"date-parts":[["2012"]]},"publisher":"CIFE","publisher-place":"Ciudad de México","title":"Cartografía Conceptual: Estrategia para la formación y evaluación de conceptos y teorías","type":"book"},"uris":["http://www.mendeley.com/documents/?uuid=0d67863f-04df-42b2-9795-37f1ca32331b"]}],"mendeley":{"formattedCitation":"(Tobón, 2004, 2012; Tobón, González, Nambo, &amp; Vázquez, 2015)","plainTextFormattedCitation":"(Tobón, 2004, 2012; Tobón, González, Nambo, &amp; Vázquez, 2015)","previouslyFormattedCitation":"(Tobón, 2004, 2012; Tobón, González, Nambo, &amp; Vázquez, 2015)"},"properties":{"noteIndex":0},"schema":"https://github.com/citation-style-language/schema/raw/master/csl-citation.json"}</w:instrText>
            </w:r>
            <w:r w:rsidRPr="007613E5">
              <w:rPr>
                <w:rFonts w:ascii="Century Gothic" w:hAnsi="Century Gothic" w:cs="Times New Roman"/>
                <w:sz w:val="22"/>
                <w:szCs w:val="22"/>
                <w:lang w:val="es-MX"/>
              </w:rPr>
              <w:fldChar w:fldCharType="separate"/>
            </w:r>
            <w:r w:rsidRPr="007613E5">
              <w:rPr>
                <w:rFonts w:ascii="Century Gothic" w:hAnsi="Century Gothic" w:cs="Times New Roman"/>
                <w:noProof/>
                <w:sz w:val="22"/>
                <w:szCs w:val="22"/>
                <w:lang w:val="es-MX"/>
              </w:rPr>
              <w:t>(Tobón, 2004, 2012; Tobón, González, Nambo, &amp; Vázquez, 2015)</w:t>
            </w:r>
            <w:r w:rsidRPr="007613E5">
              <w:rPr>
                <w:rFonts w:ascii="Century Gothic" w:hAnsi="Century Gothic" w:cs="Times New Roman"/>
                <w:sz w:val="22"/>
                <w:szCs w:val="22"/>
                <w:lang w:val="es-MX"/>
              </w:rPr>
              <w:fldChar w:fldCharType="end"/>
            </w:r>
            <w:r w:rsidRPr="007613E5">
              <w:rPr>
                <w:rFonts w:ascii="Century Gothic" w:hAnsi="Century Gothic" w:cs="Times New Roman"/>
                <w:sz w:val="22"/>
                <w:szCs w:val="22"/>
              </w:rPr>
              <w:t xml:space="preserve">, descritas a continuación. </w:t>
            </w:r>
          </w:p>
          <w:p w:rsidR="0072533C" w:rsidRPr="007613E5" w:rsidRDefault="00D24C38" w:rsidP="007613E5">
            <w:pPr>
              <w:ind w:firstLine="708"/>
              <w:rPr>
                <w:rFonts w:ascii="Century Gothic" w:hAnsi="Century Gothic" w:cs="Times New Roman"/>
                <w:sz w:val="22"/>
                <w:szCs w:val="22"/>
              </w:rPr>
            </w:pPr>
            <w:r w:rsidRPr="007613E5">
              <w:rPr>
                <w:rFonts w:ascii="Century Gothic" w:hAnsi="Century Gothic" w:cs="Times New Roman"/>
                <w:sz w:val="22"/>
                <w:szCs w:val="22"/>
              </w:rPr>
              <w:lastRenderedPageBreak/>
              <w:t xml:space="preserve">2.1 Búsqueda de documentos pertinentes a la investigación. Ambos autores de este estudio realizaron una búsqueda sistemática de artículos de investigación, libros y capítulos de libro en las bases de datos </w:t>
            </w:r>
            <w:proofErr w:type="spellStart"/>
            <w:r w:rsidRPr="007613E5">
              <w:rPr>
                <w:rFonts w:ascii="Century Gothic" w:hAnsi="Century Gothic" w:cs="Times New Roman"/>
                <w:i/>
                <w:sz w:val="22"/>
                <w:szCs w:val="22"/>
              </w:rPr>
              <w:t>ScienceDirect</w:t>
            </w:r>
            <w:proofErr w:type="spellEnd"/>
            <w:r w:rsidRPr="007613E5">
              <w:rPr>
                <w:rFonts w:ascii="Century Gothic" w:hAnsi="Century Gothic" w:cs="Times New Roman"/>
                <w:sz w:val="22"/>
                <w:szCs w:val="22"/>
              </w:rPr>
              <w:t xml:space="preserve"> y </w:t>
            </w:r>
            <w:r w:rsidRPr="007613E5">
              <w:rPr>
                <w:rFonts w:ascii="Century Gothic" w:hAnsi="Century Gothic" w:cs="Times New Roman"/>
                <w:i/>
                <w:sz w:val="22"/>
                <w:szCs w:val="22"/>
              </w:rPr>
              <w:t xml:space="preserve">Web of </w:t>
            </w:r>
            <w:proofErr w:type="spellStart"/>
            <w:r w:rsidRPr="007613E5">
              <w:rPr>
                <w:rFonts w:ascii="Century Gothic" w:hAnsi="Century Gothic" w:cs="Times New Roman"/>
                <w:i/>
                <w:sz w:val="22"/>
                <w:szCs w:val="22"/>
              </w:rPr>
              <w:t>Science</w:t>
            </w:r>
            <w:proofErr w:type="spellEnd"/>
            <w:r w:rsidRPr="007613E5">
              <w:rPr>
                <w:rFonts w:ascii="Century Gothic" w:hAnsi="Century Gothic" w:cs="Times New Roman"/>
                <w:i/>
                <w:sz w:val="22"/>
                <w:szCs w:val="22"/>
              </w:rPr>
              <w:t xml:space="preserve"> </w:t>
            </w:r>
            <w:r w:rsidRPr="007613E5">
              <w:rPr>
                <w:rFonts w:ascii="Century Gothic" w:hAnsi="Century Gothic" w:cs="Times New Roman"/>
                <w:sz w:val="22"/>
                <w:szCs w:val="22"/>
              </w:rPr>
              <w:t xml:space="preserve">de julio a diciembre de 2018. Se admitieron textos publicados entre 2008 y 2018, en español o inglés, para incluir la literatura sobre el tema desde su año de creación </w:t>
            </w:r>
            <w:r w:rsidRPr="007613E5">
              <w:rPr>
                <w:rFonts w:ascii="Century Gothic" w:hAnsi="Century Gothic" w:cs="Times New Roman"/>
                <w:sz w:val="22"/>
                <w:szCs w:val="22"/>
              </w:rPr>
              <w:fldChar w:fldCharType="begin" w:fldLock="1"/>
            </w:r>
            <w:r w:rsidRPr="007613E5">
              <w:rPr>
                <w:rFonts w:ascii="Century Gothic" w:hAnsi="Century Gothic" w:cs="Times New Roman"/>
                <w:sz w:val="22"/>
                <w:szCs w:val="22"/>
              </w:rPr>
              <w:instrText>ADDIN CSL_CITATION {"citationItems":[{"id":"ITEM-1","itemData":{"DOI":"10.1007/s11528-018-0312-7","ISSN":"1559-7075","abstract":"For a variety of reasons, education research can be difficult to summarize. Varying contexts, designs, levels of quality, measurement challenges, definition of underlying constructs, and treatments as well as the complexity of research subjects themselves can result in variability. Education research is voluminous and draws on multiple methods including quantitative, as well as, qualitative approaches to answer key research questions. With increased numbers of empirical research in Instructional Design and Technology (IDT), using various synthesis methods can provide a means to more deeply understand trends and patterns in research findings across multiple studies. The purpose of this article is to illustrate structured review or meta-synthesis procedures for qualitative research, as well as, novel meta-analysis procedures for the kinds of multiple treatment designs common to IDT settings. Sample analyses are used to discuss key methodological ideas as a way to introduce researchers to these techniques.","author":[{"dropping-particle":"","family":"Leary","given":"Heather","non-dropping-particle":"","parse-names":false,"suffix":""},{"dropping-particle":"","family":"Walker","given":"Andrew","non-dropping-particle":"","parse-names":false,"suffix":""}],"container-title":"TechTrends","id":"ITEM-1","issued":{"date-parts":[["2018","6"]]},"title":"Meta-Analysis and Meta-Synthesis Methodologies: Rigorously Piecing Together Research","type":"article-journal"},"uris":["http://www.mendeley.com/documents/?uuid=4c370f8d-62ef-4d2e-b0ab-bf8de5eb7c80"]}],"mendeley":{"formattedCitation":"(Leary &amp; Walker, 2018)","plainTextFormattedCitation":"(Leary &amp; Walker, 2018)","previouslyFormattedCitation":"(Leary &amp; Walker, 2018)"},"properties":{"noteIndex":0},"schema":"https://github.com/citation-style-language/schema/raw/master/csl-citation.json"}</w:instrText>
            </w:r>
            <w:r w:rsidRPr="007613E5">
              <w:rPr>
                <w:rFonts w:ascii="Century Gothic" w:hAnsi="Century Gothic" w:cs="Times New Roman"/>
                <w:sz w:val="22"/>
                <w:szCs w:val="22"/>
              </w:rPr>
              <w:fldChar w:fldCharType="separate"/>
            </w:r>
            <w:r w:rsidRPr="007613E5">
              <w:rPr>
                <w:rFonts w:ascii="Century Gothic" w:hAnsi="Century Gothic" w:cs="Times New Roman"/>
                <w:noProof/>
                <w:sz w:val="22"/>
                <w:szCs w:val="22"/>
              </w:rPr>
              <w:t>(Leary &amp; Walker, 2018)</w:t>
            </w:r>
            <w:r w:rsidRPr="007613E5">
              <w:rPr>
                <w:rFonts w:ascii="Century Gothic" w:hAnsi="Century Gothic" w:cs="Times New Roman"/>
                <w:sz w:val="22"/>
                <w:szCs w:val="22"/>
              </w:rPr>
              <w:fldChar w:fldCharType="end"/>
            </w:r>
            <w:r w:rsidRPr="007613E5">
              <w:rPr>
                <w:rFonts w:ascii="Century Gothic" w:hAnsi="Century Gothic" w:cs="Times New Roman"/>
                <w:sz w:val="22"/>
                <w:szCs w:val="22"/>
              </w:rPr>
              <w:t>.</w:t>
            </w:r>
          </w:p>
        </w:tc>
      </w:tr>
      <w:tr w:rsidR="0072533C" w:rsidRPr="007613E5" w:rsidTr="0072533C">
        <w:tc>
          <w:tcPr>
            <w:tcW w:w="4414"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lastRenderedPageBreak/>
              <w:t>¿La exposición de los resultados es clara y acorde al método empleado?</w:t>
            </w:r>
          </w:p>
          <w:p w:rsidR="002F1705" w:rsidRPr="007613E5" w:rsidRDefault="002F1705" w:rsidP="007613E5">
            <w:pPr>
              <w:rPr>
                <w:rFonts w:ascii="Century Gothic" w:hAnsi="Century Gothic" w:cs="Times New Roman"/>
                <w:sz w:val="22"/>
                <w:szCs w:val="22"/>
                <w:lang w:val="es-ES"/>
              </w:rPr>
            </w:pPr>
          </w:p>
          <w:p w:rsidR="0072533C" w:rsidRPr="007613E5" w:rsidRDefault="00BB2BDD"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L</w:t>
            </w:r>
            <w:r w:rsidR="0072533C" w:rsidRPr="007613E5">
              <w:rPr>
                <w:rFonts w:ascii="Century Gothic" w:hAnsi="Century Gothic" w:cs="Times New Roman"/>
                <w:i/>
                <w:iCs/>
                <w:sz w:val="22"/>
                <w:szCs w:val="22"/>
                <w:lang w:val="es-ES"/>
              </w:rPr>
              <w:t>as tablas que se proponen deben discutirse adecuadamente; por ejemplo, las subcategorías de MOOC (Las subcategorías actuales de MOOC muestran que los términos “masivo” y “abierto” no son primordiales cuando se supera la perspectiva tecnológica y se incorpora una perspectiva educativa, guiada por el fomento de ambientes virtuales de aprendizaje).</w:t>
            </w:r>
          </w:p>
        </w:tc>
        <w:tc>
          <w:tcPr>
            <w:tcW w:w="4414" w:type="dxa"/>
          </w:tcPr>
          <w:p w:rsidR="0072533C" w:rsidRPr="007613E5" w:rsidRDefault="00B83D17" w:rsidP="007613E5">
            <w:pP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Se incluyó la siguiente redacción a la tabla 2:</w:t>
            </w:r>
          </w:p>
          <w:p w:rsidR="00B83D17" w:rsidRPr="007613E5" w:rsidRDefault="00B83D17" w:rsidP="007613E5">
            <w:pPr>
              <w:rPr>
                <w:rFonts w:ascii="Century Gothic" w:hAnsi="Century Gothic" w:cs="Times New Roman"/>
                <w:sz w:val="22"/>
                <w:szCs w:val="22"/>
              </w:rPr>
            </w:pPr>
            <w:r w:rsidRPr="007613E5">
              <w:rPr>
                <w:rFonts w:ascii="Century Gothic" w:hAnsi="Century Gothic" w:cs="Times New Roman"/>
                <w:sz w:val="22"/>
                <w:szCs w:val="22"/>
              </w:rPr>
              <w:t xml:space="preserve">La evolución de los modelos de </w:t>
            </w:r>
            <w:r w:rsidRPr="007613E5">
              <w:rPr>
                <w:rFonts w:ascii="Century Gothic" w:hAnsi="Century Gothic" w:cs="Times New Roman"/>
                <w:i/>
                <w:iCs/>
                <w:sz w:val="22"/>
                <w:szCs w:val="22"/>
              </w:rPr>
              <w:t>e-learning</w:t>
            </w:r>
            <w:r w:rsidRPr="007613E5">
              <w:rPr>
                <w:rFonts w:ascii="Century Gothic" w:hAnsi="Century Gothic" w:cs="Times New Roman"/>
                <w:sz w:val="22"/>
                <w:szCs w:val="22"/>
              </w:rPr>
              <w:t xml:space="preserve"> ha demostrado que paulatinamente se desestimó el carácter tecnológico y se privilegió el carácter pedagógico.</w:t>
            </w:r>
          </w:p>
          <w:p w:rsidR="00E4170D" w:rsidRPr="007613E5" w:rsidRDefault="00E4170D" w:rsidP="007613E5">
            <w:pPr>
              <w:rPr>
                <w:rFonts w:ascii="Century Gothic" w:hAnsi="Century Gothic" w:cs="Times New Roman"/>
                <w:sz w:val="22"/>
                <w:szCs w:val="22"/>
                <w:lang w:val="es-ES"/>
              </w:rPr>
            </w:pPr>
          </w:p>
          <w:p w:rsidR="00E4170D" w:rsidRPr="007613E5" w:rsidRDefault="00E4170D" w:rsidP="007613E5">
            <w:pP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Se incluyó la siguiente redacción a la tabla 3:</w:t>
            </w:r>
          </w:p>
          <w:p w:rsidR="00E4170D" w:rsidRPr="007613E5" w:rsidRDefault="00E4170D" w:rsidP="007613E5">
            <w:pPr>
              <w:rPr>
                <w:rFonts w:ascii="Century Gothic" w:hAnsi="Century Gothic" w:cs="Times New Roman"/>
                <w:sz w:val="22"/>
                <w:szCs w:val="22"/>
              </w:rPr>
            </w:pPr>
            <w:r w:rsidRPr="007613E5">
              <w:rPr>
                <w:rFonts w:ascii="Century Gothic" w:hAnsi="Century Gothic" w:cs="Times New Roman"/>
                <w:sz w:val="22"/>
                <w:szCs w:val="22"/>
              </w:rPr>
              <w:t xml:space="preserve">De acuerdo con esta tabla, las principales diferencias entre un curso en línea a distancia y un MOOC radican en que el último prioriza su carácter abierto y masivo; requiere objetos de aprendizaje propios; y, se valora el hecho de que cada estudiante diseñe su propia trayectoria de aprendizaje. No obstante, entre estas características, la primera ha sido profundamente modificadas en los nuevos modelos de MOOC puesto que ya no garantizan un acceso gratuito y cada día se proponen nuevos modelos para atender a grupos específicos de personas con requerimientos educativos similares. </w:t>
            </w:r>
          </w:p>
          <w:p w:rsidR="00F06AB3" w:rsidRPr="007613E5" w:rsidRDefault="00F06AB3" w:rsidP="007613E5">
            <w:pPr>
              <w:rPr>
                <w:rFonts w:ascii="Century Gothic" w:hAnsi="Century Gothic" w:cs="Times New Roman"/>
                <w:sz w:val="22"/>
                <w:szCs w:val="22"/>
              </w:rPr>
            </w:pPr>
          </w:p>
          <w:p w:rsidR="00F06AB3" w:rsidRPr="007613E5" w:rsidRDefault="00F06AB3" w:rsidP="007613E5">
            <w:pP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Se incluyó la siguiente redacción a la tabla 4:</w:t>
            </w:r>
          </w:p>
          <w:p w:rsidR="00F06AB3" w:rsidRPr="007613E5" w:rsidRDefault="00F06AB3" w:rsidP="007613E5">
            <w:pPr>
              <w:rPr>
                <w:rFonts w:ascii="Century Gothic" w:hAnsi="Century Gothic" w:cs="Times New Roman"/>
                <w:b/>
                <w:bCs/>
                <w:sz w:val="22"/>
                <w:szCs w:val="22"/>
                <w:lang w:val="es-ES"/>
              </w:rPr>
            </w:pPr>
            <w:r w:rsidRPr="007613E5">
              <w:rPr>
                <w:rFonts w:ascii="Century Gothic" w:hAnsi="Century Gothic" w:cs="Times New Roman"/>
                <w:sz w:val="22"/>
                <w:szCs w:val="22"/>
              </w:rPr>
              <w:t xml:space="preserve">En concordancia con la evolución del </w:t>
            </w:r>
            <w:r w:rsidRPr="007613E5">
              <w:rPr>
                <w:rFonts w:ascii="Century Gothic" w:hAnsi="Century Gothic" w:cs="Times New Roman"/>
                <w:i/>
                <w:iCs/>
                <w:sz w:val="22"/>
                <w:szCs w:val="22"/>
              </w:rPr>
              <w:t>e-learning</w:t>
            </w:r>
            <w:r w:rsidRPr="007613E5">
              <w:rPr>
                <w:rFonts w:ascii="Century Gothic" w:hAnsi="Century Gothic" w:cs="Times New Roman"/>
                <w:sz w:val="22"/>
                <w:szCs w:val="22"/>
              </w:rPr>
              <w:t xml:space="preserve">, los nuevos modelos de MOOC han puesto paulatinamente la atención en el carácter pedagógico y se ha relativizado el carácter tecnológico. En ese sentido, la aparición de los </w:t>
            </w:r>
            <w:r w:rsidRPr="007613E5">
              <w:rPr>
                <w:rFonts w:ascii="Century Gothic" w:hAnsi="Century Gothic" w:cs="Times New Roman"/>
                <w:sz w:val="22"/>
                <w:szCs w:val="22"/>
                <w:lang w:val="es-MX"/>
              </w:rPr>
              <w:t>bOOC, los spOC,</w:t>
            </w:r>
            <w:r w:rsidRPr="007613E5">
              <w:rPr>
                <w:rFonts w:ascii="Century Gothic" w:hAnsi="Century Gothic" w:cs="Times New Roman"/>
                <w:bCs/>
                <w:sz w:val="22"/>
                <w:szCs w:val="22"/>
              </w:rPr>
              <w:t xml:space="preserve"> los </w:t>
            </w:r>
            <w:proofErr w:type="spellStart"/>
            <w:r w:rsidRPr="007613E5">
              <w:rPr>
                <w:rFonts w:ascii="Century Gothic" w:hAnsi="Century Gothic" w:cs="Times New Roman"/>
                <w:bCs/>
                <w:sz w:val="22"/>
                <w:szCs w:val="22"/>
              </w:rPr>
              <w:t>AdaptiveMOOC</w:t>
            </w:r>
            <w:proofErr w:type="spellEnd"/>
            <w:r w:rsidRPr="007613E5">
              <w:rPr>
                <w:rFonts w:ascii="Century Gothic" w:hAnsi="Century Gothic" w:cs="Times New Roman"/>
                <w:bCs/>
                <w:sz w:val="22"/>
                <w:szCs w:val="22"/>
              </w:rPr>
              <w:t xml:space="preserve"> y los </w:t>
            </w:r>
            <w:proofErr w:type="spellStart"/>
            <w:r w:rsidRPr="007613E5">
              <w:rPr>
                <w:rFonts w:ascii="Century Gothic" w:hAnsi="Century Gothic" w:cs="Times New Roman"/>
                <w:bCs/>
                <w:sz w:val="22"/>
                <w:szCs w:val="22"/>
              </w:rPr>
              <w:t>GroupMOOC</w:t>
            </w:r>
            <w:proofErr w:type="spellEnd"/>
            <w:r w:rsidRPr="007613E5">
              <w:rPr>
                <w:rFonts w:ascii="Century Gothic" w:hAnsi="Century Gothic" w:cs="Times New Roman"/>
                <w:bCs/>
                <w:sz w:val="22"/>
                <w:szCs w:val="22"/>
              </w:rPr>
              <w:t xml:space="preserve"> son evidencias claras de que </w:t>
            </w:r>
            <w:r w:rsidRPr="007613E5">
              <w:rPr>
                <w:rFonts w:ascii="Century Gothic" w:hAnsi="Century Gothic" w:cs="Times New Roman"/>
                <w:sz w:val="22"/>
                <w:szCs w:val="22"/>
              </w:rPr>
              <w:t xml:space="preserve">los términos “masivo” y “abierto” no son primordiales cuando se supera la perspectiva tecnológica y se incorpora una perspectiva pedagógica. </w:t>
            </w:r>
          </w:p>
          <w:p w:rsidR="00F06AB3" w:rsidRPr="007613E5" w:rsidRDefault="00F06AB3" w:rsidP="007613E5">
            <w:pPr>
              <w:ind w:firstLine="708"/>
              <w:rPr>
                <w:rFonts w:ascii="Century Gothic" w:hAnsi="Century Gothic" w:cs="Times New Roman"/>
                <w:sz w:val="22"/>
                <w:szCs w:val="22"/>
              </w:rPr>
            </w:pPr>
            <w:r w:rsidRPr="007613E5">
              <w:rPr>
                <w:rFonts w:ascii="Century Gothic" w:hAnsi="Century Gothic" w:cs="Times New Roman"/>
                <w:sz w:val="22"/>
                <w:szCs w:val="22"/>
              </w:rPr>
              <w:t xml:space="preserve">Asimismo, la aparición de los </w:t>
            </w:r>
            <w:proofErr w:type="spellStart"/>
            <w:r w:rsidRPr="007613E5">
              <w:rPr>
                <w:rFonts w:ascii="Century Gothic" w:hAnsi="Century Gothic" w:cs="Times New Roman"/>
                <w:sz w:val="22"/>
                <w:szCs w:val="22"/>
              </w:rPr>
              <w:t>cMOOC</w:t>
            </w:r>
            <w:proofErr w:type="spellEnd"/>
            <w:r w:rsidRPr="007613E5">
              <w:rPr>
                <w:rFonts w:ascii="Century Gothic" w:hAnsi="Century Gothic" w:cs="Times New Roman"/>
                <w:sz w:val="22"/>
                <w:szCs w:val="22"/>
              </w:rPr>
              <w:t xml:space="preserve"> y los </w:t>
            </w:r>
            <w:proofErr w:type="spellStart"/>
            <w:r w:rsidRPr="007613E5">
              <w:rPr>
                <w:rFonts w:ascii="Century Gothic" w:hAnsi="Century Gothic" w:cs="Times New Roman"/>
                <w:sz w:val="22"/>
                <w:szCs w:val="22"/>
              </w:rPr>
              <w:t>MadeMOOC</w:t>
            </w:r>
            <w:proofErr w:type="spellEnd"/>
            <w:r w:rsidRPr="007613E5">
              <w:rPr>
                <w:rFonts w:ascii="Century Gothic" w:hAnsi="Century Gothic" w:cs="Times New Roman"/>
                <w:sz w:val="22"/>
                <w:szCs w:val="22"/>
              </w:rPr>
              <w:t xml:space="preserve"> enfatizan el trabajo colaborativo y la evaluación por pares, </w:t>
            </w:r>
            <w:proofErr w:type="gramStart"/>
            <w:r w:rsidRPr="007613E5">
              <w:rPr>
                <w:rFonts w:ascii="Century Gothic" w:hAnsi="Century Gothic" w:cs="Times New Roman"/>
                <w:sz w:val="22"/>
                <w:szCs w:val="22"/>
              </w:rPr>
              <w:t>que</w:t>
            </w:r>
            <w:proofErr w:type="gramEnd"/>
            <w:r w:rsidRPr="007613E5">
              <w:rPr>
                <w:rFonts w:ascii="Century Gothic" w:hAnsi="Century Gothic" w:cs="Times New Roman"/>
                <w:sz w:val="22"/>
                <w:szCs w:val="22"/>
              </w:rPr>
              <w:t xml:space="preserve"> </w:t>
            </w:r>
            <w:r w:rsidRPr="007613E5">
              <w:rPr>
                <w:rFonts w:ascii="Century Gothic" w:hAnsi="Century Gothic" w:cs="Times New Roman"/>
                <w:sz w:val="22"/>
                <w:szCs w:val="22"/>
              </w:rPr>
              <w:lastRenderedPageBreak/>
              <w:t>aunque no se diga de manera explícita, requiere que los aprendices participantes compartan ciertos requerimientos educativos similares; en otras palabras, tampoco en estos casos los términos “masivo” y “abierto” son primordiales, desde el punto de vista pedagógico.</w:t>
            </w:r>
          </w:p>
          <w:p w:rsidR="00F06AB3" w:rsidRPr="007613E5" w:rsidRDefault="00F06AB3" w:rsidP="007613E5">
            <w:pPr>
              <w:ind w:firstLine="708"/>
              <w:rPr>
                <w:rFonts w:ascii="Century Gothic" w:hAnsi="Century Gothic" w:cs="Times New Roman"/>
                <w:sz w:val="22"/>
                <w:szCs w:val="22"/>
              </w:rPr>
            </w:pPr>
            <w:r w:rsidRPr="007613E5">
              <w:rPr>
                <w:rFonts w:ascii="Century Gothic" w:hAnsi="Century Gothic" w:cs="Times New Roman"/>
                <w:sz w:val="22"/>
                <w:szCs w:val="22"/>
                <w:lang w:val="es-MX"/>
              </w:rPr>
              <w:t xml:space="preserve">Los xMOOC, los dOCC, los sMOC, los vOOC y los </w:t>
            </w:r>
            <w:proofErr w:type="spellStart"/>
            <w:r w:rsidRPr="007613E5">
              <w:rPr>
                <w:rFonts w:ascii="Century Gothic" w:hAnsi="Century Gothic" w:cs="Times New Roman"/>
                <w:sz w:val="22"/>
                <w:szCs w:val="22"/>
              </w:rPr>
              <w:t>TransferMOOC</w:t>
            </w:r>
            <w:proofErr w:type="spellEnd"/>
            <w:r w:rsidRPr="007613E5">
              <w:rPr>
                <w:rFonts w:ascii="Century Gothic" w:hAnsi="Century Gothic" w:cs="Times New Roman"/>
                <w:sz w:val="22"/>
                <w:szCs w:val="22"/>
              </w:rPr>
              <w:t xml:space="preserve"> son las únicas subcategorías de MOOC que aún ponen el acento en la posibilidad tecnológica de matricular masivamente a los aprendices, pero no necesariamente en el carácter “abierto”, puesto que varios de estos cursos podrían requerir la matriculación pagada.</w:t>
            </w:r>
          </w:p>
          <w:p w:rsidR="00F06AB3" w:rsidRPr="007613E5" w:rsidRDefault="00F06AB3" w:rsidP="007613E5">
            <w:pPr>
              <w:ind w:firstLine="708"/>
              <w:rPr>
                <w:rFonts w:ascii="Century Gothic" w:hAnsi="Century Gothic" w:cs="Times New Roman"/>
                <w:sz w:val="22"/>
                <w:szCs w:val="22"/>
              </w:rPr>
            </w:pPr>
            <w:r w:rsidRPr="007613E5">
              <w:rPr>
                <w:rFonts w:ascii="Century Gothic" w:hAnsi="Century Gothic" w:cs="Times New Roman"/>
                <w:sz w:val="22"/>
                <w:szCs w:val="22"/>
              </w:rPr>
              <w:t xml:space="preserve">Finalmente, </w:t>
            </w:r>
            <w:r w:rsidRPr="007613E5">
              <w:rPr>
                <w:rFonts w:ascii="Century Gothic" w:hAnsi="Century Gothic" w:cs="Times New Roman"/>
                <w:bCs/>
                <w:sz w:val="22"/>
                <w:szCs w:val="22"/>
              </w:rPr>
              <w:t xml:space="preserve">los </w:t>
            </w:r>
            <w:proofErr w:type="spellStart"/>
            <w:r w:rsidRPr="007613E5">
              <w:rPr>
                <w:rFonts w:ascii="Century Gothic" w:hAnsi="Century Gothic" w:cs="Times New Roman"/>
                <w:bCs/>
                <w:sz w:val="22"/>
                <w:szCs w:val="22"/>
              </w:rPr>
              <w:t>SynchMOOC</w:t>
            </w:r>
            <w:proofErr w:type="spellEnd"/>
            <w:r w:rsidRPr="007613E5">
              <w:rPr>
                <w:rFonts w:ascii="Century Gothic" w:hAnsi="Century Gothic" w:cs="Times New Roman"/>
                <w:bCs/>
                <w:sz w:val="22"/>
                <w:szCs w:val="22"/>
              </w:rPr>
              <w:t xml:space="preserve">, los </w:t>
            </w:r>
            <w:proofErr w:type="spellStart"/>
            <w:r w:rsidRPr="007613E5">
              <w:rPr>
                <w:rFonts w:ascii="Century Gothic" w:hAnsi="Century Gothic" w:cs="Times New Roman"/>
                <w:bCs/>
                <w:sz w:val="22"/>
                <w:szCs w:val="22"/>
              </w:rPr>
              <w:t>AsynchMOOC</w:t>
            </w:r>
            <w:proofErr w:type="spellEnd"/>
            <w:r w:rsidRPr="007613E5">
              <w:rPr>
                <w:rFonts w:ascii="Century Gothic" w:hAnsi="Century Gothic" w:cs="Times New Roman"/>
                <w:bCs/>
                <w:sz w:val="22"/>
                <w:szCs w:val="22"/>
              </w:rPr>
              <w:t xml:space="preserve"> y los </w:t>
            </w:r>
            <w:proofErr w:type="spellStart"/>
            <w:r w:rsidRPr="007613E5">
              <w:rPr>
                <w:rFonts w:ascii="Century Gothic" w:hAnsi="Century Gothic" w:cs="Times New Roman"/>
                <w:bCs/>
                <w:sz w:val="22"/>
                <w:szCs w:val="22"/>
              </w:rPr>
              <w:t>MiniMOOC</w:t>
            </w:r>
            <w:proofErr w:type="spellEnd"/>
            <w:r w:rsidRPr="007613E5">
              <w:rPr>
                <w:rFonts w:ascii="Century Gothic" w:hAnsi="Century Gothic" w:cs="Times New Roman"/>
                <w:bCs/>
                <w:sz w:val="22"/>
                <w:szCs w:val="22"/>
              </w:rPr>
              <w:t xml:space="preserve"> pertenecen a una subcategoría que toma en cuenta criterios administrativos, más que tecnológicos. Sin embargo, al ser propuestas eminentemente universitarias, de facto, tienen </w:t>
            </w:r>
            <w:r w:rsidRPr="007613E5">
              <w:rPr>
                <w:rFonts w:ascii="Century Gothic" w:hAnsi="Century Gothic" w:cs="Times New Roman"/>
                <w:sz w:val="22"/>
                <w:szCs w:val="22"/>
              </w:rPr>
              <w:t>la posibilidad tecnológica de matricular masivamente a los aprendices, pero los requerimientos educativos de las personas matriculadas son muy similares. En pocas palabras, no son masivos en términos del perfil del aprendiz, sino en términos de tener la posibilidad tecnológica de matricular masivamente a los aprendices.</w:t>
            </w:r>
          </w:p>
        </w:tc>
      </w:tr>
      <w:tr w:rsidR="0072533C" w:rsidRPr="007613E5" w:rsidTr="0072533C">
        <w:tc>
          <w:tcPr>
            <w:tcW w:w="4414"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lastRenderedPageBreak/>
              <w:t>¿La discusión y /o conclusiones responden a ello?</w:t>
            </w:r>
          </w:p>
          <w:p w:rsidR="002F1705" w:rsidRPr="007613E5" w:rsidRDefault="002F1705" w:rsidP="007613E5">
            <w:pPr>
              <w:rPr>
                <w:rFonts w:ascii="Century Gothic" w:hAnsi="Century Gothic" w:cs="Times New Roman"/>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Los autores titulan su artículo con el matiz de “análisis crítico”; por lo tanto, el marco teórico y la discusión deben profundizar en estudios nacionales e internacionales y discutirlos convenientemente.</w:t>
            </w:r>
          </w:p>
        </w:tc>
        <w:tc>
          <w:tcPr>
            <w:tcW w:w="4414" w:type="dxa"/>
          </w:tcPr>
          <w:p w:rsidR="0072533C" w:rsidRPr="00045A73" w:rsidRDefault="000C5901" w:rsidP="007613E5">
            <w:pPr>
              <w:rPr>
                <w:rFonts w:ascii="Century Gothic" w:hAnsi="Century Gothic" w:cs="Times New Roman"/>
                <w:b/>
                <w:bCs/>
                <w:sz w:val="22"/>
                <w:szCs w:val="22"/>
                <w:lang w:val="es-ES"/>
              </w:rPr>
            </w:pPr>
            <w:r w:rsidRPr="00045A73">
              <w:rPr>
                <w:rFonts w:ascii="Century Gothic" w:hAnsi="Century Gothic" w:cs="Times New Roman"/>
                <w:b/>
                <w:bCs/>
                <w:sz w:val="22"/>
                <w:szCs w:val="22"/>
                <w:lang w:val="es-ES"/>
              </w:rPr>
              <w:t>Esta observación está repetida; ya fue atendida arriba en este texto.</w:t>
            </w:r>
          </w:p>
        </w:tc>
      </w:tr>
      <w:tr w:rsidR="0072533C" w:rsidRPr="007613E5" w:rsidTr="0072533C">
        <w:tc>
          <w:tcPr>
            <w:tcW w:w="4414"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t>¿Las referencias bibliográficas cumplen las normas de la revista?</w:t>
            </w:r>
          </w:p>
          <w:p w:rsidR="00906FDA"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 xml:space="preserve">Se deben ajustar las referencias </w:t>
            </w:r>
            <w:proofErr w:type="spellStart"/>
            <w:r w:rsidRPr="007613E5">
              <w:rPr>
                <w:rFonts w:ascii="Century Gothic" w:hAnsi="Century Gothic" w:cs="Times New Roman"/>
                <w:i/>
                <w:iCs/>
                <w:sz w:val="22"/>
                <w:szCs w:val="22"/>
                <w:lang w:val="es-ES"/>
              </w:rPr>
              <w:t>intratextuales</w:t>
            </w:r>
            <w:proofErr w:type="spellEnd"/>
            <w:r w:rsidRPr="007613E5">
              <w:rPr>
                <w:rFonts w:ascii="Century Gothic" w:hAnsi="Century Gothic" w:cs="Times New Roman"/>
                <w:i/>
                <w:iCs/>
                <w:sz w:val="22"/>
                <w:szCs w:val="22"/>
                <w:lang w:val="es-ES"/>
              </w:rPr>
              <w:t xml:space="preserve"> al requerimiento APA y utilizar et al, a partir de tres autores). </w:t>
            </w:r>
          </w:p>
          <w:p w:rsidR="00906FDA" w:rsidRPr="007613E5" w:rsidRDefault="00906FDA" w:rsidP="007613E5">
            <w:pPr>
              <w:rPr>
                <w:rFonts w:ascii="Century Gothic" w:hAnsi="Century Gothic" w:cs="Times New Roman"/>
                <w:i/>
                <w:iCs/>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lastRenderedPageBreak/>
              <w:t xml:space="preserve">Se deben ajustar las referencias finales al formato APA, hay errores de cita (por ejemplo: </w:t>
            </w:r>
            <w:r w:rsidRPr="007613E5">
              <w:rPr>
                <w:rFonts w:ascii="Century Gothic" w:hAnsi="Century Gothic" w:cs="Times New Roman"/>
                <w:i/>
                <w:iCs/>
                <w:sz w:val="22"/>
                <w:szCs w:val="22"/>
                <w:highlight w:val="yellow"/>
                <w:lang w:val="es-ES"/>
              </w:rPr>
              <w:t>Galán</w:t>
            </w:r>
            <w:r w:rsidRPr="007613E5">
              <w:rPr>
                <w:rFonts w:ascii="Century Gothic" w:hAnsi="Century Gothic" w:cs="Times New Roman"/>
                <w:i/>
                <w:iCs/>
                <w:sz w:val="22"/>
                <w:szCs w:val="22"/>
                <w:lang w:val="es-ES"/>
              </w:rPr>
              <w:t>, J. (2017). Interacciones Moodle-MOOC: presente y futuro de los modelos de e-</w:t>
            </w:r>
            <w:proofErr w:type="spellStart"/>
            <w:r w:rsidRPr="007613E5">
              <w:rPr>
                <w:rFonts w:ascii="Century Gothic" w:hAnsi="Century Gothic" w:cs="Times New Roman"/>
                <w:i/>
                <w:iCs/>
                <w:sz w:val="22"/>
                <w:szCs w:val="22"/>
                <w:lang w:val="es-ES"/>
              </w:rPr>
              <w:t>learning</w:t>
            </w:r>
            <w:proofErr w:type="spellEnd"/>
            <w:r w:rsidRPr="007613E5">
              <w:rPr>
                <w:rFonts w:ascii="Century Gothic" w:hAnsi="Century Gothic" w:cs="Times New Roman"/>
                <w:i/>
                <w:iCs/>
                <w:sz w:val="22"/>
                <w:szCs w:val="22"/>
                <w:lang w:val="es-ES"/>
              </w:rPr>
              <w:t xml:space="preserve"> y b-</w:t>
            </w:r>
            <w:proofErr w:type="spellStart"/>
            <w:r w:rsidRPr="007613E5">
              <w:rPr>
                <w:rFonts w:ascii="Century Gothic" w:hAnsi="Century Gothic" w:cs="Times New Roman"/>
                <w:i/>
                <w:iCs/>
                <w:sz w:val="22"/>
                <w:szCs w:val="22"/>
                <w:lang w:val="es-ES"/>
              </w:rPr>
              <w:t>learning</w:t>
            </w:r>
            <w:proofErr w:type="spellEnd"/>
            <w:r w:rsidRPr="007613E5">
              <w:rPr>
                <w:rFonts w:ascii="Century Gothic" w:hAnsi="Century Gothic" w:cs="Times New Roman"/>
                <w:i/>
                <w:iCs/>
                <w:sz w:val="22"/>
                <w:szCs w:val="22"/>
                <w:lang w:val="es-ES"/>
              </w:rPr>
              <w:t xml:space="preserve"> en los contextos universitarios. </w:t>
            </w:r>
            <w:proofErr w:type="spellStart"/>
            <w:r w:rsidRPr="007613E5">
              <w:rPr>
                <w:rFonts w:ascii="Century Gothic" w:hAnsi="Century Gothic" w:cs="Times New Roman"/>
                <w:i/>
                <w:iCs/>
                <w:sz w:val="22"/>
                <w:szCs w:val="22"/>
                <w:lang w:val="es-ES"/>
              </w:rPr>
              <w:t>EccoS</w:t>
            </w:r>
            <w:proofErr w:type="spellEnd"/>
            <w:r w:rsidRPr="007613E5">
              <w:rPr>
                <w:rFonts w:ascii="Century Gothic" w:hAnsi="Century Gothic" w:cs="Times New Roman"/>
                <w:i/>
                <w:iCs/>
                <w:sz w:val="22"/>
                <w:szCs w:val="22"/>
                <w:lang w:val="es-ES"/>
              </w:rPr>
              <w:t xml:space="preserve"> – Revista Científica, Set-</w:t>
            </w:r>
            <w:proofErr w:type="spellStart"/>
            <w:proofErr w:type="gramStart"/>
            <w:r w:rsidRPr="007613E5">
              <w:rPr>
                <w:rFonts w:ascii="Century Gothic" w:hAnsi="Century Gothic" w:cs="Times New Roman"/>
                <w:i/>
                <w:iCs/>
                <w:sz w:val="22"/>
                <w:szCs w:val="22"/>
                <w:lang w:val="es-ES"/>
              </w:rPr>
              <w:t>dez</w:t>
            </w:r>
            <w:proofErr w:type="spellEnd"/>
            <w:r w:rsidRPr="007613E5">
              <w:rPr>
                <w:rFonts w:ascii="Century Gothic" w:hAnsi="Century Gothic" w:cs="Times New Roman"/>
                <w:i/>
                <w:iCs/>
                <w:sz w:val="22"/>
                <w:szCs w:val="22"/>
                <w:lang w:val="es-ES"/>
              </w:rPr>
              <w:t>(</w:t>
            </w:r>
            <w:proofErr w:type="gramEnd"/>
            <w:r w:rsidRPr="007613E5">
              <w:rPr>
                <w:rFonts w:ascii="Century Gothic" w:hAnsi="Century Gothic" w:cs="Times New Roman"/>
                <w:i/>
                <w:iCs/>
                <w:sz w:val="22"/>
                <w:szCs w:val="22"/>
                <w:lang w:val="es-ES"/>
              </w:rPr>
              <w:t>44), 241–257. https://doi.org/10.5585/EccoS.N44.7353</w:t>
            </w:r>
          </w:p>
        </w:tc>
        <w:tc>
          <w:tcPr>
            <w:tcW w:w="4414" w:type="dxa"/>
          </w:tcPr>
          <w:p w:rsidR="0072533C" w:rsidRPr="00045A73" w:rsidRDefault="00A12F46" w:rsidP="007613E5">
            <w:pPr>
              <w:rPr>
                <w:rFonts w:ascii="Century Gothic" w:hAnsi="Century Gothic" w:cs="Times New Roman"/>
                <w:b/>
                <w:bCs/>
                <w:i/>
                <w:iCs/>
                <w:sz w:val="22"/>
                <w:szCs w:val="22"/>
                <w:lang w:val="es-ES"/>
              </w:rPr>
            </w:pPr>
            <w:r w:rsidRPr="00045A73">
              <w:rPr>
                <w:rFonts w:ascii="Century Gothic" w:hAnsi="Century Gothic" w:cs="Times New Roman"/>
                <w:b/>
                <w:bCs/>
                <w:sz w:val="22"/>
                <w:szCs w:val="22"/>
                <w:lang w:val="es-ES"/>
              </w:rPr>
              <w:lastRenderedPageBreak/>
              <w:t xml:space="preserve">De acuerdo con el Manual de Publicaciones de la American </w:t>
            </w:r>
            <w:proofErr w:type="spellStart"/>
            <w:r w:rsidRPr="00045A73">
              <w:rPr>
                <w:rFonts w:ascii="Century Gothic" w:hAnsi="Century Gothic" w:cs="Times New Roman"/>
                <w:b/>
                <w:bCs/>
                <w:sz w:val="22"/>
                <w:szCs w:val="22"/>
                <w:lang w:val="es-ES"/>
              </w:rPr>
              <w:t>Psychological</w:t>
            </w:r>
            <w:proofErr w:type="spellEnd"/>
            <w:r w:rsidRPr="00045A73">
              <w:rPr>
                <w:rFonts w:ascii="Century Gothic" w:hAnsi="Century Gothic" w:cs="Times New Roman"/>
                <w:b/>
                <w:bCs/>
                <w:sz w:val="22"/>
                <w:szCs w:val="22"/>
                <w:lang w:val="es-ES"/>
              </w:rPr>
              <w:t xml:space="preserve"> </w:t>
            </w:r>
            <w:proofErr w:type="spellStart"/>
            <w:r w:rsidRPr="00045A73">
              <w:rPr>
                <w:rFonts w:ascii="Century Gothic" w:hAnsi="Century Gothic" w:cs="Times New Roman"/>
                <w:b/>
                <w:bCs/>
                <w:sz w:val="22"/>
                <w:szCs w:val="22"/>
                <w:lang w:val="es-ES"/>
              </w:rPr>
              <w:t>Association</w:t>
            </w:r>
            <w:proofErr w:type="spellEnd"/>
            <w:r w:rsidRPr="00045A73">
              <w:rPr>
                <w:rFonts w:ascii="Century Gothic" w:hAnsi="Century Gothic" w:cs="Times New Roman"/>
                <w:b/>
                <w:bCs/>
                <w:sz w:val="22"/>
                <w:szCs w:val="22"/>
                <w:lang w:val="es-ES"/>
              </w:rPr>
              <w:t xml:space="preserve"> (APA), si un trabajo tiene más de tres autores, se citará la primera vez a todos los autores y posteriormente solo al primero seguido de la abreviatura </w:t>
            </w:r>
            <w:r w:rsidRPr="00045A73">
              <w:rPr>
                <w:rFonts w:ascii="Century Gothic" w:hAnsi="Century Gothic" w:cs="Times New Roman"/>
                <w:b/>
                <w:bCs/>
                <w:i/>
                <w:iCs/>
                <w:sz w:val="22"/>
                <w:szCs w:val="22"/>
                <w:lang w:val="es-ES"/>
              </w:rPr>
              <w:t>et al.</w:t>
            </w:r>
          </w:p>
          <w:p w:rsidR="00A12F46" w:rsidRPr="007613E5" w:rsidRDefault="00A12F46" w:rsidP="007613E5">
            <w:pPr>
              <w:rPr>
                <w:rFonts w:ascii="Century Gothic" w:hAnsi="Century Gothic" w:cs="Times New Roman"/>
                <w:sz w:val="22"/>
                <w:szCs w:val="22"/>
                <w:lang w:val="es-ES"/>
              </w:rPr>
            </w:pPr>
            <w:r w:rsidRPr="007613E5">
              <w:rPr>
                <w:rFonts w:ascii="Century Gothic" w:hAnsi="Century Gothic" w:cs="Times New Roman"/>
                <w:noProof/>
                <w:sz w:val="22"/>
                <w:szCs w:val="22"/>
                <w:lang w:val="es-ES"/>
              </w:rPr>
              <w:lastRenderedPageBreak/>
              <w:drawing>
                <wp:inline distT="0" distB="0" distL="0" distR="0">
                  <wp:extent cx="2885170" cy="65975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12-13 a la(s) 19.47.32.png"/>
                          <pic:cNvPicPr/>
                        </pic:nvPicPr>
                        <pic:blipFill>
                          <a:blip r:embed="rId5">
                            <a:extLst>
                              <a:ext uri="{28A0092B-C50C-407E-A947-70E740481C1C}">
                                <a14:useLocalDpi xmlns:a14="http://schemas.microsoft.com/office/drawing/2010/main" val="0"/>
                              </a:ext>
                            </a:extLst>
                          </a:blip>
                          <a:stretch>
                            <a:fillRect/>
                          </a:stretch>
                        </pic:blipFill>
                        <pic:spPr>
                          <a:xfrm>
                            <a:off x="0" y="0"/>
                            <a:ext cx="2933394" cy="670784"/>
                          </a:xfrm>
                          <a:prstGeom prst="rect">
                            <a:avLst/>
                          </a:prstGeom>
                        </pic:spPr>
                      </pic:pic>
                    </a:graphicData>
                  </a:graphic>
                </wp:inline>
              </w:drawing>
            </w:r>
          </w:p>
          <w:p w:rsidR="00906FDA" w:rsidRPr="00045A73" w:rsidRDefault="00906FDA" w:rsidP="007613E5">
            <w:pPr>
              <w:rPr>
                <w:rFonts w:ascii="Century Gothic" w:hAnsi="Century Gothic" w:cs="Times New Roman"/>
                <w:b/>
                <w:bCs/>
                <w:i/>
                <w:iCs/>
                <w:sz w:val="22"/>
                <w:szCs w:val="22"/>
                <w:lang w:val="es-ES"/>
              </w:rPr>
            </w:pPr>
            <w:r w:rsidRPr="00045A73">
              <w:rPr>
                <w:rFonts w:ascii="Century Gothic" w:hAnsi="Century Gothic" w:cs="Times New Roman"/>
                <w:b/>
                <w:bCs/>
                <w:noProof/>
                <w:sz w:val="22"/>
                <w:szCs w:val="22"/>
                <w:lang w:val="es-MX"/>
              </w:rPr>
              <w:t xml:space="preserve"> Se han revisado todas las citas y, si se citó algún trabajo con más tres autores, por segunda vez, se escribió </w:t>
            </w:r>
            <w:r w:rsidRPr="00045A73">
              <w:rPr>
                <w:rFonts w:ascii="Century Gothic" w:hAnsi="Century Gothic" w:cs="Times New Roman"/>
                <w:b/>
                <w:bCs/>
                <w:sz w:val="22"/>
                <w:szCs w:val="22"/>
                <w:lang w:val="es-ES"/>
              </w:rPr>
              <w:t xml:space="preserve">la abreviatura </w:t>
            </w:r>
            <w:r w:rsidRPr="00045A73">
              <w:rPr>
                <w:rFonts w:ascii="Century Gothic" w:hAnsi="Century Gothic" w:cs="Times New Roman"/>
                <w:b/>
                <w:bCs/>
                <w:i/>
                <w:iCs/>
                <w:sz w:val="22"/>
                <w:szCs w:val="22"/>
                <w:lang w:val="es-ES"/>
              </w:rPr>
              <w:t>et al.</w:t>
            </w:r>
          </w:p>
          <w:p w:rsidR="00605EDD" w:rsidRPr="007613E5" w:rsidRDefault="00605EDD" w:rsidP="007613E5">
            <w:pPr>
              <w:pStyle w:val="TEXTOSARTICULOS"/>
              <w:spacing w:line="240" w:lineRule="auto"/>
              <w:rPr>
                <w:rFonts w:cs="Times New Roman"/>
                <w:noProof/>
                <w:lang w:val="es-ES"/>
              </w:rPr>
            </w:pPr>
          </w:p>
          <w:p w:rsidR="00906FDA" w:rsidRPr="00045A73" w:rsidRDefault="00906FDA" w:rsidP="007613E5">
            <w:pPr>
              <w:pStyle w:val="TEXTOSARTICULOS"/>
              <w:spacing w:line="240" w:lineRule="auto"/>
              <w:rPr>
                <w:rFonts w:cs="Times New Roman"/>
                <w:b/>
                <w:bCs/>
                <w:noProof/>
                <w:lang w:val="es-ES"/>
              </w:rPr>
            </w:pPr>
            <w:r w:rsidRPr="00045A73">
              <w:rPr>
                <w:rFonts w:cs="Times New Roman"/>
                <w:b/>
                <w:bCs/>
                <w:noProof/>
                <w:lang w:val="es-ES"/>
              </w:rPr>
              <w:t>Se corrigió la referencia:</w:t>
            </w:r>
          </w:p>
          <w:p w:rsidR="00906FDA" w:rsidRPr="007613E5" w:rsidRDefault="00906FDA" w:rsidP="007613E5">
            <w:pPr>
              <w:widowControl w:val="0"/>
              <w:autoSpaceDE w:val="0"/>
              <w:autoSpaceDN w:val="0"/>
              <w:adjustRightInd w:val="0"/>
              <w:spacing w:after="120"/>
              <w:ind w:left="480" w:hanging="480"/>
              <w:rPr>
                <w:rFonts w:ascii="Century Gothic" w:hAnsi="Century Gothic" w:cs="Times New Roman"/>
                <w:noProof/>
                <w:sz w:val="22"/>
                <w:szCs w:val="22"/>
              </w:rPr>
            </w:pPr>
            <w:r w:rsidRPr="007613E5">
              <w:rPr>
                <w:rFonts w:ascii="Century Gothic" w:hAnsi="Century Gothic" w:cs="Times New Roman"/>
                <w:noProof/>
                <w:sz w:val="22"/>
                <w:szCs w:val="22"/>
                <w:highlight w:val="yellow"/>
              </w:rPr>
              <w:t>Gómez</w:t>
            </w:r>
            <w:r w:rsidRPr="007613E5">
              <w:rPr>
                <w:rFonts w:ascii="Century Gothic" w:hAnsi="Century Gothic" w:cs="Times New Roman"/>
                <w:noProof/>
                <w:sz w:val="22"/>
                <w:szCs w:val="22"/>
              </w:rPr>
              <w:t xml:space="preserve">, J. (2017). Interacciones Moodle-MOOC: presente y futuro de los modelos de e-learning y b-learning en los contextos universitarios. </w:t>
            </w:r>
            <w:r w:rsidRPr="007613E5">
              <w:rPr>
                <w:rFonts w:ascii="Century Gothic" w:hAnsi="Century Gothic" w:cs="Times New Roman"/>
                <w:i/>
                <w:iCs/>
                <w:noProof/>
                <w:sz w:val="22"/>
                <w:szCs w:val="22"/>
              </w:rPr>
              <w:t>EccoS – Revista Científica</w:t>
            </w:r>
            <w:r w:rsidRPr="007613E5">
              <w:rPr>
                <w:rFonts w:ascii="Century Gothic" w:hAnsi="Century Gothic" w:cs="Times New Roman"/>
                <w:noProof/>
                <w:sz w:val="22"/>
                <w:szCs w:val="22"/>
              </w:rPr>
              <w:t xml:space="preserve">, </w:t>
            </w:r>
            <w:r w:rsidRPr="007613E5">
              <w:rPr>
                <w:rFonts w:ascii="Century Gothic" w:hAnsi="Century Gothic" w:cs="Times New Roman"/>
                <w:i/>
                <w:iCs/>
                <w:noProof/>
                <w:sz w:val="22"/>
                <w:szCs w:val="22"/>
              </w:rPr>
              <w:t>Set</w:t>
            </w:r>
            <w:r w:rsidRPr="007613E5">
              <w:rPr>
                <w:rFonts w:ascii="Century Gothic" w:hAnsi="Century Gothic" w:cs="Times New Roman"/>
                <w:noProof/>
                <w:sz w:val="22"/>
                <w:szCs w:val="22"/>
              </w:rPr>
              <w:t>-</w:t>
            </w:r>
            <w:r w:rsidRPr="007613E5">
              <w:rPr>
                <w:rFonts w:ascii="Century Gothic" w:hAnsi="Century Gothic" w:cs="Times New Roman"/>
                <w:i/>
                <w:iCs/>
                <w:noProof/>
                <w:sz w:val="22"/>
                <w:szCs w:val="22"/>
              </w:rPr>
              <w:t>dez</w:t>
            </w:r>
            <w:r w:rsidRPr="007613E5">
              <w:rPr>
                <w:rFonts w:ascii="Century Gothic" w:hAnsi="Century Gothic" w:cs="Times New Roman"/>
                <w:noProof/>
                <w:sz w:val="22"/>
                <w:szCs w:val="22"/>
              </w:rPr>
              <w:t>(44), 241–257. https://doi.org/10.5585/EccoS.N44.7353</w:t>
            </w:r>
          </w:p>
          <w:p w:rsidR="00906FDA" w:rsidRPr="007613E5" w:rsidRDefault="00906FDA" w:rsidP="007613E5">
            <w:pPr>
              <w:pStyle w:val="TEXTOSARTICULOS"/>
              <w:spacing w:line="240" w:lineRule="auto"/>
              <w:rPr>
                <w:rFonts w:cs="Times New Roman"/>
                <w:noProof/>
                <w:lang w:val="es-ES_tradnl"/>
              </w:rPr>
            </w:pPr>
          </w:p>
          <w:p w:rsidR="00A12F46" w:rsidRPr="007613E5" w:rsidRDefault="00906FDA" w:rsidP="007613E5">
            <w:pPr>
              <w:pStyle w:val="TEXTOSARTICULOS"/>
              <w:spacing w:line="240" w:lineRule="auto"/>
              <w:rPr>
                <w:rFonts w:cs="Times New Roman"/>
                <w:lang w:val="es-ES_tradnl"/>
              </w:rPr>
            </w:pPr>
            <w:r w:rsidRPr="007613E5">
              <w:rPr>
                <w:rFonts w:cs="Times New Roman"/>
                <w:lang w:val="es-ES_tradnl"/>
              </w:rPr>
              <w:t>Se revisaron todas las referencias y ahora están correctas.</w:t>
            </w:r>
          </w:p>
        </w:tc>
      </w:tr>
    </w:tbl>
    <w:p w:rsidR="0072533C" w:rsidRPr="007613E5" w:rsidRDefault="0072533C" w:rsidP="007613E5">
      <w:pPr>
        <w:rPr>
          <w:rFonts w:ascii="Century Gothic" w:hAnsi="Century Gothic" w:cs="Times New Roman"/>
          <w:sz w:val="22"/>
          <w:szCs w:val="22"/>
          <w:lang w:val="es-ES"/>
        </w:rPr>
      </w:pPr>
    </w:p>
    <w:tbl>
      <w:tblPr>
        <w:tblStyle w:val="Tablaconcuadrcula"/>
        <w:tblW w:w="0" w:type="auto"/>
        <w:tblLook w:val="04A0" w:firstRow="1" w:lastRow="0" w:firstColumn="1" w:lastColumn="0" w:noHBand="0" w:noVBand="1"/>
      </w:tblPr>
      <w:tblGrid>
        <w:gridCol w:w="4097"/>
        <w:gridCol w:w="4731"/>
      </w:tblGrid>
      <w:tr w:rsidR="0072533C" w:rsidRPr="007613E5" w:rsidTr="00174AFF">
        <w:tc>
          <w:tcPr>
            <w:tcW w:w="4097" w:type="dxa"/>
            <w:shd w:val="clear" w:color="auto" w:fill="D9D9D9" w:themeFill="background1" w:themeFillShade="D9"/>
          </w:tcPr>
          <w:p w:rsidR="0072533C" w:rsidRPr="007613E5" w:rsidRDefault="0072533C" w:rsidP="007613E5">
            <w:pPr>
              <w:jc w:val="cente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Observaciones evaluador 2</w:t>
            </w:r>
          </w:p>
        </w:tc>
        <w:tc>
          <w:tcPr>
            <w:tcW w:w="4731" w:type="dxa"/>
            <w:shd w:val="clear" w:color="auto" w:fill="D9D9D9" w:themeFill="background1" w:themeFillShade="D9"/>
          </w:tcPr>
          <w:p w:rsidR="0072533C" w:rsidRPr="007613E5" w:rsidRDefault="0072533C" w:rsidP="007613E5">
            <w:pPr>
              <w:jc w:val="cente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cambios</w:t>
            </w:r>
          </w:p>
        </w:tc>
      </w:tr>
      <w:tr w:rsidR="0072533C" w:rsidRPr="007613E5" w:rsidTr="00174AFF">
        <w:tc>
          <w:tcPr>
            <w:tcW w:w="4097"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t>¿La discusión y /o conclusiones responden a ello?</w:t>
            </w:r>
          </w:p>
          <w:p w:rsidR="00F06AB3" w:rsidRPr="007613E5" w:rsidRDefault="00F06AB3" w:rsidP="007613E5">
            <w:pPr>
              <w:rPr>
                <w:rFonts w:ascii="Century Gothic" w:hAnsi="Century Gothic" w:cs="Times New Roman"/>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Es adecuada, pero necesita un mayor análisis pedagógico.</w:t>
            </w:r>
          </w:p>
        </w:tc>
        <w:tc>
          <w:tcPr>
            <w:tcW w:w="4731" w:type="dxa"/>
          </w:tcPr>
          <w:p w:rsidR="00996623" w:rsidRPr="00996623" w:rsidRDefault="00996623" w:rsidP="00996623">
            <w:pPr>
              <w:rPr>
                <w:rFonts w:ascii="Century Gothic" w:hAnsi="Century Gothic" w:cs="Times New Roman"/>
                <w:b/>
                <w:bCs/>
                <w:sz w:val="22"/>
                <w:szCs w:val="22"/>
              </w:rPr>
            </w:pPr>
            <w:r w:rsidRPr="00996623">
              <w:rPr>
                <w:rFonts w:ascii="Century Gothic" w:hAnsi="Century Gothic" w:cs="Times New Roman"/>
                <w:b/>
                <w:bCs/>
                <w:sz w:val="22"/>
                <w:szCs w:val="22"/>
              </w:rPr>
              <w:t>Se ha incluido, a partir de la página 18:</w:t>
            </w:r>
          </w:p>
          <w:p w:rsidR="00996623" w:rsidRDefault="00996623" w:rsidP="00996623">
            <w:pPr>
              <w:rPr>
                <w:rFonts w:ascii="Century Gothic" w:hAnsi="Century Gothic" w:cs="Times New Roman"/>
                <w:sz w:val="22"/>
                <w:szCs w:val="22"/>
              </w:rPr>
            </w:pPr>
          </w:p>
          <w:p w:rsidR="00996623" w:rsidRPr="00996623" w:rsidRDefault="00996623" w:rsidP="00996623">
            <w:pPr>
              <w:rPr>
                <w:rFonts w:ascii="Century Gothic" w:hAnsi="Century Gothic" w:cs="Times New Roman"/>
                <w:sz w:val="22"/>
                <w:szCs w:val="22"/>
              </w:rPr>
            </w:pPr>
            <w:r w:rsidRPr="00996623">
              <w:rPr>
                <w:rFonts w:ascii="Century Gothic" w:hAnsi="Century Gothic" w:cs="Times New Roman"/>
                <w:sz w:val="22"/>
                <w:szCs w:val="22"/>
              </w:rPr>
              <w:t xml:space="preserve">Desde su aparición en 2008, los MOOC fueron catalogados como un fenómeno con alto impacto en la educación universitaria. En teoría, este tipo de cursos prometían los ideales de la educación gratuita para todas las personas. Sin embargo, muy pronto fue evidente que dicha promesa se convirtió en frustración porque actualmente los índices de deserción en los MOOC alcanzan hasta el 80%. </w:t>
            </w:r>
          </w:p>
          <w:p w:rsidR="00996623" w:rsidRPr="00996623" w:rsidRDefault="00996623" w:rsidP="00996623">
            <w:pPr>
              <w:rPr>
                <w:rFonts w:ascii="Century Gothic" w:hAnsi="Century Gothic" w:cs="Times New Roman"/>
                <w:sz w:val="22"/>
                <w:szCs w:val="22"/>
              </w:rPr>
            </w:pPr>
            <w:r w:rsidRPr="00996623">
              <w:rPr>
                <w:rFonts w:ascii="Century Gothic" w:hAnsi="Century Gothic" w:cs="Times New Roman"/>
                <w:sz w:val="22"/>
                <w:szCs w:val="22"/>
              </w:rPr>
              <w:t xml:space="preserve">Desde principios del siglo XXI el modelo original de MOOC ha sufrido varias transformaciones sustanciales, al grado que ahora no todos son gratuitos, debido al alto índice de deserción que presentan, existen dudas de que sean realmente educativos y, de acuerdo con los resultados de esta Cartografía Conceptual, la tendencia es que dejen de ser masivos. </w:t>
            </w:r>
          </w:p>
          <w:p w:rsidR="00996623" w:rsidRPr="00996623" w:rsidRDefault="00996623" w:rsidP="00996623">
            <w:pPr>
              <w:rPr>
                <w:rFonts w:ascii="Century Gothic" w:hAnsi="Century Gothic" w:cs="Times New Roman"/>
                <w:sz w:val="22"/>
                <w:szCs w:val="22"/>
              </w:rPr>
            </w:pPr>
            <w:r w:rsidRPr="00996623">
              <w:rPr>
                <w:rFonts w:ascii="Century Gothic" w:hAnsi="Century Gothic" w:cs="Times New Roman"/>
                <w:sz w:val="22"/>
                <w:szCs w:val="22"/>
              </w:rPr>
              <w:t xml:space="preserve">Una de las conclusiones más relevantes de este estudio refiere al hecho de que el carácter “masivo” de los MOOC alude a la capacidad que tiene la tecnología </w:t>
            </w:r>
            <w:r w:rsidRPr="00996623">
              <w:rPr>
                <w:rFonts w:ascii="Century Gothic" w:hAnsi="Century Gothic" w:cs="Times New Roman"/>
                <w:sz w:val="22"/>
                <w:szCs w:val="22"/>
              </w:rPr>
              <w:lastRenderedPageBreak/>
              <w:t xml:space="preserve">digital para matricular a un número ingente de usuarios. Sin embargo, este alcance masivo no ha fomentado ni garantizado el aprovechamiento educativo. </w:t>
            </w:r>
          </w:p>
          <w:p w:rsidR="0072533C" w:rsidRPr="00996623" w:rsidRDefault="00996623" w:rsidP="00996623">
            <w:pPr>
              <w:rPr>
                <w:rFonts w:ascii="Century Gothic" w:hAnsi="Century Gothic" w:cs="Times New Roman"/>
                <w:sz w:val="22"/>
                <w:szCs w:val="22"/>
              </w:rPr>
            </w:pPr>
            <w:r w:rsidRPr="00996623">
              <w:rPr>
                <w:rFonts w:ascii="Century Gothic" w:hAnsi="Century Gothic" w:cs="Times New Roman"/>
                <w:sz w:val="22"/>
                <w:szCs w:val="22"/>
              </w:rPr>
              <w:t xml:space="preserve">La iniciativa mexicana de diseñar MOOC para la plataforma </w:t>
            </w:r>
            <w:proofErr w:type="spellStart"/>
            <w:r w:rsidRPr="00996623">
              <w:rPr>
                <w:rFonts w:ascii="Century Gothic" w:hAnsi="Century Gothic" w:cs="Times New Roman"/>
                <w:sz w:val="22"/>
                <w:szCs w:val="22"/>
              </w:rPr>
              <w:t>MéxicoX</w:t>
            </w:r>
            <w:proofErr w:type="spellEnd"/>
            <w:r w:rsidRPr="00996623">
              <w:rPr>
                <w:rFonts w:ascii="Century Gothic" w:hAnsi="Century Gothic" w:cs="Times New Roman"/>
                <w:sz w:val="22"/>
                <w:szCs w:val="22"/>
              </w:rPr>
              <w:t xml:space="preserve"> difícilmente cumplirá con el desafío de retener a los alumnos matriculados porque aún se considera al término masivo desde un punto de vista pedagógico, cuando varios estudios de las ciencias de la comunicación han demostrado que solamente es un término de carácter tecnológico.</w:t>
            </w:r>
          </w:p>
        </w:tc>
      </w:tr>
      <w:tr w:rsidR="0072533C" w:rsidRPr="007613E5" w:rsidTr="00174AFF">
        <w:tc>
          <w:tcPr>
            <w:tcW w:w="4097" w:type="dxa"/>
          </w:tcPr>
          <w:p w:rsidR="0072533C" w:rsidRPr="007613E5" w:rsidRDefault="0072533C" w:rsidP="007613E5">
            <w:pPr>
              <w:rPr>
                <w:rFonts w:ascii="Century Gothic" w:hAnsi="Century Gothic" w:cs="Times New Roman"/>
                <w:sz w:val="22"/>
                <w:szCs w:val="22"/>
                <w:lang w:val="es-ES"/>
              </w:rPr>
            </w:pPr>
            <w:r w:rsidRPr="007613E5">
              <w:rPr>
                <w:rFonts w:ascii="Century Gothic" w:hAnsi="Century Gothic" w:cs="Times New Roman"/>
                <w:sz w:val="22"/>
                <w:szCs w:val="22"/>
                <w:lang w:val="es-ES"/>
              </w:rPr>
              <w:lastRenderedPageBreak/>
              <w:t>¿Las referencias bibliográficas cumplen las normas de la revista?</w:t>
            </w:r>
          </w:p>
          <w:p w:rsidR="00F06AB3" w:rsidRPr="007613E5" w:rsidRDefault="00F06AB3" w:rsidP="007613E5">
            <w:pPr>
              <w:rPr>
                <w:rFonts w:ascii="Century Gothic" w:hAnsi="Century Gothic" w:cs="Times New Roman"/>
                <w:sz w:val="22"/>
                <w:szCs w:val="22"/>
                <w:lang w:val="es-ES"/>
              </w:rPr>
            </w:pPr>
          </w:p>
          <w:p w:rsidR="0072533C" w:rsidRPr="007613E5" w:rsidRDefault="0072533C" w:rsidP="007613E5">
            <w:pPr>
              <w:rPr>
                <w:rFonts w:ascii="Century Gothic" w:hAnsi="Century Gothic" w:cs="Times New Roman"/>
                <w:i/>
                <w:iCs/>
                <w:sz w:val="22"/>
                <w:szCs w:val="22"/>
                <w:lang w:val="es-ES"/>
              </w:rPr>
            </w:pPr>
            <w:r w:rsidRPr="007613E5">
              <w:rPr>
                <w:rFonts w:ascii="Century Gothic" w:hAnsi="Century Gothic" w:cs="Times New Roman"/>
                <w:i/>
                <w:iCs/>
                <w:sz w:val="22"/>
                <w:szCs w:val="22"/>
                <w:lang w:val="es-ES"/>
              </w:rPr>
              <w:t xml:space="preserve">Son correctas, pero en algunas de ellas se recomienda insertar el segundo apellido del autor para un mejor comprensión y acceso </w:t>
            </w:r>
            <w:proofErr w:type="spellStart"/>
            <w:r w:rsidRPr="007613E5">
              <w:rPr>
                <w:rFonts w:ascii="Century Gothic" w:hAnsi="Century Gothic" w:cs="Times New Roman"/>
                <w:i/>
                <w:iCs/>
                <w:sz w:val="22"/>
                <w:szCs w:val="22"/>
                <w:lang w:val="es-ES"/>
              </w:rPr>
              <w:t>bibliométrico</w:t>
            </w:r>
            <w:proofErr w:type="spellEnd"/>
            <w:r w:rsidRPr="007613E5">
              <w:rPr>
                <w:rFonts w:ascii="Century Gothic" w:hAnsi="Century Gothic" w:cs="Times New Roman"/>
                <w:i/>
                <w:iCs/>
                <w:sz w:val="22"/>
                <w:szCs w:val="22"/>
                <w:lang w:val="es-ES"/>
              </w:rPr>
              <w:t>.</w:t>
            </w:r>
          </w:p>
        </w:tc>
        <w:tc>
          <w:tcPr>
            <w:tcW w:w="4731" w:type="dxa"/>
          </w:tcPr>
          <w:p w:rsidR="0072533C" w:rsidRPr="007613E5" w:rsidRDefault="00543B3F" w:rsidP="007613E5">
            <w:pPr>
              <w:rPr>
                <w:rFonts w:ascii="Century Gothic" w:hAnsi="Century Gothic" w:cs="Times New Roman"/>
                <w:b/>
                <w:bCs/>
                <w:sz w:val="22"/>
                <w:szCs w:val="22"/>
                <w:lang w:val="es-ES"/>
              </w:rPr>
            </w:pPr>
            <w:r w:rsidRPr="007613E5">
              <w:rPr>
                <w:rFonts w:ascii="Century Gothic" w:hAnsi="Century Gothic" w:cs="Times New Roman"/>
                <w:b/>
                <w:bCs/>
                <w:sz w:val="22"/>
                <w:szCs w:val="22"/>
                <w:lang w:val="es-ES"/>
              </w:rPr>
              <w:t xml:space="preserve">Se agregaron los segundos apellidos en las </w:t>
            </w:r>
            <w:r w:rsidR="009220BE" w:rsidRPr="007613E5">
              <w:rPr>
                <w:rFonts w:ascii="Century Gothic" w:hAnsi="Century Gothic" w:cs="Times New Roman"/>
                <w:b/>
                <w:bCs/>
                <w:sz w:val="22"/>
                <w:szCs w:val="22"/>
                <w:lang w:val="es-ES"/>
              </w:rPr>
              <w:t xml:space="preserve">siguientes </w:t>
            </w:r>
            <w:r w:rsidRPr="007613E5">
              <w:rPr>
                <w:rFonts w:ascii="Century Gothic" w:hAnsi="Century Gothic" w:cs="Times New Roman"/>
                <w:b/>
                <w:bCs/>
                <w:sz w:val="22"/>
                <w:szCs w:val="22"/>
                <w:lang w:val="es-ES"/>
              </w:rPr>
              <w:t>referencias</w:t>
            </w:r>
            <w:r w:rsidR="004922E3" w:rsidRPr="007613E5">
              <w:rPr>
                <w:rFonts w:ascii="Century Gothic" w:hAnsi="Century Gothic" w:cs="Times New Roman"/>
                <w:b/>
                <w:bCs/>
                <w:sz w:val="22"/>
                <w:szCs w:val="22"/>
                <w:lang w:val="es-ES"/>
              </w:rPr>
              <w:t xml:space="preserve"> (los autores anglosajones no suelen firmar con dos apellidos, por eso no fue posible obtener a ese dato)</w:t>
            </w:r>
            <w:r w:rsidRPr="007613E5">
              <w:rPr>
                <w:rFonts w:ascii="Century Gothic" w:hAnsi="Century Gothic" w:cs="Times New Roman"/>
                <w:b/>
                <w:bCs/>
                <w:sz w:val="22"/>
                <w:szCs w:val="22"/>
                <w:lang w:val="es-ES"/>
              </w:rPr>
              <w:t>:</w:t>
            </w:r>
          </w:p>
          <w:p w:rsidR="00543B3F" w:rsidRPr="007613E5" w:rsidRDefault="00543B3F" w:rsidP="007613E5">
            <w:pPr>
              <w:rPr>
                <w:rFonts w:ascii="Century Gothic" w:hAnsi="Century Gothic" w:cs="Times New Roman"/>
                <w:noProof/>
                <w:sz w:val="22"/>
                <w:szCs w:val="22"/>
              </w:rPr>
            </w:pPr>
            <w:r w:rsidRPr="007613E5">
              <w:rPr>
                <w:rFonts w:ascii="Century Gothic" w:hAnsi="Century Gothic" w:cs="Times New Roman"/>
                <w:noProof/>
                <w:sz w:val="22"/>
                <w:szCs w:val="22"/>
              </w:rPr>
              <w:t>Adell Segura, J., &amp; Castañeda Quintero, L.</w:t>
            </w:r>
          </w:p>
          <w:p w:rsidR="00543B3F" w:rsidRPr="007613E5" w:rsidRDefault="00543B3F" w:rsidP="007613E5">
            <w:pPr>
              <w:rPr>
                <w:rFonts w:ascii="Century Gothic" w:hAnsi="Century Gothic" w:cs="Times New Roman"/>
                <w:noProof/>
                <w:sz w:val="22"/>
                <w:szCs w:val="22"/>
              </w:rPr>
            </w:pPr>
            <w:r w:rsidRPr="007613E5">
              <w:rPr>
                <w:rFonts w:ascii="Century Gothic" w:hAnsi="Century Gothic" w:cs="Times New Roman"/>
                <w:noProof/>
                <w:sz w:val="22"/>
                <w:szCs w:val="22"/>
              </w:rPr>
              <w:t>Aguaded Gómez, I., &amp; Medina-Salguero, R.</w:t>
            </w:r>
          </w:p>
          <w:p w:rsidR="00543B3F" w:rsidRPr="007613E5" w:rsidRDefault="00543B3F" w:rsidP="007613E5">
            <w:pPr>
              <w:rPr>
                <w:rFonts w:ascii="Century Gothic" w:hAnsi="Century Gothic" w:cs="Times New Roman"/>
                <w:noProof/>
                <w:sz w:val="22"/>
                <w:szCs w:val="22"/>
              </w:rPr>
            </w:pPr>
            <w:r w:rsidRPr="007613E5">
              <w:rPr>
                <w:rFonts w:ascii="Century Gothic" w:hAnsi="Century Gothic" w:cs="Times New Roman"/>
                <w:noProof/>
                <w:sz w:val="22"/>
                <w:szCs w:val="22"/>
              </w:rPr>
              <w:t>Bartolomé Pina, A., &amp; Steffens, K.</w:t>
            </w:r>
          </w:p>
          <w:p w:rsidR="009220BE" w:rsidRPr="007613E5" w:rsidRDefault="009220BE" w:rsidP="007613E5">
            <w:pPr>
              <w:rPr>
                <w:rFonts w:ascii="Century Gothic" w:hAnsi="Century Gothic" w:cs="Times New Roman"/>
                <w:noProof/>
                <w:sz w:val="22"/>
                <w:szCs w:val="22"/>
              </w:rPr>
            </w:pPr>
            <w:r w:rsidRPr="007613E5">
              <w:rPr>
                <w:rFonts w:ascii="Century Gothic" w:hAnsi="Century Gothic" w:cs="Times New Roman"/>
                <w:noProof/>
                <w:sz w:val="22"/>
                <w:szCs w:val="22"/>
              </w:rPr>
              <w:t>Castaño Garrido, C., Maiz Olazabalanga, I., &amp; Garay Ruiz, U.</w:t>
            </w:r>
          </w:p>
          <w:p w:rsidR="009220BE" w:rsidRPr="007613E5" w:rsidRDefault="009220BE" w:rsidP="007613E5">
            <w:pPr>
              <w:rPr>
                <w:rFonts w:ascii="Century Gothic" w:hAnsi="Century Gothic" w:cs="Times New Roman"/>
                <w:noProof/>
                <w:sz w:val="22"/>
                <w:szCs w:val="22"/>
              </w:rPr>
            </w:pPr>
            <w:r w:rsidRPr="007613E5">
              <w:rPr>
                <w:rFonts w:ascii="Century Gothic" w:hAnsi="Century Gothic" w:cs="Times New Roman"/>
                <w:noProof/>
                <w:sz w:val="22"/>
                <w:szCs w:val="22"/>
              </w:rPr>
              <w:t>de Laat, M., &amp; Bonderup Dohn, N.</w:t>
            </w:r>
          </w:p>
          <w:p w:rsidR="004922E3" w:rsidRPr="007613E5" w:rsidRDefault="004922E3" w:rsidP="007613E5">
            <w:pPr>
              <w:rPr>
                <w:rFonts w:ascii="Century Gothic" w:hAnsi="Century Gothic" w:cs="Times New Roman"/>
                <w:noProof/>
                <w:sz w:val="22"/>
                <w:szCs w:val="22"/>
              </w:rPr>
            </w:pPr>
            <w:r w:rsidRPr="007613E5">
              <w:rPr>
                <w:rFonts w:ascii="Century Gothic" w:hAnsi="Century Gothic" w:cs="Times New Roman"/>
                <w:noProof/>
                <w:sz w:val="22"/>
                <w:szCs w:val="22"/>
              </w:rPr>
              <w:t>Frankenberg, L., Galvis Ortiz, C., &amp; Álvarez Moreno, M.</w:t>
            </w:r>
          </w:p>
          <w:p w:rsidR="004922E3" w:rsidRPr="007613E5" w:rsidRDefault="004922E3" w:rsidP="007613E5">
            <w:pPr>
              <w:rPr>
                <w:rFonts w:ascii="Century Gothic" w:hAnsi="Century Gothic" w:cs="Times New Roman"/>
                <w:noProof/>
                <w:sz w:val="22"/>
                <w:szCs w:val="22"/>
              </w:rPr>
            </w:pPr>
            <w:r w:rsidRPr="007613E5">
              <w:rPr>
                <w:rFonts w:ascii="Century Gothic" w:hAnsi="Century Gothic" w:cs="Times New Roman"/>
                <w:noProof/>
                <w:sz w:val="22"/>
                <w:szCs w:val="22"/>
              </w:rPr>
              <w:t>García Espinosa, B., Tenorio Sepúlveda, G., &amp; Ramírez Montoya, M.</w:t>
            </w:r>
          </w:p>
          <w:p w:rsidR="004922E3" w:rsidRPr="007613E5" w:rsidRDefault="004922E3" w:rsidP="007613E5">
            <w:pPr>
              <w:rPr>
                <w:rFonts w:ascii="Century Gothic" w:hAnsi="Century Gothic" w:cs="Times New Roman"/>
                <w:noProof/>
                <w:sz w:val="22"/>
                <w:szCs w:val="22"/>
              </w:rPr>
            </w:pPr>
            <w:r w:rsidRPr="007613E5">
              <w:rPr>
                <w:rFonts w:ascii="Century Gothic" w:hAnsi="Century Gothic" w:cs="Times New Roman"/>
                <w:noProof/>
                <w:sz w:val="22"/>
                <w:szCs w:val="22"/>
              </w:rPr>
              <w:t>García Aretio, L.</w:t>
            </w:r>
          </w:p>
          <w:p w:rsidR="004922E3" w:rsidRPr="007613E5" w:rsidRDefault="004922E3" w:rsidP="007613E5">
            <w:pPr>
              <w:rPr>
                <w:rFonts w:ascii="Century Gothic" w:hAnsi="Century Gothic" w:cs="Times New Roman"/>
                <w:noProof/>
                <w:sz w:val="22"/>
                <w:szCs w:val="22"/>
              </w:rPr>
            </w:pPr>
            <w:r w:rsidRPr="007613E5">
              <w:rPr>
                <w:rFonts w:ascii="Century Gothic" w:hAnsi="Century Gothic" w:cs="Times New Roman"/>
                <w:noProof/>
                <w:sz w:val="22"/>
                <w:szCs w:val="22"/>
              </w:rPr>
              <w:t>Gómez Galán, J.</w:t>
            </w:r>
          </w:p>
          <w:p w:rsidR="004922E3" w:rsidRPr="007613E5" w:rsidRDefault="004922E3" w:rsidP="007613E5">
            <w:pPr>
              <w:rPr>
                <w:rFonts w:ascii="Century Gothic" w:hAnsi="Century Gothic" w:cs="Times New Roman"/>
                <w:noProof/>
                <w:sz w:val="22"/>
                <w:szCs w:val="22"/>
              </w:rPr>
            </w:pPr>
            <w:r w:rsidRPr="007613E5">
              <w:rPr>
                <w:rFonts w:ascii="Century Gothic" w:hAnsi="Century Gothic" w:cs="Times New Roman"/>
                <w:noProof/>
                <w:sz w:val="22"/>
                <w:szCs w:val="22"/>
              </w:rPr>
              <w:t>Gros Salvat, B.</w:t>
            </w:r>
          </w:p>
          <w:p w:rsidR="004922E3" w:rsidRPr="007613E5" w:rsidRDefault="00EA2BBE" w:rsidP="007613E5">
            <w:pPr>
              <w:rPr>
                <w:rFonts w:ascii="Century Gothic" w:hAnsi="Century Gothic" w:cs="Times New Roman"/>
                <w:noProof/>
                <w:sz w:val="22"/>
                <w:szCs w:val="22"/>
              </w:rPr>
            </w:pPr>
            <w:r w:rsidRPr="007613E5">
              <w:rPr>
                <w:rFonts w:ascii="Century Gothic" w:hAnsi="Century Gothic" w:cs="Times New Roman"/>
                <w:noProof/>
                <w:sz w:val="22"/>
                <w:szCs w:val="22"/>
              </w:rPr>
              <w:t>López-Meneses, E., Vázquez-Cano, E., &amp; Román Graván, P.</w:t>
            </w:r>
          </w:p>
          <w:p w:rsidR="00EA2BBE" w:rsidRPr="007613E5" w:rsidRDefault="00EA2BBE" w:rsidP="007613E5">
            <w:pPr>
              <w:rPr>
                <w:rFonts w:ascii="Century Gothic" w:hAnsi="Century Gothic" w:cs="Times New Roman"/>
                <w:noProof/>
                <w:sz w:val="22"/>
                <w:szCs w:val="22"/>
              </w:rPr>
            </w:pPr>
            <w:r w:rsidRPr="007613E5">
              <w:rPr>
                <w:rFonts w:ascii="Century Gothic" w:hAnsi="Century Gothic" w:cs="Times New Roman"/>
                <w:noProof/>
                <w:sz w:val="22"/>
                <w:szCs w:val="22"/>
              </w:rPr>
              <w:t>Martínez Gutiérrez, F.</w:t>
            </w:r>
          </w:p>
          <w:p w:rsidR="00EA2BBE" w:rsidRPr="007613E5" w:rsidRDefault="00EA2BBE" w:rsidP="007613E5">
            <w:pPr>
              <w:rPr>
                <w:rFonts w:ascii="Century Gothic" w:hAnsi="Century Gothic" w:cs="Times New Roman"/>
                <w:noProof/>
                <w:sz w:val="22"/>
                <w:szCs w:val="22"/>
              </w:rPr>
            </w:pPr>
            <w:r w:rsidRPr="007613E5">
              <w:rPr>
                <w:rFonts w:ascii="Century Gothic" w:hAnsi="Century Gothic" w:cs="Times New Roman"/>
                <w:noProof/>
                <w:sz w:val="22"/>
                <w:szCs w:val="22"/>
              </w:rPr>
              <w:t>Méndez García, C.</w:t>
            </w:r>
          </w:p>
          <w:p w:rsidR="00EA2BBE" w:rsidRPr="007613E5" w:rsidRDefault="00EA2BBE" w:rsidP="007613E5">
            <w:pPr>
              <w:rPr>
                <w:rFonts w:ascii="Century Gothic" w:hAnsi="Century Gothic" w:cs="Times New Roman"/>
                <w:noProof/>
                <w:sz w:val="22"/>
                <w:szCs w:val="22"/>
              </w:rPr>
            </w:pPr>
            <w:r w:rsidRPr="007613E5">
              <w:rPr>
                <w:rFonts w:ascii="Century Gothic" w:hAnsi="Century Gothic" w:cs="Times New Roman"/>
                <w:noProof/>
                <w:sz w:val="22"/>
                <w:szCs w:val="22"/>
              </w:rPr>
              <w:t>Ortega-Carbajal, M. F., Hernández-Mosqueda, J. S., &amp; Tobón Tobón, S.</w:t>
            </w:r>
          </w:p>
          <w:p w:rsidR="00EA2BBE" w:rsidRPr="007613E5" w:rsidRDefault="00EA2BBE" w:rsidP="007613E5">
            <w:pPr>
              <w:rPr>
                <w:rFonts w:ascii="Century Gothic" w:hAnsi="Century Gothic" w:cs="Times New Roman"/>
                <w:noProof/>
                <w:sz w:val="22"/>
                <w:szCs w:val="22"/>
              </w:rPr>
            </w:pPr>
            <w:r w:rsidRPr="007613E5">
              <w:rPr>
                <w:rFonts w:ascii="Century Gothic" w:hAnsi="Century Gothic" w:cs="Times New Roman"/>
                <w:noProof/>
                <w:sz w:val="22"/>
                <w:szCs w:val="22"/>
              </w:rPr>
              <w:t>Pernías Peco, P., &amp; Luján-Mora, S.</w:t>
            </w:r>
          </w:p>
          <w:p w:rsidR="00EA2BBE" w:rsidRPr="00DC32CF" w:rsidRDefault="00EA2BBE" w:rsidP="007613E5">
            <w:pPr>
              <w:rPr>
                <w:rFonts w:ascii="Century Gothic" w:hAnsi="Century Gothic" w:cs="Times New Roman"/>
                <w:noProof/>
                <w:sz w:val="22"/>
                <w:szCs w:val="22"/>
                <w:lang w:val="en-US"/>
              </w:rPr>
            </w:pPr>
            <w:r w:rsidRPr="00DC32CF">
              <w:rPr>
                <w:rFonts w:ascii="Century Gothic" w:hAnsi="Century Gothic" w:cs="Times New Roman"/>
                <w:noProof/>
                <w:sz w:val="22"/>
                <w:szCs w:val="22"/>
                <w:lang w:val="en-US"/>
              </w:rPr>
              <w:t>Rojas Crotte, I.</w:t>
            </w:r>
          </w:p>
          <w:p w:rsidR="00EA2BBE" w:rsidRPr="00DC32CF" w:rsidRDefault="005D5D3C" w:rsidP="007613E5">
            <w:pPr>
              <w:rPr>
                <w:rFonts w:ascii="Century Gothic" w:hAnsi="Century Gothic" w:cs="Times New Roman"/>
                <w:noProof/>
                <w:sz w:val="22"/>
                <w:szCs w:val="22"/>
                <w:lang w:val="en-US"/>
              </w:rPr>
            </w:pPr>
            <w:r w:rsidRPr="00DC32CF">
              <w:rPr>
                <w:rFonts w:ascii="Century Gothic" w:hAnsi="Century Gothic" w:cs="Times New Roman"/>
                <w:noProof/>
                <w:sz w:val="22"/>
                <w:szCs w:val="22"/>
                <w:lang w:val="en-US"/>
              </w:rPr>
              <w:t>Tobón Tobón, S.</w:t>
            </w:r>
          </w:p>
          <w:p w:rsidR="005D5D3C" w:rsidRPr="007613E5" w:rsidRDefault="005D5D3C" w:rsidP="007613E5">
            <w:pPr>
              <w:rPr>
                <w:rFonts w:ascii="Century Gothic" w:hAnsi="Century Gothic" w:cs="Times New Roman"/>
                <w:noProof/>
                <w:sz w:val="22"/>
                <w:szCs w:val="22"/>
              </w:rPr>
            </w:pPr>
            <w:r w:rsidRPr="007613E5">
              <w:rPr>
                <w:rFonts w:ascii="Century Gothic" w:hAnsi="Century Gothic" w:cs="Times New Roman"/>
                <w:noProof/>
                <w:sz w:val="22"/>
                <w:szCs w:val="22"/>
              </w:rPr>
              <w:t>Tobón Tobón, S., González, L., Nambo, J., &amp; Vázquez Antonio, J.</w:t>
            </w:r>
          </w:p>
          <w:p w:rsidR="005D5D3C" w:rsidRPr="007613E5" w:rsidRDefault="005D5D3C" w:rsidP="007613E5">
            <w:pPr>
              <w:rPr>
                <w:rFonts w:ascii="Century Gothic" w:hAnsi="Century Gothic" w:cs="Times New Roman"/>
                <w:noProof/>
                <w:sz w:val="22"/>
                <w:szCs w:val="22"/>
              </w:rPr>
            </w:pPr>
            <w:r w:rsidRPr="007613E5">
              <w:rPr>
                <w:rFonts w:ascii="Century Gothic" w:hAnsi="Century Gothic" w:cs="Times New Roman"/>
                <w:noProof/>
                <w:sz w:val="22"/>
                <w:szCs w:val="22"/>
              </w:rPr>
              <w:t>Vázquez-Cano, E., López Meneses, E., &amp; Martín Padilla, A. H.</w:t>
            </w:r>
          </w:p>
          <w:p w:rsidR="005D5D3C" w:rsidRPr="007613E5" w:rsidRDefault="005D5D3C" w:rsidP="007613E5">
            <w:pPr>
              <w:rPr>
                <w:rFonts w:ascii="Century Gothic" w:hAnsi="Century Gothic" w:cs="Times New Roman"/>
                <w:noProof/>
                <w:sz w:val="22"/>
                <w:szCs w:val="22"/>
              </w:rPr>
            </w:pPr>
            <w:r w:rsidRPr="007613E5">
              <w:rPr>
                <w:rFonts w:ascii="Century Gothic" w:hAnsi="Century Gothic" w:cs="Times New Roman"/>
                <w:noProof/>
                <w:sz w:val="22"/>
                <w:szCs w:val="22"/>
              </w:rPr>
              <w:t>Vidales González, C.</w:t>
            </w:r>
          </w:p>
          <w:p w:rsidR="00543B3F" w:rsidRPr="000061B8" w:rsidRDefault="005D5D3C" w:rsidP="007613E5">
            <w:pPr>
              <w:rPr>
                <w:rFonts w:ascii="Century Gothic" w:hAnsi="Century Gothic" w:cs="Times New Roman"/>
                <w:noProof/>
                <w:sz w:val="22"/>
                <w:szCs w:val="22"/>
              </w:rPr>
            </w:pPr>
            <w:r w:rsidRPr="007613E5">
              <w:rPr>
                <w:rFonts w:ascii="Century Gothic" w:hAnsi="Century Gothic" w:cs="Times New Roman"/>
                <w:noProof/>
                <w:sz w:val="22"/>
                <w:szCs w:val="22"/>
              </w:rPr>
              <w:lastRenderedPageBreak/>
              <w:t>Zúñiga Meléndez, A., Leiton, R., &amp; Naranjo Rodríguez, J.</w:t>
            </w:r>
            <w:bookmarkStart w:id="1" w:name="_GoBack"/>
            <w:bookmarkEnd w:id="1"/>
          </w:p>
        </w:tc>
      </w:tr>
    </w:tbl>
    <w:p w:rsidR="0072533C" w:rsidRPr="007613E5" w:rsidRDefault="0072533C" w:rsidP="007613E5">
      <w:pPr>
        <w:rPr>
          <w:rFonts w:ascii="Century Gothic" w:hAnsi="Century Gothic" w:cs="Times New Roman"/>
          <w:sz w:val="22"/>
          <w:szCs w:val="22"/>
          <w:lang w:val="es-ES"/>
        </w:rPr>
      </w:pPr>
    </w:p>
    <w:sectPr w:rsidR="0072533C" w:rsidRPr="007613E5" w:rsidSect="00FF71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C88"/>
    <w:multiLevelType w:val="hybridMultilevel"/>
    <w:tmpl w:val="268C3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AD02B9"/>
    <w:multiLevelType w:val="hybridMultilevel"/>
    <w:tmpl w:val="5616E76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E3"/>
    <w:rsid w:val="000061B8"/>
    <w:rsid w:val="00032E2E"/>
    <w:rsid w:val="00045A73"/>
    <w:rsid w:val="000C5901"/>
    <w:rsid w:val="00174AFF"/>
    <w:rsid w:val="001879A1"/>
    <w:rsid w:val="0020799F"/>
    <w:rsid w:val="0022663D"/>
    <w:rsid w:val="002F1705"/>
    <w:rsid w:val="002F2129"/>
    <w:rsid w:val="00302130"/>
    <w:rsid w:val="00367468"/>
    <w:rsid w:val="003D270E"/>
    <w:rsid w:val="00447C01"/>
    <w:rsid w:val="004922E3"/>
    <w:rsid w:val="004E0923"/>
    <w:rsid w:val="00543B3F"/>
    <w:rsid w:val="00585D5E"/>
    <w:rsid w:val="005D49E3"/>
    <w:rsid w:val="005D5D3C"/>
    <w:rsid w:val="00605EDD"/>
    <w:rsid w:val="00615323"/>
    <w:rsid w:val="00623E36"/>
    <w:rsid w:val="00654C4B"/>
    <w:rsid w:val="006576DE"/>
    <w:rsid w:val="0072533C"/>
    <w:rsid w:val="00751D46"/>
    <w:rsid w:val="007613E5"/>
    <w:rsid w:val="007C40BB"/>
    <w:rsid w:val="00812565"/>
    <w:rsid w:val="0089191D"/>
    <w:rsid w:val="00906FDA"/>
    <w:rsid w:val="009220BE"/>
    <w:rsid w:val="0095418C"/>
    <w:rsid w:val="00981F7C"/>
    <w:rsid w:val="00996623"/>
    <w:rsid w:val="00A12F46"/>
    <w:rsid w:val="00A1325C"/>
    <w:rsid w:val="00AC264F"/>
    <w:rsid w:val="00B83D17"/>
    <w:rsid w:val="00BB2B66"/>
    <w:rsid w:val="00BB2BDD"/>
    <w:rsid w:val="00C25F00"/>
    <w:rsid w:val="00C53CED"/>
    <w:rsid w:val="00CD4058"/>
    <w:rsid w:val="00D24C38"/>
    <w:rsid w:val="00D261F0"/>
    <w:rsid w:val="00D65286"/>
    <w:rsid w:val="00DB6B2A"/>
    <w:rsid w:val="00DC32CF"/>
    <w:rsid w:val="00E4170D"/>
    <w:rsid w:val="00E87887"/>
    <w:rsid w:val="00EA2BBE"/>
    <w:rsid w:val="00F06AB3"/>
    <w:rsid w:val="00F33179"/>
    <w:rsid w:val="00F703A3"/>
    <w:rsid w:val="00F70B9B"/>
    <w:rsid w:val="00FB1100"/>
    <w:rsid w:val="00FF71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B25ED15"/>
  <w14:defaultImageDpi w14:val="32767"/>
  <w15:chartTrackingRefBased/>
  <w15:docId w15:val="{8A1F7439-8AC8-A24A-886D-2D2558F8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LARTCULO">
    <w:name w:val="TÍTULO DEL ARTÍCULO"/>
    <w:basedOn w:val="Normal"/>
    <w:link w:val="TTULODELARTCULOCar"/>
    <w:qFormat/>
    <w:rsid w:val="005D49E3"/>
    <w:pPr>
      <w:spacing w:line="360" w:lineRule="auto"/>
      <w:jc w:val="center"/>
    </w:pPr>
    <w:rPr>
      <w:rFonts w:ascii="Century Gothic" w:hAnsi="Century Gothic"/>
      <w:b/>
      <w:sz w:val="28"/>
      <w:szCs w:val="28"/>
      <w:lang w:val="es-ES"/>
    </w:rPr>
  </w:style>
  <w:style w:type="character" w:customStyle="1" w:styleId="TTULODELARTCULOCar">
    <w:name w:val="TÍTULO DEL ARTÍCULO Car"/>
    <w:basedOn w:val="Fuentedeprrafopredeter"/>
    <w:link w:val="TTULODELARTCULO"/>
    <w:rsid w:val="005D49E3"/>
    <w:rPr>
      <w:rFonts w:ascii="Century Gothic" w:hAnsi="Century Gothic"/>
      <w:b/>
      <w:sz w:val="28"/>
      <w:szCs w:val="28"/>
      <w:lang w:val="es-ES"/>
    </w:rPr>
  </w:style>
  <w:style w:type="table" w:styleId="Tablaconcuadrcula">
    <w:name w:val="Table Grid"/>
    <w:basedOn w:val="Tablanormal"/>
    <w:uiPriority w:val="39"/>
    <w:rsid w:val="0072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2533C"/>
    <w:rPr>
      <w:sz w:val="16"/>
      <w:szCs w:val="16"/>
    </w:rPr>
  </w:style>
  <w:style w:type="paragraph" w:styleId="Textocomentario">
    <w:name w:val="annotation text"/>
    <w:basedOn w:val="Normal"/>
    <w:link w:val="TextocomentarioCar"/>
    <w:uiPriority w:val="99"/>
    <w:semiHidden/>
    <w:unhideWhenUsed/>
    <w:rsid w:val="0072533C"/>
    <w:rPr>
      <w:sz w:val="20"/>
      <w:szCs w:val="20"/>
    </w:rPr>
  </w:style>
  <w:style w:type="character" w:customStyle="1" w:styleId="TextocomentarioCar">
    <w:name w:val="Texto comentario Car"/>
    <w:basedOn w:val="Fuentedeprrafopredeter"/>
    <w:link w:val="Textocomentario"/>
    <w:uiPriority w:val="99"/>
    <w:semiHidden/>
    <w:rsid w:val="0072533C"/>
    <w:rPr>
      <w:sz w:val="20"/>
      <w:szCs w:val="20"/>
    </w:rPr>
  </w:style>
  <w:style w:type="paragraph" w:styleId="Asuntodelcomentario">
    <w:name w:val="annotation subject"/>
    <w:basedOn w:val="Textocomentario"/>
    <w:next w:val="Textocomentario"/>
    <w:link w:val="AsuntodelcomentarioCar"/>
    <w:uiPriority w:val="99"/>
    <w:semiHidden/>
    <w:unhideWhenUsed/>
    <w:rsid w:val="0072533C"/>
    <w:rPr>
      <w:b/>
      <w:bCs/>
    </w:rPr>
  </w:style>
  <w:style w:type="character" w:customStyle="1" w:styleId="AsuntodelcomentarioCar">
    <w:name w:val="Asunto del comentario Car"/>
    <w:basedOn w:val="TextocomentarioCar"/>
    <w:link w:val="Asuntodelcomentario"/>
    <w:uiPriority w:val="99"/>
    <w:semiHidden/>
    <w:rsid w:val="0072533C"/>
    <w:rPr>
      <w:b/>
      <w:bCs/>
      <w:sz w:val="20"/>
      <w:szCs w:val="20"/>
    </w:rPr>
  </w:style>
  <w:style w:type="paragraph" w:styleId="Textodeglobo">
    <w:name w:val="Balloon Text"/>
    <w:basedOn w:val="Normal"/>
    <w:link w:val="TextodegloboCar"/>
    <w:uiPriority w:val="99"/>
    <w:semiHidden/>
    <w:unhideWhenUsed/>
    <w:rsid w:val="0072533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2533C"/>
    <w:rPr>
      <w:rFonts w:ascii="Times New Roman" w:hAnsi="Times New Roman" w:cs="Times New Roman"/>
      <w:sz w:val="18"/>
      <w:szCs w:val="18"/>
    </w:rPr>
  </w:style>
  <w:style w:type="paragraph" w:customStyle="1" w:styleId="TEXTOSARTICULOS">
    <w:name w:val="TEXTOS ARTICULOS"/>
    <w:basedOn w:val="Normal"/>
    <w:link w:val="TEXTOSARTICULOSCar"/>
    <w:qFormat/>
    <w:rsid w:val="00A12F46"/>
    <w:pPr>
      <w:spacing w:line="360" w:lineRule="auto"/>
    </w:pPr>
    <w:rPr>
      <w:rFonts w:ascii="Century Gothic" w:hAnsi="Century Gothic"/>
      <w:sz w:val="22"/>
      <w:szCs w:val="22"/>
      <w:lang w:val="en-GB"/>
    </w:rPr>
  </w:style>
  <w:style w:type="character" w:customStyle="1" w:styleId="TEXTOSARTICULOSCar">
    <w:name w:val="TEXTOS ARTICULOS Car"/>
    <w:basedOn w:val="Fuentedeprrafopredeter"/>
    <w:link w:val="TEXTOSARTICULOS"/>
    <w:rsid w:val="00A12F46"/>
    <w:rPr>
      <w:rFonts w:ascii="Century Gothic" w:hAnsi="Century Gothic"/>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5644</Words>
  <Characters>31048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dc:creator>
  <cp:keywords/>
  <dc:description/>
  <cp:lastModifiedBy>AEN</cp:lastModifiedBy>
  <cp:revision>2</cp:revision>
  <dcterms:created xsi:type="dcterms:W3CDTF">2019-12-16T06:14:00Z</dcterms:created>
  <dcterms:modified xsi:type="dcterms:W3CDTF">2019-12-16T06:14:00Z</dcterms:modified>
</cp:coreProperties>
</file>