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0855" w:rsidRPr="006A38E2" w:rsidRDefault="00A40855" w:rsidP="00A40855">
      <w:pPr>
        <w:rPr>
          <w:smallCaps/>
        </w:rPr>
      </w:pPr>
      <w:bookmarkStart w:id="0" w:name="_GoBack"/>
      <w:bookmarkEnd w:id="0"/>
      <w:r w:rsidRPr="006A38E2">
        <w:rPr>
          <w:smallCaps/>
        </w:rPr>
        <w:t>Anexo  1.  genealogías. Fuentes y bibliografía.</w:t>
      </w:r>
    </w:p>
    <w:p w:rsidR="00A40855" w:rsidRPr="00587DE3" w:rsidRDefault="00A40855" w:rsidP="00A40855">
      <w:pPr>
        <w:rPr>
          <w:smallCaps/>
        </w:rPr>
      </w:pPr>
    </w:p>
    <w:p w:rsidR="00A40855" w:rsidRPr="00587DE3" w:rsidRDefault="00A40855" w:rsidP="00A40855">
      <w:pPr>
        <w:pStyle w:val="Prrafodelista"/>
        <w:numPr>
          <w:ilvl w:val="0"/>
          <w:numId w:val="1"/>
        </w:numPr>
        <w:rPr>
          <w:rFonts w:eastAsiaTheme="minorEastAsia"/>
          <w:color w:val="000000" w:themeColor="text1"/>
          <w:lang w:eastAsia="es-ES"/>
        </w:rPr>
      </w:pPr>
      <w:r w:rsidRPr="00587DE3">
        <w:rPr>
          <w:rFonts w:eastAsiaTheme="minorEastAsia"/>
          <w:color w:val="000000" w:themeColor="text1"/>
          <w:lang w:eastAsia="es-ES"/>
        </w:rPr>
        <w:t xml:space="preserve">Lámina 1. Linaje Las Casas </w:t>
      </w:r>
    </w:p>
    <w:p w:rsidR="00A40855" w:rsidRPr="00587DE3" w:rsidRDefault="00A40855" w:rsidP="00A40855">
      <w:pPr>
        <w:pStyle w:val="Prrafodelista"/>
      </w:pPr>
      <w:r w:rsidRPr="00587DE3">
        <w:t xml:space="preserve">SÁNCHEZ SAUS, R., </w:t>
      </w:r>
      <w:r w:rsidRPr="00587DE3">
        <w:rPr>
          <w:i/>
          <w:iCs/>
        </w:rPr>
        <w:t>Linajes sevillanos medievales</w:t>
      </w:r>
      <w:r w:rsidRPr="00587DE3">
        <w:t>. Sevilla, 1996, t. I, pp. 65-71, y t. II, p. 356.</w:t>
      </w:r>
    </w:p>
    <w:p w:rsidR="00A40855" w:rsidRPr="00587DE3" w:rsidRDefault="00A40855" w:rsidP="00A40855">
      <w:pPr>
        <w:pStyle w:val="Prrafodelista"/>
      </w:pPr>
    </w:p>
    <w:p w:rsidR="00A40855" w:rsidRPr="00587DE3" w:rsidRDefault="00A40855" w:rsidP="00A40855">
      <w:pPr>
        <w:pStyle w:val="Prrafodelista"/>
        <w:numPr>
          <w:ilvl w:val="0"/>
          <w:numId w:val="1"/>
        </w:numPr>
        <w:rPr>
          <w:rFonts w:eastAsiaTheme="minorEastAsia"/>
          <w:color w:val="000000" w:themeColor="text1"/>
          <w:lang w:eastAsia="es-ES"/>
        </w:rPr>
      </w:pPr>
      <w:r w:rsidRPr="00587DE3">
        <w:rPr>
          <w:rFonts w:eastAsiaTheme="minorEastAsia"/>
          <w:color w:val="000000" w:themeColor="text1"/>
          <w:lang w:eastAsia="es-ES"/>
        </w:rPr>
        <w:t>Lámina 2. Linaje Figueredo</w:t>
      </w:r>
    </w:p>
    <w:p w:rsidR="00A40855" w:rsidRPr="00587DE3" w:rsidRDefault="00A40855" w:rsidP="00A40855">
      <w:pPr>
        <w:pStyle w:val="Prrafodelista"/>
      </w:pPr>
      <w:r w:rsidRPr="00587DE3">
        <w:t xml:space="preserve">AUÑÓN Y VILLALÓN, R., </w:t>
      </w:r>
      <w:r w:rsidRPr="00587DE3">
        <w:rPr>
          <w:i/>
          <w:iCs/>
        </w:rPr>
        <w:t>El gran alcaide de Morón Diego de Figueredo en el último tercio del siglo XV</w:t>
      </w:r>
      <w:r w:rsidRPr="00587DE3">
        <w:t>. Madrid, 1916.</w:t>
      </w:r>
    </w:p>
    <w:p w:rsidR="00A40855" w:rsidRPr="00587DE3" w:rsidRDefault="00A40855" w:rsidP="00A40855">
      <w:pPr>
        <w:pStyle w:val="Prrafodelista"/>
      </w:pPr>
      <w:r w:rsidRPr="00587DE3">
        <w:t>Salazar y Castro, 9/307, fol. 113. Tabla genealógica de la familia de Figueredo, señores de Villamayor.</w:t>
      </w:r>
    </w:p>
    <w:p w:rsidR="00A40855" w:rsidRPr="00587DE3" w:rsidRDefault="00A40855" w:rsidP="00A40855">
      <w:pPr>
        <w:pStyle w:val="Prrafodelista"/>
        <w:rPr>
          <w:color w:val="000000" w:themeColor="text1"/>
        </w:rPr>
      </w:pPr>
      <w:r w:rsidRPr="00587DE3">
        <w:rPr>
          <w:color w:val="000000" w:themeColor="text1"/>
        </w:rPr>
        <w:t xml:space="preserve">VILLAFAÑE, J., </w:t>
      </w:r>
      <w:r w:rsidRPr="00587DE3">
        <w:rPr>
          <w:i/>
          <w:color w:val="000000" w:themeColor="text1"/>
        </w:rPr>
        <w:t>La limosnera de Dios.</w:t>
      </w:r>
      <w:r w:rsidRPr="00587DE3">
        <w:rPr>
          <w:color w:val="000000" w:themeColor="text1"/>
        </w:rPr>
        <w:t xml:space="preserve"> </w:t>
      </w:r>
      <w:r w:rsidRPr="00587DE3">
        <w:rPr>
          <w:i/>
          <w:iCs/>
          <w:color w:val="000000" w:themeColor="text1"/>
        </w:rPr>
        <w:t>Relación, historia de la vida y virtudes de la excelentísima señora doña Magdalena de Ulloa Toledo Ossorio y Quiñonez, mujer del excelentísimo señor Luis Méndez Quixada</w:t>
      </w:r>
      <w:r w:rsidRPr="00587DE3">
        <w:rPr>
          <w:color w:val="000000" w:themeColor="text1"/>
        </w:rPr>
        <w:t>. Salamanca, 1723, p. 14.</w:t>
      </w:r>
    </w:p>
    <w:p w:rsidR="00A40855" w:rsidRPr="00587DE3" w:rsidRDefault="00A40855" w:rsidP="00A40855">
      <w:pPr>
        <w:pStyle w:val="Prrafodelista"/>
        <w:rPr>
          <w:rFonts w:eastAsiaTheme="minorEastAsia"/>
          <w:color w:val="000000" w:themeColor="text1"/>
          <w:lang w:eastAsia="es-ES"/>
        </w:rPr>
      </w:pPr>
    </w:p>
    <w:p w:rsidR="00A40855" w:rsidRPr="00587DE3" w:rsidRDefault="00A40855" w:rsidP="00A40855">
      <w:pPr>
        <w:pStyle w:val="Prrafodelista"/>
        <w:numPr>
          <w:ilvl w:val="0"/>
          <w:numId w:val="1"/>
        </w:numPr>
        <w:rPr>
          <w:rFonts w:eastAsiaTheme="minorEastAsia"/>
          <w:color w:val="000000" w:themeColor="text1"/>
          <w:lang w:eastAsia="es-ES"/>
        </w:rPr>
      </w:pPr>
      <w:r w:rsidRPr="00587DE3">
        <w:rPr>
          <w:rFonts w:eastAsiaTheme="minorEastAsia"/>
          <w:color w:val="000000" w:themeColor="text1"/>
          <w:lang w:eastAsia="es-ES"/>
        </w:rPr>
        <w:t>Lámina 3. Linaje Jaraba-Castillejo</w:t>
      </w:r>
    </w:p>
    <w:p w:rsidR="00A40855" w:rsidRPr="00587DE3" w:rsidRDefault="00A40855" w:rsidP="00A40855">
      <w:pPr>
        <w:pStyle w:val="Prrafodelista"/>
      </w:pPr>
      <w:r>
        <w:t>ANMF</w:t>
      </w:r>
      <w:r w:rsidRPr="00587DE3">
        <w:t>, Leg. 238, fol. 227r.</w:t>
      </w:r>
    </w:p>
    <w:p w:rsidR="00A40855" w:rsidRPr="00587DE3" w:rsidRDefault="00A40855" w:rsidP="00A40855">
      <w:pPr>
        <w:pStyle w:val="Prrafodelista"/>
      </w:pPr>
      <w:r w:rsidRPr="00587DE3">
        <w:t>ARCG, caja 5092, pieza 47; caja 4501, pieza 7; caja 4870, pieza 13; caja 4870, pieza 37; caja 4692, pieza 210; caja 5091, pieza 396</w:t>
      </w:r>
    </w:p>
    <w:p w:rsidR="00A40855" w:rsidRPr="00587DE3" w:rsidRDefault="00A40855" w:rsidP="00A40855">
      <w:pPr>
        <w:pStyle w:val="Prrafodelista"/>
        <w:rPr>
          <w:rFonts w:eastAsiaTheme="minorEastAsia"/>
          <w:color w:val="000000" w:themeColor="text1"/>
          <w:lang w:eastAsia="es-ES"/>
        </w:rPr>
      </w:pPr>
    </w:p>
    <w:p w:rsidR="00A40855" w:rsidRPr="00587DE3" w:rsidRDefault="00A40855" w:rsidP="00A40855">
      <w:pPr>
        <w:pStyle w:val="Prrafodelista"/>
        <w:numPr>
          <w:ilvl w:val="0"/>
          <w:numId w:val="1"/>
        </w:numPr>
        <w:rPr>
          <w:rFonts w:eastAsiaTheme="minorEastAsia"/>
          <w:color w:val="000000" w:themeColor="text1"/>
          <w:lang w:eastAsia="es-ES"/>
        </w:rPr>
      </w:pPr>
      <w:r w:rsidRPr="00587DE3">
        <w:rPr>
          <w:rFonts w:eastAsiaTheme="minorEastAsia"/>
          <w:color w:val="000000" w:themeColor="text1"/>
          <w:lang w:eastAsia="es-ES"/>
        </w:rPr>
        <w:t>Lámina 4. Linaje Orellana.</w:t>
      </w:r>
    </w:p>
    <w:p w:rsidR="00A40855" w:rsidRPr="00587DE3" w:rsidRDefault="00A40855" w:rsidP="00A40855">
      <w:pPr>
        <w:pStyle w:val="Prrafodelista"/>
      </w:pPr>
      <w:r w:rsidRPr="00587DE3">
        <w:t xml:space="preserve">AUÑÓN Y PONCE DE LEÓN, L., “Linajes de Morón. Los Orellana”, en </w:t>
      </w:r>
      <w:r w:rsidRPr="00587DE3">
        <w:rPr>
          <w:i/>
          <w:iCs/>
        </w:rPr>
        <w:t>Revista de Morón</w:t>
      </w:r>
      <w:r w:rsidRPr="00587DE3">
        <w:t>, t. III, n. 29, p. 113.</w:t>
      </w:r>
    </w:p>
    <w:p w:rsidR="00A40855" w:rsidRPr="00587DE3" w:rsidRDefault="00A40855" w:rsidP="00A40855">
      <w:pPr>
        <w:pStyle w:val="Prrafodelista"/>
      </w:pPr>
      <w:r w:rsidRPr="00587DE3">
        <w:t xml:space="preserve">BOHÓRQUEZ VILLALÓN, A., </w:t>
      </w:r>
      <w:r w:rsidRPr="00587DE3">
        <w:rPr>
          <w:i/>
          <w:iCs/>
        </w:rPr>
        <w:t xml:space="preserve">Anales de Morón </w:t>
      </w:r>
      <w:r w:rsidRPr="00587DE3">
        <w:t>(edit. Pascual Barea). Universidad de Cádiz, 1994, cap. 16, p. 49.</w:t>
      </w:r>
    </w:p>
    <w:p w:rsidR="00A40855" w:rsidRPr="00587DE3" w:rsidRDefault="00A40855" w:rsidP="00A40855">
      <w:pPr>
        <w:pStyle w:val="Prrafodelista"/>
      </w:pPr>
      <w:r w:rsidRPr="00587DE3">
        <w:t xml:space="preserve">SANTA CRUZ Y MALLÉN, F.X., </w:t>
      </w:r>
      <w:r w:rsidRPr="00587DE3">
        <w:rPr>
          <w:i/>
          <w:iCs/>
        </w:rPr>
        <w:t>Historia de familias cubanas</w:t>
      </w:r>
      <w:r w:rsidRPr="00587DE3">
        <w:t>, vol. 7. Edit. Hércules, vol. 7, pp. 29-30.</w:t>
      </w:r>
    </w:p>
    <w:p w:rsidR="00A40855" w:rsidRPr="00587DE3" w:rsidRDefault="00A40855" w:rsidP="00A40855">
      <w:pPr>
        <w:pStyle w:val="Prrafodelista"/>
      </w:pPr>
    </w:p>
    <w:p w:rsidR="00A40855" w:rsidRPr="00587DE3" w:rsidRDefault="00A40855" w:rsidP="00A40855">
      <w:pPr>
        <w:pStyle w:val="Prrafodelista"/>
        <w:numPr>
          <w:ilvl w:val="0"/>
          <w:numId w:val="1"/>
        </w:numPr>
        <w:rPr>
          <w:rFonts w:eastAsiaTheme="minorEastAsia"/>
          <w:color w:val="000000" w:themeColor="text1"/>
          <w:lang w:eastAsia="es-ES"/>
        </w:rPr>
      </w:pPr>
      <w:r w:rsidRPr="00587DE3">
        <w:rPr>
          <w:rFonts w:eastAsiaTheme="minorEastAsia"/>
          <w:color w:val="000000" w:themeColor="text1"/>
          <w:lang w:eastAsia="es-ES"/>
        </w:rPr>
        <w:t>Lámina 5. Linaje Perea.</w:t>
      </w:r>
    </w:p>
    <w:p w:rsidR="00A40855" w:rsidRPr="00587DE3" w:rsidRDefault="00A40855" w:rsidP="00A40855">
      <w:pPr>
        <w:pStyle w:val="Prrafodelista"/>
      </w:pPr>
      <w:r w:rsidRPr="00587DE3">
        <w:t xml:space="preserve">MORENO DE GUERRA, J., “Los Ponce de León”, en </w:t>
      </w:r>
      <w:r w:rsidRPr="00587DE3">
        <w:rPr>
          <w:i/>
          <w:iCs/>
        </w:rPr>
        <w:t>Revista de Historia y Genealogía española</w:t>
      </w:r>
      <w:r w:rsidRPr="00587DE3">
        <w:t>, t. 1, 1912, pp. 472-481, 511-520, 543-560 y 573.</w:t>
      </w:r>
    </w:p>
    <w:p w:rsidR="00A40855" w:rsidRPr="00587DE3" w:rsidRDefault="00A40855" w:rsidP="00A40855">
      <w:pPr>
        <w:pStyle w:val="Prrafodelista"/>
      </w:pPr>
      <w:r w:rsidRPr="00587DE3">
        <w:t xml:space="preserve">SÁNCHEZ SAUS, R., </w:t>
      </w:r>
      <w:r w:rsidRPr="00587DE3">
        <w:rPr>
          <w:i/>
          <w:iCs/>
        </w:rPr>
        <w:t>Linajes medievales de Jerez de la Frontera</w:t>
      </w:r>
      <w:r w:rsidRPr="00587DE3">
        <w:t>. Sevilla, 1996, t. I, p. 143, y t. II, p. 290.</w:t>
      </w:r>
    </w:p>
    <w:p w:rsidR="00A40855" w:rsidRPr="00587DE3" w:rsidRDefault="00A40855" w:rsidP="00A40855">
      <w:pPr>
        <w:pStyle w:val="Prrafodelista"/>
        <w:rPr>
          <w:rFonts w:eastAsiaTheme="minorEastAsia"/>
          <w:color w:val="000000" w:themeColor="text1"/>
          <w:lang w:eastAsia="es-ES"/>
        </w:rPr>
      </w:pPr>
    </w:p>
    <w:p w:rsidR="00A40855" w:rsidRPr="00587DE3" w:rsidRDefault="00A40855" w:rsidP="00A40855">
      <w:pPr>
        <w:pStyle w:val="Prrafodelista"/>
        <w:numPr>
          <w:ilvl w:val="0"/>
          <w:numId w:val="1"/>
        </w:numPr>
        <w:rPr>
          <w:rFonts w:eastAsiaTheme="minorEastAsia"/>
          <w:color w:val="000000" w:themeColor="text1"/>
          <w:lang w:eastAsia="es-ES"/>
        </w:rPr>
      </w:pPr>
      <w:r w:rsidRPr="00587DE3">
        <w:rPr>
          <w:rFonts w:eastAsiaTheme="minorEastAsia"/>
          <w:color w:val="000000" w:themeColor="text1"/>
          <w:lang w:eastAsia="es-ES"/>
        </w:rPr>
        <w:t>Lámina 6. Líneas Tenorio, Lobato y Portillo.</w:t>
      </w:r>
    </w:p>
    <w:p w:rsidR="00A40855" w:rsidRPr="00587DE3" w:rsidRDefault="00A40855" w:rsidP="00A40855">
      <w:pPr>
        <w:pStyle w:val="Prrafodelista"/>
      </w:pPr>
      <w:r w:rsidRPr="00587DE3">
        <w:t xml:space="preserve">PLATA Y NIETO, J., “Linajes de Morón de la Fra. Los Lobato”, en Revista de Morón, vol. II, nº 13 y 14, y del mismo autor “Cuadro genealógico de los Tenorio, con quienes enlaza Sancho García Lobato”, en Revista de Morón, vol. II, nº 16. </w:t>
      </w:r>
    </w:p>
    <w:p w:rsidR="00A40855" w:rsidRPr="00587DE3" w:rsidRDefault="00A40855" w:rsidP="00A40855">
      <w:pPr>
        <w:pStyle w:val="Prrafodelista"/>
      </w:pPr>
      <w:r w:rsidRPr="00587DE3">
        <w:t xml:space="preserve">BALBUENA, </w:t>
      </w:r>
      <w:r w:rsidRPr="00587DE3">
        <w:rPr>
          <w:i/>
        </w:rPr>
        <w:t>Genealogías</w:t>
      </w:r>
      <w:r w:rsidRPr="00587DE3">
        <w:t xml:space="preserve">, t. II, fol. 26. </w:t>
      </w:r>
    </w:p>
    <w:p w:rsidR="00A40855" w:rsidRPr="00587DE3" w:rsidRDefault="00A40855" w:rsidP="00A40855">
      <w:pPr>
        <w:pStyle w:val="Prrafodelista"/>
      </w:pPr>
    </w:p>
    <w:p w:rsidR="00A40855" w:rsidRPr="00587DE3" w:rsidRDefault="00A40855" w:rsidP="00A40855">
      <w:pPr>
        <w:pStyle w:val="Prrafodelista"/>
        <w:numPr>
          <w:ilvl w:val="0"/>
          <w:numId w:val="1"/>
        </w:numPr>
        <w:rPr>
          <w:rFonts w:eastAsiaTheme="minorEastAsia"/>
          <w:color w:val="000000" w:themeColor="text1"/>
          <w:lang w:eastAsia="es-ES"/>
        </w:rPr>
      </w:pPr>
      <w:r w:rsidRPr="00587DE3">
        <w:rPr>
          <w:rFonts w:eastAsiaTheme="minorEastAsia"/>
          <w:color w:val="000000" w:themeColor="text1"/>
          <w:lang w:eastAsia="es-ES"/>
        </w:rPr>
        <w:t xml:space="preserve">Lámina </w:t>
      </w:r>
      <w:r>
        <w:rPr>
          <w:rFonts w:eastAsiaTheme="minorEastAsia"/>
          <w:color w:val="000000" w:themeColor="text1"/>
          <w:lang w:eastAsia="es-ES"/>
        </w:rPr>
        <w:t>7</w:t>
      </w:r>
      <w:r w:rsidRPr="00587DE3">
        <w:rPr>
          <w:rFonts w:eastAsiaTheme="minorEastAsia"/>
          <w:color w:val="000000" w:themeColor="text1"/>
          <w:lang w:eastAsia="es-ES"/>
        </w:rPr>
        <w:t>. Linaje Vázquez Orejón.</w:t>
      </w:r>
    </w:p>
    <w:p w:rsidR="00A40855" w:rsidRPr="00587DE3" w:rsidRDefault="00A40855" w:rsidP="00A40855">
      <w:pPr>
        <w:pStyle w:val="Prrafodelista"/>
      </w:pPr>
      <w:r w:rsidRPr="00587DE3">
        <w:t>ARCG, caja 4744, pieza 17; caja 5091, pieza 496; caja 4826, pieza 4.</w:t>
      </w:r>
    </w:p>
    <w:p w:rsidR="00A40855" w:rsidRPr="00587DE3" w:rsidRDefault="00A40855" w:rsidP="00A40855">
      <w:pPr>
        <w:pStyle w:val="Prrafodelista"/>
      </w:pPr>
      <w:r w:rsidRPr="00587DE3">
        <w:t xml:space="preserve">MORENO DE GUERRA, J., “Del alcaide de Olvera Juan Vázquez Orejón y su descendencia”, en </w:t>
      </w:r>
      <w:r w:rsidRPr="00587DE3">
        <w:rPr>
          <w:i/>
          <w:iCs/>
        </w:rPr>
        <w:t>Revista de Morón</w:t>
      </w:r>
      <w:r w:rsidRPr="00587DE3">
        <w:t xml:space="preserve">, t. III, nº 27; t. III, nº 28; t. III, nº 35 y t. IV, nº 37.   </w:t>
      </w:r>
    </w:p>
    <w:p w:rsidR="00A40855" w:rsidRPr="00587DE3" w:rsidRDefault="00A40855" w:rsidP="00A40855">
      <w:pPr>
        <w:pStyle w:val="Prrafodelista"/>
        <w:rPr>
          <w:rFonts w:eastAsiaTheme="minorEastAsia"/>
          <w:color w:val="000000" w:themeColor="text1"/>
          <w:lang w:eastAsia="es-ES"/>
        </w:rPr>
      </w:pPr>
    </w:p>
    <w:p w:rsidR="00A40855" w:rsidRPr="00587DE3" w:rsidRDefault="00A40855" w:rsidP="00A40855">
      <w:pPr>
        <w:pStyle w:val="Prrafodelista"/>
        <w:numPr>
          <w:ilvl w:val="0"/>
          <w:numId w:val="1"/>
        </w:numPr>
        <w:rPr>
          <w:rFonts w:eastAsiaTheme="minorEastAsia"/>
          <w:color w:val="000000" w:themeColor="text1"/>
          <w:lang w:eastAsia="es-ES"/>
        </w:rPr>
      </w:pPr>
      <w:r w:rsidRPr="00587DE3">
        <w:rPr>
          <w:rFonts w:eastAsiaTheme="minorEastAsia"/>
          <w:color w:val="000000" w:themeColor="text1"/>
          <w:lang w:eastAsia="es-ES"/>
        </w:rPr>
        <w:t xml:space="preserve">Lámina </w:t>
      </w:r>
      <w:r>
        <w:rPr>
          <w:rFonts w:eastAsiaTheme="minorEastAsia"/>
          <w:color w:val="000000" w:themeColor="text1"/>
          <w:lang w:eastAsia="es-ES"/>
        </w:rPr>
        <w:t>8</w:t>
      </w:r>
      <w:r w:rsidRPr="00587DE3">
        <w:rPr>
          <w:rFonts w:eastAsiaTheme="minorEastAsia"/>
          <w:color w:val="000000" w:themeColor="text1"/>
          <w:lang w:eastAsia="es-ES"/>
        </w:rPr>
        <w:t xml:space="preserve">. Linaje Villalón. </w:t>
      </w:r>
    </w:p>
    <w:p w:rsidR="00A40855" w:rsidRPr="00587DE3" w:rsidRDefault="00A40855" w:rsidP="00A40855">
      <w:pPr>
        <w:pStyle w:val="Prrafodelista"/>
      </w:pPr>
      <w:r>
        <w:t>ANMF</w:t>
      </w:r>
      <w:r w:rsidRPr="00587DE3">
        <w:t>., Leg. 237, fol. 253r.</w:t>
      </w:r>
    </w:p>
    <w:p w:rsidR="002D12EC" w:rsidRDefault="00A40855" w:rsidP="00A40855">
      <w:pPr>
        <w:pStyle w:val="Prrafodelista"/>
      </w:pPr>
      <w:r w:rsidRPr="00587DE3">
        <w:t xml:space="preserve">BOHÓRQUEZ VILLALÓN, A., </w:t>
      </w:r>
      <w:r w:rsidRPr="00587DE3">
        <w:rPr>
          <w:i/>
          <w:iCs/>
        </w:rPr>
        <w:t xml:space="preserve">Anales de Morón </w:t>
      </w:r>
      <w:r w:rsidRPr="00587DE3">
        <w:t>(edit. Pascual Barea).</w:t>
      </w:r>
      <w:r>
        <w:t xml:space="preserve"> </w:t>
      </w:r>
      <w:r w:rsidRPr="00587DE3">
        <w:t>Universidad de Cádiz, 1994, cap. 16, p. 12.</w:t>
      </w:r>
    </w:p>
    <w:sectPr w:rsidR="002D12EC" w:rsidSect="00FE5688">
      <w:footerReference w:type="even" r:id="rId7"/>
      <w:footerReference w:type="default" r:id="rId8"/>
      <w:pgSz w:w="11900" w:h="16840"/>
      <w:pgMar w:top="1417" w:right="1701" w:bottom="1417" w:left="1701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1BA2" w:rsidRDefault="00C81BA2" w:rsidP="00FE5688">
      <w:r>
        <w:separator/>
      </w:r>
    </w:p>
  </w:endnote>
  <w:endnote w:type="continuationSeparator" w:id="0">
    <w:p w:rsidR="00C81BA2" w:rsidRDefault="00C81BA2" w:rsidP="00FE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776543685"/>
      <w:docPartObj>
        <w:docPartGallery w:val="Page Numbers (Bottom of Page)"/>
        <w:docPartUnique/>
      </w:docPartObj>
    </w:sdtPr>
    <w:sdtContent>
      <w:p w:rsidR="00FE5688" w:rsidRDefault="00FE5688" w:rsidP="00EC511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FE5688" w:rsidRDefault="00FE5688" w:rsidP="00FE568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691684678"/>
      <w:docPartObj>
        <w:docPartGallery w:val="Page Numbers (Bottom of Page)"/>
        <w:docPartUnique/>
      </w:docPartObj>
    </w:sdtPr>
    <w:sdtContent>
      <w:p w:rsidR="00FE5688" w:rsidRDefault="00FE5688" w:rsidP="00EC511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30</w:t>
        </w:r>
        <w:r>
          <w:rPr>
            <w:rStyle w:val="Nmerodepgina"/>
          </w:rPr>
          <w:fldChar w:fldCharType="end"/>
        </w:r>
      </w:p>
    </w:sdtContent>
  </w:sdt>
  <w:p w:rsidR="00FE5688" w:rsidRDefault="00FE5688" w:rsidP="00FE568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1BA2" w:rsidRDefault="00C81BA2" w:rsidP="00FE5688">
      <w:r>
        <w:separator/>
      </w:r>
    </w:p>
  </w:footnote>
  <w:footnote w:type="continuationSeparator" w:id="0">
    <w:p w:rsidR="00C81BA2" w:rsidRDefault="00C81BA2" w:rsidP="00FE5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11870"/>
    <w:multiLevelType w:val="hybridMultilevel"/>
    <w:tmpl w:val="CF660B12"/>
    <w:lvl w:ilvl="0" w:tplc="E7FC2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F70EE"/>
    <w:multiLevelType w:val="hybridMultilevel"/>
    <w:tmpl w:val="86B8D17C"/>
    <w:lvl w:ilvl="0" w:tplc="E7FC2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55"/>
    <w:rsid w:val="00011F98"/>
    <w:rsid w:val="00012B1E"/>
    <w:rsid w:val="000256B0"/>
    <w:rsid w:val="00025D9C"/>
    <w:rsid w:val="00034964"/>
    <w:rsid w:val="00036BF4"/>
    <w:rsid w:val="00036E07"/>
    <w:rsid w:val="00036F1E"/>
    <w:rsid w:val="00040F5D"/>
    <w:rsid w:val="0004655E"/>
    <w:rsid w:val="00054C92"/>
    <w:rsid w:val="00060D7E"/>
    <w:rsid w:val="000615AE"/>
    <w:rsid w:val="00066F5A"/>
    <w:rsid w:val="000703FE"/>
    <w:rsid w:val="00070C51"/>
    <w:rsid w:val="00071B1F"/>
    <w:rsid w:val="00074E94"/>
    <w:rsid w:val="000824D4"/>
    <w:rsid w:val="00083F02"/>
    <w:rsid w:val="000963F4"/>
    <w:rsid w:val="000A73B5"/>
    <w:rsid w:val="000D60AD"/>
    <w:rsid w:val="000E09AC"/>
    <w:rsid w:val="000F0F8C"/>
    <w:rsid w:val="000F2B4D"/>
    <w:rsid w:val="00104746"/>
    <w:rsid w:val="00110E81"/>
    <w:rsid w:val="001216F7"/>
    <w:rsid w:val="00140EB2"/>
    <w:rsid w:val="001608C0"/>
    <w:rsid w:val="00172020"/>
    <w:rsid w:val="00172408"/>
    <w:rsid w:val="0017297A"/>
    <w:rsid w:val="00173953"/>
    <w:rsid w:val="00185A4D"/>
    <w:rsid w:val="00191B89"/>
    <w:rsid w:val="00194242"/>
    <w:rsid w:val="001967AD"/>
    <w:rsid w:val="00196E5B"/>
    <w:rsid w:val="001A79BA"/>
    <w:rsid w:val="001C413A"/>
    <w:rsid w:val="001C72CD"/>
    <w:rsid w:val="001D0435"/>
    <w:rsid w:val="001D4F95"/>
    <w:rsid w:val="001E4308"/>
    <w:rsid w:val="001E5962"/>
    <w:rsid w:val="001F172A"/>
    <w:rsid w:val="001F430B"/>
    <w:rsid w:val="00206276"/>
    <w:rsid w:val="002139C9"/>
    <w:rsid w:val="0021763D"/>
    <w:rsid w:val="0022350D"/>
    <w:rsid w:val="00230E60"/>
    <w:rsid w:val="002629F4"/>
    <w:rsid w:val="00263F01"/>
    <w:rsid w:val="00267F72"/>
    <w:rsid w:val="00292672"/>
    <w:rsid w:val="002B1BEB"/>
    <w:rsid w:val="002B4381"/>
    <w:rsid w:val="002B46EA"/>
    <w:rsid w:val="002C0DBE"/>
    <w:rsid w:val="002C2E7A"/>
    <w:rsid w:val="002D12EC"/>
    <w:rsid w:val="002D636C"/>
    <w:rsid w:val="002D698E"/>
    <w:rsid w:val="002E534F"/>
    <w:rsid w:val="002F112A"/>
    <w:rsid w:val="002F12F8"/>
    <w:rsid w:val="00305F73"/>
    <w:rsid w:val="00315CA0"/>
    <w:rsid w:val="00334053"/>
    <w:rsid w:val="00341170"/>
    <w:rsid w:val="0035721D"/>
    <w:rsid w:val="00365F49"/>
    <w:rsid w:val="00382323"/>
    <w:rsid w:val="00387032"/>
    <w:rsid w:val="0039357F"/>
    <w:rsid w:val="003951C3"/>
    <w:rsid w:val="003A24C2"/>
    <w:rsid w:val="003A402C"/>
    <w:rsid w:val="003A63DE"/>
    <w:rsid w:val="003B22E3"/>
    <w:rsid w:val="003B5669"/>
    <w:rsid w:val="003C16C9"/>
    <w:rsid w:val="003D795E"/>
    <w:rsid w:val="003E41FE"/>
    <w:rsid w:val="003E5FC1"/>
    <w:rsid w:val="00406CAE"/>
    <w:rsid w:val="00421689"/>
    <w:rsid w:val="00441C10"/>
    <w:rsid w:val="00456573"/>
    <w:rsid w:val="00472FC8"/>
    <w:rsid w:val="004851C1"/>
    <w:rsid w:val="004865F0"/>
    <w:rsid w:val="00487D60"/>
    <w:rsid w:val="0049187F"/>
    <w:rsid w:val="004A4B57"/>
    <w:rsid w:val="004D47CB"/>
    <w:rsid w:val="004D629B"/>
    <w:rsid w:val="004E75E1"/>
    <w:rsid w:val="005050FC"/>
    <w:rsid w:val="00516C10"/>
    <w:rsid w:val="00554F8C"/>
    <w:rsid w:val="005847F1"/>
    <w:rsid w:val="005857B8"/>
    <w:rsid w:val="005A1F20"/>
    <w:rsid w:val="005A500D"/>
    <w:rsid w:val="005A6D40"/>
    <w:rsid w:val="005C409F"/>
    <w:rsid w:val="005D1392"/>
    <w:rsid w:val="005E320A"/>
    <w:rsid w:val="005F3032"/>
    <w:rsid w:val="005F7539"/>
    <w:rsid w:val="006012CA"/>
    <w:rsid w:val="006062EB"/>
    <w:rsid w:val="00620E4E"/>
    <w:rsid w:val="006333A1"/>
    <w:rsid w:val="00655BBD"/>
    <w:rsid w:val="006626CF"/>
    <w:rsid w:val="00676F73"/>
    <w:rsid w:val="006A28DE"/>
    <w:rsid w:val="006A3717"/>
    <w:rsid w:val="006A4B0A"/>
    <w:rsid w:val="006B24E8"/>
    <w:rsid w:val="006B3E2E"/>
    <w:rsid w:val="006B5559"/>
    <w:rsid w:val="006B7398"/>
    <w:rsid w:val="00701BAA"/>
    <w:rsid w:val="00710640"/>
    <w:rsid w:val="0072766F"/>
    <w:rsid w:val="0073708C"/>
    <w:rsid w:val="007450B8"/>
    <w:rsid w:val="00747D81"/>
    <w:rsid w:val="00751159"/>
    <w:rsid w:val="0075342A"/>
    <w:rsid w:val="00754481"/>
    <w:rsid w:val="007559B5"/>
    <w:rsid w:val="007614ED"/>
    <w:rsid w:val="00761E47"/>
    <w:rsid w:val="0079047C"/>
    <w:rsid w:val="007A0FF1"/>
    <w:rsid w:val="007A150C"/>
    <w:rsid w:val="007A2B01"/>
    <w:rsid w:val="007B32E3"/>
    <w:rsid w:val="007E18D7"/>
    <w:rsid w:val="007E5B0B"/>
    <w:rsid w:val="00803F28"/>
    <w:rsid w:val="0080765D"/>
    <w:rsid w:val="00815529"/>
    <w:rsid w:val="008161F1"/>
    <w:rsid w:val="0082748F"/>
    <w:rsid w:val="00831BB1"/>
    <w:rsid w:val="008601EE"/>
    <w:rsid w:val="0086237A"/>
    <w:rsid w:val="0086483C"/>
    <w:rsid w:val="00866D09"/>
    <w:rsid w:val="00867CF7"/>
    <w:rsid w:val="00881CB5"/>
    <w:rsid w:val="00893528"/>
    <w:rsid w:val="00894713"/>
    <w:rsid w:val="0089527F"/>
    <w:rsid w:val="008B0F10"/>
    <w:rsid w:val="008B38D3"/>
    <w:rsid w:val="008C0331"/>
    <w:rsid w:val="008C38FA"/>
    <w:rsid w:val="008F409B"/>
    <w:rsid w:val="008F693E"/>
    <w:rsid w:val="009013FD"/>
    <w:rsid w:val="00901750"/>
    <w:rsid w:val="00904F18"/>
    <w:rsid w:val="00916149"/>
    <w:rsid w:val="00920458"/>
    <w:rsid w:val="0093040A"/>
    <w:rsid w:val="009540DA"/>
    <w:rsid w:val="00962210"/>
    <w:rsid w:val="00965055"/>
    <w:rsid w:val="00965FAC"/>
    <w:rsid w:val="00981C10"/>
    <w:rsid w:val="00990358"/>
    <w:rsid w:val="00990DE3"/>
    <w:rsid w:val="009972FC"/>
    <w:rsid w:val="009A1B83"/>
    <w:rsid w:val="009A538E"/>
    <w:rsid w:val="009A59E7"/>
    <w:rsid w:val="009B1DDB"/>
    <w:rsid w:val="009B6766"/>
    <w:rsid w:val="009B7D12"/>
    <w:rsid w:val="009D2B43"/>
    <w:rsid w:val="009D5CCA"/>
    <w:rsid w:val="009D76EF"/>
    <w:rsid w:val="009F4AAA"/>
    <w:rsid w:val="009F6146"/>
    <w:rsid w:val="00A15EAA"/>
    <w:rsid w:val="00A235E1"/>
    <w:rsid w:val="00A27EC2"/>
    <w:rsid w:val="00A322B2"/>
    <w:rsid w:val="00A34C4D"/>
    <w:rsid w:val="00A35700"/>
    <w:rsid w:val="00A40855"/>
    <w:rsid w:val="00A4148F"/>
    <w:rsid w:val="00A440A3"/>
    <w:rsid w:val="00A6364B"/>
    <w:rsid w:val="00A67977"/>
    <w:rsid w:val="00A72CC7"/>
    <w:rsid w:val="00A76747"/>
    <w:rsid w:val="00A80D6A"/>
    <w:rsid w:val="00A83BBB"/>
    <w:rsid w:val="00A91D43"/>
    <w:rsid w:val="00AA058E"/>
    <w:rsid w:val="00AA31CC"/>
    <w:rsid w:val="00AA65AE"/>
    <w:rsid w:val="00AA6C12"/>
    <w:rsid w:val="00AB7F2A"/>
    <w:rsid w:val="00AC4819"/>
    <w:rsid w:val="00AF7559"/>
    <w:rsid w:val="00B045D4"/>
    <w:rsid w:val="00B07AF7"/>
    <w:rsid w:val="00B5197B"/>
    <w:rsid w:val="00B70A53"/>
    <w:rsid w:val="00B716B8"/>
    <w:rsid w:val="00B72D3D"/>
    <w:rsid w:val="00B73A7A"/>
    <w:rsid w:val="00B75F8F"/>
    <w:rsid w:val="00B76EC5"/>
    <w:rsid w:val="00B816EF"/>
    <w:rsid w:val="00B846F2"/>
    <w:rsid w:val="00B872BB"/>
    <w:rsid w:val="00BB528F"/>
    <w:rsid w:val="00C23F3C"/>
    <w:rsid w:val="00C50097"/>
    <w:rsid w:val="00C63996"/>
    <w:rsid w:val="00C63D9F"/>
    <w:rsid w:val="00C81BA2"/>
    <w:rsid w:val="00C91191"/>
    <w:rsid w:val="00C94A94"/>
    <w:rsid w:val="00C9627B"/>
    <w:rsid w:val="00CA426A"/>
    <w:rsid w:val="00CA5275"/>
    <w:rsid w:val="00CB0F34"/>
    <w:rsid w:val="00CB7F9D"/>
    <w:rsid w:val="00CC33C8"/>
    <w:rsid w:val="00CD1415"/>
    <w:rsid w:val="00CD7180"/>
    <w:rsid w:val="00D00B61"/>
    <w:rsid w:val="00D37768"/>
    <w:rsid w:val="00D4415A"/>
    <w:rsid w:val="00D45BEB"/>
    <w:rsid w:val="00D62EB4"/>
    <w:rsid w:val="00D63CBC"/>
    <w:rsid w:val="00D659B6"/>
    <w:rsid w:val="00D6793E"/>
    <w:rsid w:val="00D72383"/>
    <w:rsid w:val="00D86114"/>
    <w:rsid w:val="00D92DAD"/>
    <w:rsid w:val="00D96AB6"/>
    <w:rsid w:val="00DA242A"/>
    <w:rsid w:val="00DA45E0"/>
    <w:rsid w:val="00DB0998"/>
    <w:rsid w:val="00DB18DD"/>
    <w:rsid w:val="00DC7508"/>
    <w:rsid w:val="00DD028A"/>
    <w:rsid w:val="00DD2D9A"/>
    <w:rsid w:val="00DD75AF"/>
    <w:rsid w:val="00DE1003"/>
    <w:rsid w:val="00DE6CFD"/>
    <w:rsid w:val="00DF72F0"/>
    <w:rsid w:val="00E31AD1"/>
    <w:rsid w:val="00E3263F"/>
    <w:rsid w:val="00E374A9"/>
    <w:rsid w:val="00E466FD"/>
    <w:rsid w:val="00E62477"/>
    <w:rsid w:val="00EB538F"/>
    <w:rsid w:val="00EB766C"/>
    <w:rsid w:val="00EC398E"/>
    <w:rsid w:val="00EC7906"/>
    <w:rsid w:val="00ED76F2"/>
    <w:rsid w:val="00EE1A6D"/>
    <w:rsid w:val="00EE5C1A"/>
    <w:rsid w:val="00EE717F"/>
    <w:rsid w:val="00EF53AB"/>
    <w:rsid w:val="00F12C01"/>
    <w:rsid w:val="00F36A44"/>
    <w:rsid w:val="00F4064A"/>
    <w:rsid w:val="00F443EB"/>
    <w:rsid w:val="00F516FC"/>
    <w:rsid w:val="00F76128"/>
    <w:rsid w:val="00FA18AD"/>
    <w:rsid w:val="00FB5E60"/>
    <w:rsid w:val="00FD5EFE"/>
    <w:rsid w:val="00FE39B0"/>
    <w:rsid w:val="00FE5688"/>
    <w:rsid w:val="00FF0565"/>
    <w:rsid w:val="00FF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2C69DE"/>
  <w15:chartTrackingRefBased/>
  <w15:docId w15:val="{4BD88F86-CC74-8641-8DF0-2ED6E880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mes New Roman"/>
    <w:qFormat/>
    <w:rsid w:val="00A40855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855"/>
    <w:pPr>
      <w:ind w:left="720"/>
      <w:contextualSpacing/>
      <w:jc w:val="both"/>
    </w:pPr>
    <w:rPr>
      <w:rFonts w:eastAsiaTheme="minorHAnsi" w:cstheme="minorBid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E5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688"/>
    <w:rPr>
      <w:rFonts w:ascii="Times New Roman" w:eastAsia="Times New Roman" w:hAnsi="Times New Roman" w:cs="Times New Roman"/>
      <w:lang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FE5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MARIA MARTIN HUMANES</dc:creator>
  <cp:keywords/>
  <dc:description/>
  <cp:lastModifiedBy>JOSE MARIA MARTIN HUMANES</cp:lastModifiedBy>
  <cp:revision>2</cp:revision>
  <dcterms:created xsi:type="dcterms:W3CDTF">2020-05-30T12:17:00Z</dcterms:created>
  <dcterms:modified xsi:type="dcterms:W3CDTF">2020-05-30T12:20:00Z</dcterms:modified>
</cp:coreProperties>
</file>