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5380" w14:textId="66FD3448" w:rsidR="00F33BF3" w:rsidRDefault="00F33BF3" w:rsidP="00860F18">
      <w:pPr>
        <w:pStyle w:val="2Ttuloingls"/>
        <w:rPr>
          <w:i w:val="0"/>
          <w:iCs/>
          <w:sz w:val="28"/>
          <w:szCs w:val="28"/>
          <w:lang w:val="es-EC"/>
        </w:rPr>
      </w:pPr>
      <w:bookmarkStart w:id="0" w:name="_Hlk183038764"/>
      <w:r w:rsidRPr="00F33BF3">
        <w:rPr>
          <w:i w:val="0"/>
          <w:iCs/>
          <w:sz w:val="28"/>
          <w:szCs w:val="28"/>
        </w:rPr>
        <w:t xml:space="preserve">Productos de turismo herpetológico como alternativa para la conservación </w:t>
      </w:r>
      <w:bookmarkEnd w:id="0"/>
      <w:r w:rsidRPr="00F33BF3">
        <w:rPr>
          <w:i w:val="0"/>
          <w:iCs/>
          <w:sz w:val="28"/>
          <w:szCs w:val="28"/>
        </w:rPr>
        <w:t xml:space="preserve">e investigación científica de anfibios y reptiles, caso de estudio: </w:t>
      </w:r>
      <w:r w:rsidRPr="00F33BF3">
        <w:rPr>
          <w:i w:val="0"/>
          <w:iCs/>
          <w:sz w:val="28"/>
          <w:szCs w:val="28"/>
          <w:lang w:val="es-EC"/>
        </w:rPr>
        <w:t xml:space="preserve">Reserva &amp; </w:t>
      </w:r>
      <w:proofErr w:type="spellStart"/>
      <w:r w:rsidRPr="00F33BF3">
        <w:rPr>
          <w:i w:val="0"/>
          <w:iCs/>
          <w:sz w:val="28"/>
          <w:szCs w:val="28"/>
          <w:lang w:val="es-EC"/>
        </w:rPr>
        <w:t>Ecolodge</w:t>
      </w:r>
      <w:proofErr w:type="spellEnd"/>
      <w:r w:rsidR="006B706D">
        <w:rPr>
          <w:i w:val="0"/>
          <w:iCs/>
          <w:sz w:val="28"/>
          <w:szCs w:val="28"/>
          <w:lang w:val="es-EC"/>
        </w:rPr>
        <w:t xml:space="preserve"> </w:t>
      </w:r>
      <w:r w:rsidR="009348C3">
        <w:rPr>
          <w:i w:val="0"/>
          <w:iCs/>
          <w:sz w:val="28"/>
          <w:szCs w:val="28"/>
          <w:lang w:val="es-EC"/>
        </w:rPr>
        <w:t xml:space="preserve">Tamandúa </w:t>
      </w:r>
      <w:r w:rsidR="006B706D">
        <w:rPr>
          <w:i w:val="0"/>
          <w:iCs/>
          <w:sz w:val="28"/>
          <w:szCs w:val="28"/>
          <w:lang w:val="es-EC"/>
        </w:rPr>
        <w:t>(Ecuador)</w:t>
      </w:r>
    </w:p>
    <w:p w14:paraId="17F65524" w14:textId="77777777" w:rsidR="004B0B8A" w:rsidRPr="00F33BF3" w:rsidRDefault="004B0B8A" w:rsidP="00860F18">
      <w:pPr>
        <w:pStyle w:val="2Ttuloingls"/>
        <w:rPr>
          <w:i w:val="0"/>
          <w:iCs/>
          <w:sz w:val="28"/>
          <w:szCs w:val="28"/>
        </w:rPr>
      </w:pPr>
    </w:p>
    <w:p w14:paraId="257F02D0" w14:textId="0A9E2584" w:rsidR="00026DAC" w:rsidRPr="006B706D" w:rsidRDefault="00F33BF3" w:rsidP="00F33BF3">
      <w:pPr>
        <w:pStyle w:val="5TextocomnIIGG"/>
        <w:spacing w:after="120"/>
        <w:jc w:val="center"/>
        <w:rPr>
          <w:b/>
          <w:sz w:val="28"/>
          <w:szCs w:val="28"/>
        </w:rPr>
      </w:pPr>
      <w:r w:rsidRPr="004B0B8A">
        <w:rPr>
          <w:b/>
          <w:i/>
          <w:iCs/>
          <w:sz w:val="28"/>
          <w:szCs w:val="28"/>
          <w:lang w:val="en-US"/>
        </w:rPr>
        <w:t xml:space="preserve">Herpetological tourism products as an alternative for the conservation and scientific research of amphibians and reptiles, case study: </w:t>
      </w:r>
      <w:proofErr w:type="spellStart"/>
      <w:r w:rsidRPr="004B0B8A">
        <w:rPr>
          <w:b/>
          <w:i/>
          <w:iCs/>
          <w:sz w:val="28"/>
          <w:szCs w:val="28"/>
          <w:lang w:val="en-US"/>
        </w:rPr>
        <w:t>Reserva</w:t>
      </w:r>
      <w:proofErr w:type="spellEnd"/>
      <w:r w:rsidRPr="004B0B8A">
        <w:rPr>
          <w:b/>
          <w:i/>
          <w:iCs/>
          <w:sz w:val="28"/>
          <w:szCs w:val="28"/>
          <w:lang w:val="en-US"/>
        </w:rPr>
        <w:t xml:space="preserve"> &amp; Ecolodge </w:t>
      </w:r>
      <w:proofErr w:type="spellStart"/>
      <w:r w:rsidRPr="004B0B8A">
        <w:rPr>
          <w:b/>
          <w:i/>
          <w:iCs/>
          <w:sz w:val="28"/>
          <w:szCs w:val="28"/>
          <w:lang w:val="en-US"/>
        </w:rPr>
        <w:t>Tamand</w:t>
      </w:r>
      <w:r w:rsidR="009348C3">
        <w:rPr>
          <w:b/>
          <w:i/>
          <w:iCs/>
          <w:sz w:val="28"/>
          <w:szCs w:val="28"/>
          <w:lang w:val="en-US"/>
        </w:rPr>
        <w:t>ú</w:t>
      </w:r>
      <w:r w:rsidRPr="004B0B8A">
        <w:rPr>
          <w:b/>
          <w:i/>
          <w:iCs/>
          <w:sz w:val="28"/>
          <w:szCs w:val="28"/>
          <w:lang w:val="en-US"/>
        </w:rPr>
        <w:t>a</w:t>
      </w:r>
      <w:proofErr w:type="spellEnd"/>
      <w:r w:rsidR="006B706D">
        <w:rPr>
          <w:b/>
          <w:i/>
          <w:iCs/>
          <w:sz w:val="28"/>
          <w:szCs w:val="28"/>
          <w:lang w:val="en-US"/>
        </w:rPr>
        <w:t xml:space="preserve"> (Ecuador)</w:t>
      </w:r>
    </w:p>
    <w:p w14:paraId="66688D9C" w14:textId="77777777" w:rsidR="004B0B8A" w:rsidRPr="006B706D" w:rsidRDefault="004B0B8A" w:rsidP="00D43EBF">
      <w:pPr>
        <w:pStyle w:val="3AutoradatosIIGG"/>
        <w:rPr>
          <w:rFonts w:ascii="Arial" w:hAnsi="Arial" w:cs="Arial"/>
          <w:b/>
          <w:sz w:val="22"/>
        </w:rPr>
      </w:pPr>
    </w:p>
    <w:p w14:paraId="149BB092" w14:textId="02C1323A" w:rsidR="00026DAC" w:rsidRPr="004B0B8A" w:rsidRDefault="00D31F69" w:rsidP="00D43EBF">
      <w:pPr>
        <w:pStyle w:val="3AutoradatosIIGG"/>
        <w:rPr>
          <w:b/>
          <w:bCs/>
        </w:rPr>
      </w:pPr>
      <w:r w:rsidRPr="004B0B8A">
        <w:rPr>
          <w:b/>
          <w:sz w:val="22"/>
        </w:rPr>
        <w:t xml:space="preserve">Alberto </w:t>
      </w:r>
      <w:r w:rsidR="009660DE">
        <w:rPr>
          <w:b/>
          <w:sz w:val="22"/>
        </w:rPr>
        <w:t xml:space="preserve">Paul </w:t>
      </w:r>
      <w:r w:rsidRPr="004B0B8A">
        <w:rPr>
          <w:b/>
          <w:sz w:val="22"/>
        </w:rPr>
        <w:t>Solís</w:t>
      </w:r>
      <w:r w:rsidRPr="004B0B8A">
        <w:rPr>
          <w:b/>
          <w:sz w:val="22"/>
          <w:vertAlign w:val="superscript"/>
        </w:rPr>
        <w:t xml:space="preserve"> </w:t>
      </w:r>
      <w:r w:rsidR="00AD0C90" w:rsidRPr="004B0B8A">
        <w:rPr>
          <w:rStyle w:val="Refdenotaalpie"/>
          <w:b/>
          <w:bCs/>
        </w:rPr>
        <w:footnoteReference w:id="1"/>
      </w:r>
    </w:p>
    <w:p w14:paraId="33D17DB3" w14:textId="3320B87B" w:rsidR="00026DAC" w:rsidRDefault="00D31F69" w:rsidP="00D43EBF">
      <w:pPr>
        <w:pStyle w:val="3AutoradatosIIGG"/>
        <w:rPr>
          <w:b/>
          <w:bCs/>
        </w:rPr>
      </w:pPr>
      <w:r w:rsidRPr="004B0B8A">
        <w:rPr>
          <w:b/>
          <w:sz w:val="22"/>
        </w:rPr>
        <w:t xml:space="preserve">José Darío Guamán </w:t>
      </w:r>
      <w:proofErr w:type="spellStart"/>
      <w:r w:rsidRPr="004B0B8A">
        <w:rPr>
          <w:b/>
          <w:sz w:val="22"/>
        </w:rPr>
        <w:t>Tacuri</w:t>
      </w:r>
      <w:proofErr w:type="spellEnd"/>
      <w:r w:rsidRPr="004B0B8A">
        <w:rPr>
          <w:b/>
          <w:sz w:val="22"/>
          <w:vertAlign w:val="superscript"/>
        </w:rPr>
        <w:t xml:space="preserve"> </w:t>
      </w:r>
      <w:r w:rsidR="004B0B8A">
        <w:rPr>
          <w:b/>
          <w:sz w:val="22"/>
          <w:vertAlign w:val="superscript"/>
        </w:rPr>
        <w:t xml:space="preserve"> </w:t>
      </w:r>
      <w:r w:rsidR="00A03F77" w:rsidRPr="004B0B8A">
        <w:rPr>
          <w:rStyle w:val="Refdenotaalpie"/>
          <w:b/>
          <w:bCs/>
        </w:rPr>
        <w:footnoteReference w:id="2"/>
      </w:r>
      <w:r w:rsidR="00B45807" w:rsidRPr="004B0B8A">
        <w:rPr>
          <w:b/>
          <w:bCs/>
        </w:rPr>
        <w:t>*</w:t>
      </w:r>
    </w:p>
    <w:p w14:paraId="01D9C209" w14:textId="0C92D394" w:rsidR="004B0B8A" w:rsidRPr="004B0B8A" w:rsidRDefault="004B0B8A" w:rsidP="00D43EBF">
      <w:pPr>
        <w:pStyle w:val="3AutoradatosIIGG"/>
        <w:rPr>
          <w:b/>
          <w:bCs/>
        </w:rPr>
      </w:pPr>
      <w:r w:rsidRPr="004B0B8A">
        <w:rPr>
          <w:b/>
          <w:bCs/>
        </w:rPr>
        <w:t>Carlos Cajas</w:t>
      </w:r>
      <w:r>
        <w:rPr>
          <w:b/>
          <w:bCs/>
        </w:rPr>
        <w:t xml:space="preserve"> Bermeo </w:t>
      </w:r>
      <w:r>
        <w:rPr>
          <w:rStyle w:val="Refdenotaalpie"/>
          <w:b/>
          <w:bCs/>
        </w:rPr>
        <w:footnoteReference w:id="3"/>
      </w:r>
    </w:p>
    <w:p w14:paraId="739F6876" w14:textId="12E69AD3" w:rsidR="00026DAC" w:rsidRPr="004B0B8A" w:rsidRDefault="00026DAC" w:rsidP="00D43EBF">
      <w:pPr>
        <w:pStyle w:val="5TextocomnIIGG"/>
      </w:pPr>
    </w:p>
    <w:p w14:paraId="33CE4661" w14:textId="77777777" w:rsidR="00F33BF3" w:rsidRPr="00D43EBF" w:rsidRDefault="00F33BF3" w:rsidP="00D43EBF">
      <w:pPr>
        <w:pStyle w:val="5TextocomnIIGG"/>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1492BE55" w14:textId="68B0D61A" w:rsidR="00F33BF3" w:rsidRPr="00F33BF3" w:rsidRDefault="00F33BF3" w:rsidP="00F33BF3">
      <w:pPr>
        <w:spacing w:after="120" w:line="240" w:lineRule="auto"/>
        <w:jc w:val="both"/>
        <w:rPr>
          <w:rFonts w:ascii="Times New Roman" w:hAnsi="Times New Roman" w:cs="Times New Roman"/>
        </w:rPr>
      </w:pPr>
      <w:r w:rsidRPr="00F33BF3">
        <w:rPr>
          <w:rFonts w:ascii="Times New Roman" w:hAnsi="Times New Roman" w:cs="Times New Roman"/>
        </w:rPr>
        <w:t xml:space="preserve">Ecuador es el tercer país en el mundo con el mayor número de especies de anfibios y posee el 4,3% del total de la diversidad mundial de reptiles, pese a </w:t>
      </w:r>
      <w:r w:rsidR="00026C38">
        <w:rPr>
          <w:rFonts w:ascii="Times New Roman" w:hAnsi="Times New Roman" w:cs="Times New Roman"/>
        </w:rPr>
        <w:t>lo cual</w:t>
      </w:r>
      <w:r w:rsidRPr="00F33BF3">
        <w:rPr>
          <w:rFonts w:ascii="Times New Roman" w:hAnsi="Times New Roman" w:cs="Times New Roman"/>
        </w:rPr>
        <w:t xml:space="preserve"> el 57% de los anfibios se encuentran amenazados según la Lista roja de anfibios del Ecuador 2020 y en los reptiles solo se conoce su estado de conservación hasta el año 2005</w:t>
      </w:r>
      <w:r w:rsidR="002C3A82">
        <w:rPr>
          <w:rFonts w:ascii="Times New Roman" w:hAnsi="Times New Roman" w:cs="Times New Roman"/>
        </w:rPr>
        <w:t>. Dicho esto</w:t>
      </w:r>
      <w:r w:rsidRPr="00F33BF3">
        <w:rPr>
          <w:rFonts w:ascii="Times New Roman" w:hAnsi="Times New Roman" w:cs="Times New Roman"/>
        </w:rPr>
        <w:t xml:space="preserve">, se diseñó un producto de turismo herpetológico para la Reserva &amp; </w:t>
      </w:r>
      <w:proofErr w:type="spellStart"/>
      <w:r w:rsidRPr="00F33BF3">
        <w:rPr>
          <w:rFonts w:ascii="Times New Roman" w:hAnsi="Times New Roman" w:cs="Times New Roman"/>
        </w:rPr>
        <w:t>Ecolodge</w:t>
      </w:r>
      <w:proofErr w:type="spellEnd"/>
      <w:r w:rsidRPr="00F33BF3">
        <w:rPr>
          <w:rFonts w:ascii="Times New Roman" w:hAnsi="Times New Roman" w:cs="Times New Roman"/>
        </w:rPr>
        <w:t xml:space="preserve"> Tamandúa, cantón Santa Clara, provincia de Pastaza, con la finalidad de atraer a fotógrafos de naturaleza que difundan a través de imágenes la biodiversidad del sitio y a docentes de instituciones de educación superior del país para que realicen investigación científica en conjunto con sus estudiantes sobre estas especies, además de generar mayores ingresos económicos para el </w:t>
      </w:r>
      <w:proofErr w:type="spellStart"/>
      <w:r w:rsidRPr="002C3A82">
        <w:rPr>
          <w:rFonts w:ascii="Times New Roman" w:hAnsi="Times New Roman" w:cs="Times New Roman"/>
          <w:i/>
          <w:iCs/>
        </w:rPr>
        <w:t>lodge</w:t>
      </w:r>
      <w:proofErr w:type="spellEnd"/>
      <w:r w:rsidRPr="002C3A82">
        <w:rPr>
          <w:rFonts w:ascii="Times New Roman" w:hAnsi="Times New Roman" w:cs="Times New Roman"/>
          <w:i/>
          <w:iCs/>
        </w:rPr>
        <w:t>.</w:t>
      </w:r>
      <w:r w:rsidRPr="00F33BF3">
        <w:rPr>
          <w:rFonts w:ascii="Times New Roman" w:hAnsi="Times New Roman" w:cs="Times New Roman"/>
        </w:rPr>
        <w:t xml:space="preserve"> El producto se elaboró a través de métodos investigativos, no experimentales, apoyándose en revisiones bibliográficas y trabajo de campo. Se trabajó en cuatro etapas: </w:t>
      </w:r>
      <w:r w:rsidR="002C3A82">
        <w:rPr>
          <w:rFonts w:ascii="Times New Roman" w:hAnsi="Times New Roman" w:cs="Times New Roman"/>
        </w:rPr>
        <w:t xml:space="preserve">1.) </w:t>
      </w:r>
      <w:r w:rsidRPr="00F33BF3">
        <w:rPr>
          <w:rFonts w:ascii="Times New Roman" w:hAnsi="Times New Roman" w:cs="Times New Roman"/>
        </w:rPr>
        <w:t>evaluar la potencialidad turística herpetológica del área mediante el diagnóstico del territorio, inventario de atractivos, inventario herpetológico y estudio de mercado</w:t>
      </w:r>
      <w:r w:rsidR="002C3A82">
        <w:rPr>
          <w:rFonts w:ascii="Times New Roman" w:hAnsi="Times New Roman" w:cs="Times New Roman"/>
        </w:rPr>
        <w:t>; 2.)</w:t>
      </w:r>
      <w:r w:rsidRPr="00F33BF3">
        <w:rPr>
          <w:rFonts w:ascii="Times New Roman" w:hAnsi="Times New Roman" w:cs="Times New Roman"/>
        </w:rPr>
        <w:t xml:space="preserve"> diseñar el producto herpetológico a través de la creación de una propuesta de mejora, elaboración del paquete y comercialización del mismo</w:t>
      </w:r>
      <w:r w:rsidR="002C3A82">
        <w:rPr>
          <w:rFonts w:ascii="Times New Roman" w:hAnsi="Times New Roman" w:cs="Times New Roman"/>
        </w:rPr>
        <w:t>; 3.)</w:t>
      </w:r>
      <w:r w:rsidRPr="00F33BF3">
        <w:rPr>
          <w:rFonts w:ascii="Times New Roman" w:hAnsi="Times New Roman" w:cs="Times New Roman"/>
        </w:rPr>
        <w:t xml:space="preserve"> determinar la vialidad legal mediante la revisión de normas y acuerdos que sustenten la implementación del producto</w:t>
      </w:r>
      <w:r w:rsidR="002C3A82">
        <w:rPr>
          <w:rFonts w:ascii="Times New Roman" w:hAnsi="Times New Roman" w:cs="Times New Roman"/>
        </w:rPr>
        <w:t xml:space="preserve">, y </w:t>
      </w:r>
      <w:r w:rsidRPr="00F33BF3">
        <w:rPr>
          <w:rFonts w:ascii="Times New Roman" w:hAnsi="Times New Roman" w:cs="Times New Roman"/>
        </w:rPr>
        <w:t xml:space="preserve">la viabilidad ambiental con la identificación de las actividades que pueden generar un impacto en los </w:t>
      </w:r>
      <w:r w:rsidRPr="00F33BF3">
        <w:rPr>
          <w:rFonts w:ascii="Times New Roman" w:hAnsi="Times New Roman" w:cs="Times New Roman"/>
        </w:rPr>
        <w:lastRenderedPageBreak/>
        <w:t>componentes del sitio, para después ser evalúalos según la matriz de Leopold</w:t>
      </w:r>
      <w:r w:rsidR="002C3A82">
        <w:rPr>
          <w:rFonts w:ascii="Times New Roman" w:hAnsi="Times New Roman" w:cs="Times New Roman"/>
        </w:rPr>
        <w:t>; 4.) determinar</w:t>
      </w:r>
      <w:r w:rsidRPr="00F33BF3">
        <w:rPr>
          <w:rFonts w:ascii="Times New Roman" w:hAnsi="Times New Roman" w:cs="Times New Roman"/>
        </w:rPr>
        <w:t xml:space="preserve"> la viabilidad económica financiera con el fin conocer la rentabilidad del producto. </w:t>
      </w:r>
    </w:p>
    <w:p w14:paraId="0D05AA99" w14:textId="50CE329D" w:rsidR="00026DAC" w:rsidRPr="00DB598B" w:rsidRDefault="00026DAC" w:rsidP="00F33BF3">
      <w:pPr>
        <w:pStyle w:val="5TextocomnIIGG"/>
        <w:spacing w:after="120"/>
        <w:rPr>
          <w:sz w:val="22"/>
          <w:szCs w:val="22"/>
        </w:rPr>
      </w:pPr>
      <w:r w:rsidRPr="00DB598B">
        <w:rPr>
          <w:b/>
          <w:sz w:val="22"/>
          <w:szCs w:val="22"/>
        </w:rPr>
        <w:t>Palabras clave:</w:t>
      </w:r>
      <w:r w:rsidRPr="00DB598B">
        <w:rPr>
          <w:sz w:val="22"/>
          <w:szCs w:val="22"/>
        </w:rPr>
        <w:t xml:space="preserve"> </w:t>
      </w:r>
      <w:r w:rsidR="00F33BF3" w:rsidRPr="00F33BF3">
        <w:rPr>
          <w:sz w:val="22"/>
          <w:szCs w:val="22"/>
        </w:rPr>
        <w:t>Anfibios, Herpetología, Producto turístico, Reptiles, Turismo científico.</w:t>
      </w:r>
    </w:p>
    <w:p w14:paraId="2D6E54F9" w14:textId="77777777" w:rsidR="00026DAC" w:rsidRPr="00026DAC" w:rsidRDefault="00026DAC" w:rsidP="002E47F3">
      <w:pPr>
        <w:pStyle w:val="5TextocomnIIGG"/>
        <w:spacing w:after="120"/>
      </w:pPr>
    </w:p>
    <w:p w14:paraId="7CBEA06E" w14:textId="77777777" w:rsidR="00026DAC" w:rsidRPr="00DB598B" w:rsidRDefault="00026DAC" w:rsidP="002E47F3">
      <w:pPr>
        <w:pStyle w:val="4TtulosepgrafesIIGG"/>
        <w:spacing w:after="120"/>
        <w:rPr>
          <w:sz w:val="22"/>
          <w:szCs w:val="22"/>
        </w:rPr>
      </w:pPr>
      <w:proofErr w:type="spellStart"/>
      <w:r w:rsidRPr="00DB598B">
        <w:rPr>
          <w:sz w:val="22"/>
          <w:szCs w:val="22"/>
        </w:rPr>
        <w:t>Abstract</w:t>
      </w:r>
      <w:proofErr w:type="spellEnd"/>
    </w:p>
    <w:p w14:paraId="21DEC5C8" w14:textId="1B2CB4F3" w:rsidR="00F33BF3" w:rsidRPr="00F33BF3" w:rsidRDefault="00F33BF3" w:rsidP="00F33BF3">
      <w:pPr>
        <w:spacing w:after="120" w:line="240" w:lineRule="auto"/>
        <w:jc w:val="both"/>
        <w:rPr>
          <w:rFonts w:ascii="Times New Roman" w:hAnsi="Times New Roman" w:cs="Times New Roman"/>
          <w:lang w:val="en"/>
        </w:rPr>
      </w:pPr>
      <w:r w:rsidRPr="00F33BF3">
        <w:rPr>
          <w:rFonts w:ascii="Times New Roman" w:hAnsi="Times New Roman" w:cs="Times New Roman"/>
          <w:lang w:val="en"/>
        </w:rPr>
        <w:t>Ecuador is the third country in the world with the highest number of amphibian species and it has 4.3% of the global diversity of reptiles. however, according to the Red List of amphibians Ecuador 2020, 57% of amphibians are threatened and respecting</w:t>
      </w:r>
      <w:r w:rsidR="00B0556D">
        <w:rPr>
          <w:rFonts w:ascii="Times New Roman" w:hAnsi="Times New Roman" w:cs="Times New Roman"/>
          <w:lang w:val="en"/>
        </w:rPr>
        <w:t xml:space="preserve"> </w:t>
      </w:r>
      <w:r w:rsidRPr="00F33BF3">
        <w:rPr>
          <w:rFonts w:ascii="Times New Roman" w:hAnsi="Times New Roman" w:cs="Times New Roman"/>
          <w:lang w:val="en"/>
        </w:rPr>
        <w:t xml:space="preserve">to reptiles, their conservation status is known only until 2005. That said, a herpetological tourism product was designed for the Tamandua Reserve &amp; Ecolodge, Santa Clara canton, Pastaza province, </w:t>
      </w:r>
      <w:proofErr w:type="gramStart"/>
      <w:r w:rsidRPr="00F33BF3">
        <w:rPr>
          <w:rFonts w:ascii="Times New Roman" w:hAnsi="Times New Roman" w:cs="Times New Roman"/>
          <w:lang w:val="en"/>
        </w:rPr>
        <w:t>in order to</w:t>
      </w:r>
      <w:proofErr w:type="gramEnd"/>
      <w:r w:rsidRPr="00F33BF3">
        <w:rPr>
          <w:rFonts w:ascii="Times New Roman" w:hAnsi="Times New Roman" w:cs="Times New Roman"/>
          <w:lang w:val="en"/>
        </w:rPr>
        <w:t xml:space="preserve"> attract nature photographers who can disseminate through images the biodiversity of the site, and teachers from higher education institutions in the country to carry out scientific research on these species together with their students, thus generating greater economic income for the lodge. The product was elaborated through investigative, not experimental methods, relying on bibliographic reviews and field work. The study was carried out in four stages: first, the evaluation of the herpetological tourist potential of the area through the diagnosis of the territory, inventory of attractions, herpetological inventory and market study. Second, the design of the herpetological product through the creation of an improvement proposal, preparation of the tourist package and its marketing. Third determine the legal viability by reviewing standards and agreements that support the implementation of the product, and environmental viability study with the identification of activities that can generate an impact on the natural components of the site and the evaluation of impacts employing the Leopold Matrix method. Fourth, the financial economic viability was determined to estimate the profitability of the product.</w:t>
      </w:r>
    </w:p>
    <w:p w14:paraId="640AFCD9" w14:textId="70DAC976" w:rsidR="00026DAC" w:rsidRPr="001F35F6" w:rsidRDefault="00026DAC" w:rsidP="00F33BF3">
      <w:pPr>
        <w:pStyle w:val="5TextocomnIIGG"/>
        <w:spacing w:after="120"/>
        <w:rPr>
          <w:sz w:val="22"/>
          <w:szCs w:val="22"/>
          <w:lang w:val="en"/>
        </w:rPr>
      </w:pPr>
      <w:r w:rsidRPr="001F35F6">
        <w:rPr>
          <w:b/>
          <w:sz w:val="22"/>
          <w:szCs w:val="22"/>
          <w:lang w:val="en"/>
        </w:rPr>
        <w:t>Keywords:</w:t>
      </w:r>
      <w:r w:rsidRPr="001F35F6">
        <w:rPr>
          <w:sz w:val="22"/>
          <w:szCs w:val="22"/>
          <w:lang w:val="en"/>
        </w:rPr>
        <w:t xml:space="preserve"> </w:t>
      </w:r>
      <w:r w:rsidR="00F33BF3" w:rsidRPr="00F33BF3">
        <w:rPr>
          <w:sz w:val="22"/>
          <w:szCs w:val="22"/>
          <w:lang w:val="en-US"/>
        </w:rPr>
        <w:t>Amphibians, Herpetology, Tourism product, Reptiles, Scientific tourism.</w:t>
      </w:r>
    </w:p>
    <w:p w14:paraId="1492ED72" w14:textId="77777777" w:rsidR="00026DAC" w:rsidRPr="001F35F6" w:rsidRDefault="00026DAC" w:rsidP="002E47F3">
      <w:pPr>
        <w:pStyle w:val="5TextocomnIIGG"/>
        <w:spacing w:after="120"/>
        <w:rPr>
          <w:lang w:val="en"/>
        </w:rPr>
      </w:pPr>
    </w:p>
    <w:p w14:paraId="63ABF55F" w14:textId="77777777" w:rsidR="00026DAC" w:rsidRPr="00A36AB9" w:rsidRDefault="0019027C" w:rsidP="002E47F3">
      <w:pPr>
        <w:pStyle w:val="4TtulosepgrafesIIGG"/>
        <w:spacing w:after="120"/>
        <w:rPr>
          <w:lang w:val="en"/>
        </w:rPr>
      </w:pPr>
      <w:r w:rsidRPr="00A36AB9">
        <w:rPr>
          <w:lang w:val="en"/>
        </w:rPr>
        <w:t xml:space="preserve">1. </w:t>
      </w:r>
      <w:proofErr w:type="spellStart"/>
      <w:r w:rsidR="00026DAC" w:rsidRPr="00A36AB9">
        <w:rPr>
          <w:lang w:val="en"/>
        </w:rPr>
        <w:t>Introducción</w:t>
      </w:r>
      <w:proofErr w:type="spellEnd"/>
    </w:p>
    <w:p w14:paraId="71CA5756" w14:textId="77777777" w:rsidR="00F33BF3" w:rsidRPr="00F33BF3" w:rsidRDefault="00F33BF3" w:rsidP="00F33BF3">
      <w:pPr>
        <w:spacing w:after="120" w:line="240" w:lineRule="auto"/>
        <w:ind w:firstLine="510"/>
        <w:jc w:val="both"/>
        <w:rPr>
          <w:rFonts w:ascii="Times New Roman" w:hAnsi="Times New Roman" w:cs="Times New Roman"/>
          <w:noProof/>
          <w:sz w:val="24"/>
          <w:szCs w:val="24"/>
        </w:rPr>
      </w:pPr>
      <w:r w:rsidRPr="00F33BF3">
        <w:rPr>
          <w:rFonts w:ascii="Times New Roman" w:hAnsi="Times New Roman" w:cs="Times New Roman"/>
          <w:sz w:val="24"/>
          <w:szCs w:val="24"/>
        </w:rPr>
        <w:t xml:space="preserve">En la actualidad, el sistema natural global enfrenta una de las mayores crisis de la historia. </w:t>
      </w:r>
      <w:r w:rsidRPr="00F33BF3">
        <w:rPr>
          <w:rFonts w:ascii="Times New Roman" w:hAnsi="Times New Roman" w:cs="Times New Roman"/>
          <w:noProof/>
          <w:sz w:val="24"/>
          <w:szCs w:val="24"/>
        </w:rPr>
        <w:t xml:space="preserve">Para </w:t>
      </w:r>
      <w:r w:rsidRPr="00F33BF3">
        <w:rPr>
          <w:rFonts w:ascii="Times New Roman" w:hAnsi="Times New Roman" w:cs="Times New Roman"/>
          <w:sz w:val="24"/>
          <w:szCs w:val="24"/>
        </w:rPr>
        <w:t>Martínez</w:t>
      </w:r>
      <w:r w:rsidRPr="00F33BF3">
        <w:rPr>
          <w:rFonts w:ascii="Times New Roman" w:hAnsi="Times New Roman" w:cs="Times New Roman"/>
          <w:noProof/>
          <w:sz w:val="24"/>
          <w:szCs w:val="24"/>
        </w:rPr>
        <w:t xml:space="preserve"> (2017) </w:t>
      </w:r>
      <w:r w:rsidRPr="00F33BF3">
        <w:rPr>
          <w:rFonts w:ascii="Times New Roman" w:hAnsi="Times New Roman" w:cs="Times New Roman"/>
          <w:sz w:val="24"/>
          <w:szCs w:val="24"/>
        </w:rPr>
        <w:t xml:space="preserve">en el mundo son latentes el cambio climático, la contaminación, la sobre explotación de los recursos naturales, la descarga de sustancias y materiales en el ambiente y en especial la perdida de diversidad biológica. Esta última, se debe a la degradación de hábitats, avance de la frontera agrícola, introducción de especies exóticas, caza ilegal y tráfico (López y Sol, </w:t>
      </w:r>
      <w:r w:rsidRPr="00F33BF3">
        <w:rPr>
          <w:rFonts w:ascii="Times New Roman" w:hAnsi="Times New Roman" w:cs="Times New Roman"/>
          <w:noProof/>
          <w:sz w:val="24"/>
          <w:szCs w:val="24"/>
        </w:rPr>
        <w:t xml:space="preserve">2019). </w:t>
      </w:r>
      <w:bookmarkStart w:id="1" w:name="_Hlk43065846"/>
      <w:r w:rsidRPr="00F33BF3">
        <w:rPr>
          <w:rFonts w:ascii="Times New Roman" w:hAnsi="Times New Roman" w:cs="Times New Roman"/>
          <w:sz w:val="24"/>
          <w:szCs w:val="24"/>
        </w:rPr>
        <w:t>La Unión Internacional para la Conservación de la Naturaleza (UICN) estima que 5200 especies de animales en el mundo se encuentran en peligro de extinción, de ellas, el 20% son reptiles y el 25% son anfibios; dicho esto, en la lista roja de especies amenazadas de la UICN 2020, los anfibios son el grupo con más especies en peligro con un 41%</w:t>
      </w:r>
      <w:bookmarkEnd w:id="1"/>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 xml:space="preserve">(National Geographic, 2020). </w:t>
      </w:r>
    </w:p>
    <w:p w14:paraId="30069608" w14:textId="0E0F0883" w:rsidR="00F33BF3" w:rsidRPr="00F33BF3" w:rsidRDefault="002C3A82" w:rsidP="00F33BF3">
      <w:pPr>
        <w:spacing w:after="120" w:line="240" w:lineRule="auto"/>
        <w:ind w:firstLine="510"/>
        <w:jc w:val="both"/>
        <w:rPr>
          <w:rFonts w:ascii="Times New Roman" w:hAnsi="Times New Roman" w:cs="Times New Roman"/>
          <w:b/>
          <w:bCs/>
          <w:sz w:val="24"/>
          <w:szCs w:val="24"/>
        </w:rPr>
      </w:pPr>
      <w:r>
        <w:rPr>
          <w:rFonts w:ascii="Times New Roman" w:hAnsi="Times New Roman" w:cs="Times New Roman"/>
          <w:noProof/>
          <w:sz w:val="24"/>
          <w:szCs w:val="24"/>
        </w:rPr>
        <w:t>E</w:t>
      </w:r>
      <w:r w:rsidR="00F33BF3" w:rsidRPr="00F33BF3">
        <w:rPr>
          <w:rFonts w:ascii="Times New Roman" w:hAnsi="Times New Roman" w:cs="Times New Roman"/>
          <w:noProof/>
          <w:sz w:val="24"/>
          <w:szCs w:val="24"/>
        </w:rPr>
        <w:t xml:space="preserve">l mismo turismo convencional o de masas ha cotribuido a este problema, por ello el turismo de naturaleza fomentando la biodiversidad </w:t>
      </w:r>
      <w:r w:rsidR="00F33BF3" w:rsidRPr="00F33BF3">
        <w:rPr>
          <w:rFonts w:ascii="Times New Roman" w:hAnsi="Times New Roman" w:cs="Times New Roman"/>
          <w:sz w:val="24"/>
          <w:szCs w:val="24"/>
        </w:rPr>
        <w:t>está</w:t>
      </w:r>
      <w:r w:rsidR="00F33BF3" w:rsidRPr="00F33BF3">
        <w:rPr>
          <w:rFonts w:ascii="Times New Roman" w:hAnsi="Times New Roman" w:cs="Times New Roman"/>
          <w:noProof/>
          <w:sz w:val="24"/>
          <w:szCs w:val="24"/>
        </w:rPr>
        <w:t xml:space="preserve"> en crecimiento y nace como una alternativa para recuperar y conservar el medio natural (</w:t>
      </w:r>
      <w:r w:rsidR="00F33BF3" w:rsidRPr="00F33BF3">
        <w:rPr>
          <w:rFonts w:ascii="Times New Roman" w:hAnsi="Times New Roman" w:cs="Times New Roman"/>
          <w:sz w:val="24"/>
          <w:szCs w:val="24"/>
        </w:rPr>
        <w:t>Martínez,</w:t>
      </w:r>
      <w:r w:rsidR="00F33BF3" w:rsidRPr="00F33BF3">
        <w:rPr>
          <w:rFonts w:ascii="Times New Roman" w:hAnsi="Times New Roman" w:cs="Times New Roman"/>
          <w:noProof/>
          <w:sz w:val="24"/>
          <w:szCs w:val="24"/>
        </w:rPr>
        <w:t xml:space="preserve"> 2017). </w:t>
      </w:r>
      <w:r w:rsidR="00F33BF3" w:rsidRPr="00F33BF3">
        <w:rPr>
          <w:rFonts w:ascii="Times New Roman" w:hAnsi="Times New Roman" w:cs="Times New Roman"/>
          <w:sz w:val="24"/>
          <w:szCs w:val="24"/>
        </w:rPr>
        <w:t xml:space="preserve">Este debe verse como un facilitador de experiencias para los visitantes, que buscan ver e interactuar con una variedad de especies en sus hábitats y relacionarse con personas afines </w:t>
      </w:r>
      <w:r w:rsidR="00F33BF3" w:rsidRPr="00F33BF3">
        <w:rPr>
          <w:rFonts w:ascii="Times New Roman" w:hAnsi="Times New Roman" w:cs="Times New Roman"/>
          <w:noProof/>
          <w:sz w:val="24"/>
          <w:szCs w:val="24"/>
        </w:rPr>
        <w:t>(Curtin, 2008)</w:t>
      </w:r>
      <w:r w:rsidR="00F33BF3" w:rsidRPr="00F33BF3">
        <w:rPr>
          <w:rFonts w:ascii="Times New Roman" w:hAnsi="Times New Roman" w:cs="Times New Roman"/>
          <w:b/>
          <w:bCs/>
          <w:sz w:val="24"/>
          <w:szCs w:val="24"/>
        </w:rPr>
        <w:t xml:space="preserve">. </w:t>
      </w:r>
      <w:r w:rsidR="00F33BF3" w:rsidRPr="00F33BF3">
        <w:rPr>
          <w:rFonts w:ascii="Times New Roman" w:hAnsi="Times New Roman" w:cs="Times New Roman"/>
          <w:sz w:val="24"/>
          <w:szCs w:val="24"/>
        </w:rPr>
        <w:t xml:space="preserve">El turismo de vida silvestre más específicamente hablando, se convierte en ingresos al transformar los recursos naturales como paisajes y animales salvajes en dichas experiencias </w:t>
      </w:r>
      <w:r w:rsidR="00F33BF3" w:rsidRPr="00F33BF3">
        <w:rPr>
          <w:rFonts w:ascii="Times New Roman" w:hAnsi="Times New Roman" w:cs="Times New Roman"/>
          <w:noProof/>
          <w:sz w:val="24"/>
          <w:szCs w:val="24"/>
        </w:rPr>
        <w:t>(Brockington y Duffy, 2010)</w:t>
      </w:r>
      <w:r w:rsidR="00F33BF3" w:rsidRPr="00F33BF3">
        <w:rPr>
          <w:rFonts w:ascii="Times New Roman" w:hAnsi="Times New Roman" w:cs="Times New Roman"/>
          <w:sz w:val="24"/>
          <w:szCs w:val="24"/>
        </w:rPr>
        <w:t xml:space="preserve">, además </w:t>
      </w:r>
      <w:r>
        <w:rPr>
          <w:rFonts w:ascii="Times New Roman" w:hAnsi="Times New Roman" w:cs="Times New Roman"/>
          <w:sz w:val="24"/>
          <w:szCs w:val="24"/>
        </w:rPr>
        <w:t>de financiar</w:t>
      </w:r>
      <w:r w:rsidR="00F33BF3" w:rsidRPr="00F33BF3">
        <w:rPr>
          <w:rFonts w:ascii="Times New Roman" w:hAnsi="Times New Roman" w:cs="Times New Roman"/>
          <w:sz w:val="24"/>
          <w:szCs w:val="24"/>
        </w:rPr>
        <w:t xml:space="preserve"> costos operativos de áreas protegidas, reservas privadas y da una visibilidad para obtener apoyo gubernamental </w:t>
      </w:r>
      <w:r w:rsidR="00F33BF3" w:rsidRPr="00F33BF3">
        <w:rPr>
          <w:rFonts w:ascii="Times New Roman" w:hAnsi="Times New Roman" w:cs="Times New Roman"/>
          <w:noProof/>
          <w:sz w:val="24"/>
          <w:szCs w:val="24"/>
        </w:rPr>
        <w:t>(Buckley, 2009)</w:t>
      </w:r>
      <w:r w:rsidR="00F33BF3" w:rsidRPr="00F33BF3">
        <w:rPr>
          <w:rFonts w:ascii="Times New Roman" w:hAnsi="Times New Roman" w:cs="Times New Roman"/>
          <w:b/>
          <w:bCs/>
          <w:sz w:val="24"/>
          <w:szCs w:val="24"/>
        </w:rPr>
        <w:t>.</w:t>
      </w:r>
    </w:p>
    <w:p w14:paraId="4DB9DDAC" w14:textId="682F35A3"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F33BF3">
        <w:rPr>
          <w:rFonts w:ascii="Times New Roman" w:hAnsi="Times New Roman" w:cs="Times New Roman"/>
          <w:sz w:val="24"/>
          <w:szCs w:val="24"/>
        </w:rPr>
        <w:t>El turista de vida silvestre</w:t>
      </w:r>
      <w:r w:rsidRPr="00F33BF3">
        <w:rPr>
          <w:rFonts w:ascii="Times New Roman" w:hAnsi="Times New Roman" w:cs="Times New Roman"/>
          <w:b/>
          <w:bCs/>
          <w:sz w:val="24"/>
          <w:szCs w:val="24"/>
        </w:rPr>
        <w:t xml:space="preserve"> </w:t>
      </w:r>
      <w:r w:rsidRPr="00F33BF3">
        <w:rPr>
          <w:rFonts w:ascii="Times New Roman" w:hAnsi="Times New Roman" w:cs="Times New Roman"/>
          <w:sz w:val="24"/>
          <w:szCs w:val="24"/>
        </w:rPr>
        <w:t xml:space="preserve">contribuye económicamente con las visitas a la conservación a largo plazo de especies raras o en peligro; gracias la ampliación de zonas turísticas y proyectos de investigación, siendo la observación de vida silvestre una actividad de mínimo impacto </w:t>
      </w:r>
      <w:r w:rsidRPr="00F33BF3">
        <w:rPr>
          <w:rFonts w:ascii="Times New Roman" w:hAnsi="Times New Roman" w:cs="Times New Roman"/>
          <w:noProof/>
          <w:sz w:val="24"/>
          <w:szCs w:val="24"/>
        </w:rPr>
        <w:lastRenderedPageBreak/>
        <w:t>(Cong et al., 2014)</w:t>
      </w:r>
      <w:r w:rsidRPr="00F33BF3">
        <w:rPr>
          <w:rFonts w:ascii="Times New Roman" w:hAnsi="Times New Roman" w:cs="Times New Roman"/>
          <w:sz w:val="24"/>
          <w:szCs w:val="24"/>
        </w:rPr>
        <w:t>. El surgimiento de esto ha creado una gama de oportunidades</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se estima que existen 12 millones de turistas de vida silvestre con una tasa de crecimiento del 10% anual </w:t>
      </w:r>
      <w:r w:rsidRPr="00F33BF3">
        <w:rPr>
          <w:rFonts w:ascii="Times New Roman" w:hAnsi="Times New Roman" w:cs="Times New Roman"/>
          <w:noProof/>
          <w:sz w:val="24"/>
          <w:szCs w:val="24"/>
        </w:rPr>
        <w:t>(Curtin, 2010)</w:t>
      </w:r>
      <w:r w:rsidR="002C3A82">
        <w:rPr>
          <w:rFonts w:ascii="Times New Roman" w:hAnsi="Times New Roman" w:cs="Times New Roman"/>
          <w:noProof/>
          <w:sz w:val="24"/>
          <w:szCs w:val="24"/>
        </w:rPr>
        <w:t>. En</w:t>
      </w:r>
      <w:r w:rsidRPr="00F33BF3">
        <w:rPr>
          <w:rFonts w:ascii="Times New Roman" w:hAnsi="Times New Roman" w:cs="Times New Roman"/>
          <w:sz w:val="24"/>
          <w:szCs w:val="24"/>
        </w:rPr>
        <w:t xml:space="preserve"> el 2011 el ecoturismo generó 255 millones en puestos de trabajo y 6 billones de dólares, 9 % del PIB mundial </w:t>
      </w:r>
      <w:r w:rsidRPr="00F33BF3">
        <w:rPr>
          <w:rFonts w:ascii="Times New Roman" w:hAnsi="Times New Roman" w:cs="Times New Roman"/>
          <w:noProof/>
          <w:sz w:val="24"/>
          <w:szCs w:val="24"/>
        </w:rPr>
        <w:t>(Working Group on Environmental Auditing, 2013)</w:t>
      </w:r>
      <w:r w:rsidRPr="00F33BF3">
        <w:rPr>
          <w:rFonts w:ascii="Times New Roman" w:hAnsi="Times New Roman" w:cs="Times New Roman"/>
          <w:b/>
          <w:bCs/>
          <w:sz w:val="24"/>
          <w:szCs w:val="24"/>
        </w:rPr>
        <w:t>.</w:t>
      </w:r>
    </w:p>
    <w:p w14:paraId="09D86553" w14:textId="1324F08A"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Almendras et al. (2017) menciona que “el uso de la fauna silvestre como recurso turístico se está transformando en uno de los principales ejes de desarrollo para muchos países”, el avistamiento de la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a través de actividades turísticas sostenibles contribuye a la conservación e investigación sobre anfibios y reptiles</w:t>
      </w:r>
      <w:bookmarkStart w:id="2" w:name="_Hlk38477013"/>
      <w:r w:rsidRPr="00F33BF3">
        <w:rPr>
          <w:rFonts w:ascii="Times New Roman" w:hAnsi="Times New Roman" w:cs="Times New Roman"/>
          <w:sz w:val="24"/>
          <w:szCs w:val="24"/>
        </w:rPr>
        <w:t xml:space="preserve"> (Velasco, 2015)</w:t>
      </w:r>
      <w:bookmarkEnd w:id="2"/>
      <w:r w:rsidRPr="00F33BF3">
        <w:rPr>
          <w:rFonts w:ascii="Times New Roman" w:hAnsi="Times New Roman" w:cs="Times New Roman"/>
          <w:sz w:val="24"/>
          <w:szCs w:val="24"/>
        </w:rPr>
        <w:t xml:space="preserve">, como por ejemplo la mayoría de las ranas en peligro crítico se encuentran en países tropicales de bajos recursos, aunque no sean especies focales, el turismo aporta de manera indirecta ayudando a más de mitad de estas especies </w:t>
      </w:r>
      <w:r w:rsidRPr="00F33BF3">
        <w:rPr>
          <w:rFonts w:ascii="Times New Roman" w:hAnsi="Times New Roman" w:cs="Times New Roman"/>
          <w:noProof/>
          <w:sz w:val="24"/>
          <w:szCs w:val="24"/>
        </w:rPr>
        <w:t>(Morrison et al., 2012)</w:t>
      </w:r>
      <w:r w:rsidRPr="00F33BF3">
        <w:rPr>
          <w:rFonts w:ascii="Times New Roman" w:hAnsi="Times New Roman" w:cs="Times New Roman"/>
          <w:b/>
          <w:bCs/>
          <w:sz w:val="24"/>
          <w:szCs w:val="24"/>
        </w:rPr>
        <w:t>.</w:t>
      </w:r>
      <w:r w:rsidRPr="00F33BF3">
        <w:rPr>
          <w:rFonts w:ascii="Times New Roman" w:hAnsi="Times New Roman" w:cs="Times New Roman"/>
          <w:sz w:val="24"/>
          <w:szCs w:val="24"/>
        </w:rPr>
        <w:t xml:space="preserve"> En el mundo ya existen muchos países que aprovechan esta biodiversidad con fines turísticos: Indonesia con la observación de dragones de Komodo, Australia con cruceros para el avistamiento de cocodrilos, Sudáfrica con tours para observar serpientes y Costa Rica con tours para el avistamiento de tortugas y anfibios </w:t>
      </w:r>
      <w:r w:rsidRPr="00F33BF3">
        <w:rPr>
          <w:rFonts w:ascii="Times New Roman" w:hAnsi="Times New Roman" w:cs="Times New Roman"/>
          <w:noProof/>
          <w:sz w:val="24"/>
          <w:szCs w:val="24"/>
        </w:rPr>
        <w:t>(Hernandez, 2012)</w:t>
      </w:r>
      <w:r w:rsidRPr="00F33BF3">
        <w:rPr>
          <w:rFonts w:ascii="Times New Roman" w:hAnsi="Times New Roman" w:cs="Times New Roman"/>
          <w:sz w:val="24"/>
          <w:szCs w:val="24"/>
        </w:rPr>
        <w:t xml:space="preserve">, un estudio sobre el turismo de vida silvestre en Latinoamérica hecho por </w:t>
      </w:r>
      <w:r w:rsidRPr="00F33BF3">
        <w:rPr>
          <w:rFonts w:ascii="Times New Roman" w:hAnsi="Times New Roman" w:cs="Times New Roman"/>
          <w:noProof/>
          <w:sz w:val="24"/>
          <w:szCs w:val="24"/>
        </w:rPr>
        <w:t>D’Cruze et al. (2018)</w:t>
      </w:r>
      <w:r w:rsidR="002C3A82">
        <w:rPr>
          <w:rFonts w:ascii="Times New Roman" w:hAnsi="Times New Roman" w:cs="Times New Roman"/>
          <w:noProof/>
          <w:sz w:val="24"/>
          <w:szCs w:val="24"/>
        </w:rPr>
        <w:t>. Asimismo</w:t>
      </w:r>
      <w:r w:rsidRPr="00F33BF3">
        <w:rPr>
          <w:rFonts w:ascii="Times New Roman" w:hAnsi="Times New Roman" w:cs="Times New Roman"/>
          <w:noProof/>
          <w:sz w:val="24"/>
          <w:szCs w:val="24"/>
        </w:rPr>
        <w:t xml:space="preserve">, </w:t>
      </w:r>
      <w:r w:rsidR="002C3A82">
        <w:rPr>
          <w:rFonts w:ascii="Times New Roman" w:hAnsi="Times New Roman" w:cs="Times New Roman"/>
          <w:noProof/>
          <w:sz w:val="24"/>
          <w:szCs w:val="24"/>
        </w:rPr>
        <w:t>se ha demostrado</w:t>
      </w:r>
      <w:r w:rsidRPr="00F33BF3">
        <w:rPr>
          <w:rFonts w:ascii="Times New Roman" w:hAnsi="Times New Roman" w:cs="Times New Roman"/>
          <w:sz w:val="24"/>
          <w:szCs w:val="24"/>
        </w:rPr>
        <w:t xml:space="preserve"> que los reptiles fueron la segunda clase más anunciada en TripAdvisor con el 51%</w:t>
      </w:r>
      <w:r w:rsidR="002C3A82">
        <w:rPr>
          <w:rFonts w:ascii="Times New Roman" w:hAnsi="Times New Roman" w:cs="Times New Roman"/>
          <w:sz w:val="24"/>
          <w:szCs w:val="24"/>
        </w:rPr>
        <w:t>,</w:t>
      </w:r>
      <w:r w:rsidRPr="00F33BF3">
        <w:rPr>
          <w:rFonts w:ascii="Times New Roman" w:hAnsi="Times New Roman" w:cs="Times New Roman"/>
          <w:sz w:val="24"/>
          <w:szCs w:val="24"/>
        </w:rPr>
        <w:t xml:space="preserve"> mientras que los anfibios la última con 9,8%.</w:t>
      </w:r>
    </w:p>
    <w:p w14:paraId="4DB3CEA2" w14:textId="5DE1DA9A" w:rsidR="00F33BF3" w:rsidRPr="00F33BF3" w:rsidRDefault="00F33BF3" w:rsidP="00F33BF3">
      <w:pPr>
        <w:spacing w:after="120" w:line="240" w:lineRule="auto"/>
        <w:ind w:firstLine="510"/>
        <w:jc w:val="both"/>
        <w:rPr>
          <w:rFonts w:ascii="Times New Roman" w:hAnsi="Times New Roman" w:cs="Times New Roman"/>
          <w:sz w:val="24"/>
          <w:szCs w:val="24"/>
          <w:shd w:val="clear" w:color="auto" w:fill="FFFFFF"/>
        </w:rPr>
      </w:pPr>
      <w:r w:rsidRPr="00F33BF3">
        <w:rPr>
          <w:rFonts w:ascii="Times New Roman" w:hAnsi="Times New Roman" w:cs="Times New Roman"/>
          <w:sz w:val="24"/>
          <w:szCs w:val="24"/>
        </w:rPr>
        <w:t xml:space="preserve">Ecuador gracias a varios factores como su ubicación, es uno de los 17 países megadiversos del mundo. Según </w:t>
      </w:r>
      <w:r w:rsidRPr="00F33BF3">
        <w:rPr>
          <w:rFonts w:ascii="Times New Roman" w:hAnsi="Times New Roman" w:cs="Times New Roman"/>
          <w:noProof/>
          <w:sz w:val="24"/>
          <w:szCs w:val="24"/>
        </w:rPr>
        <w:t xml:space="preserve">Ron et al., (2020) existen </w:t>
      </w:r>
      <w:r w:rsidRPr="00F33BF3">
        <w:rPr>
          <w:rFonts w:ascii="Times New Roman" w:hAnsi="Times New Roman" w:cs="Times New Roman"/>
          <w:sz w:val="24"/>
          <w:szCs w:val="24"/>
        </w:rPr>
        <w:t xml:space="preserve">633 especies de anfibios, de las cuales 286 son endémicas, convirtiéndolo en el tercer país en el mundo con mayor número de estas especies; mientras que en reptiles posee 483 especies, con 156 de ella endémicas, </w:t>
      </w:r>
      <w:r w:rsidR="002C3A82">
        <w:rPr>
          <w:rFonts w:ascii="Times New Roman" w:hAnsi="Times New Roman" w:cs="Times New Roman"/>
          <w:sz w:val="24"/>
          <w:szCs w:val="24"/>
        </w:rPr>
        <w:t>lo que</w:t>
      </w:r>
      <w:r w:rsidRPr="00F33BF3">
        <w:rPr>
          <w:rFonts w:ascii="Times New Roman" w:hAnsi="Times New Roman" w:cs="Times New Roman"/>
          <w:sz w:val="24"/>
          <w:szCs w:val="24"/>
        </w:rPr>
        <w:t xml:space="preserve"> representa aproximadamente el 4.3% de la diversidad mundial </w:t>
      </w:r>
      <w:r w:rsidRPr="00F33BF3">
        <w:rPr>
          <w:rFonts w:ascii="Times New Roman" w:hAnsi="Times New Roman" w:cs="Times New Roman"/>
          <w:noProof/>
          <w:sz w:val="24"/>
          <w:szCs w:val="24"/>
          <w:shd w:val="clear" w:color="auto" w:fill="FFFFFF"/>
        </w:rPr>
        <w:t>(Torres et al., 2020)</w:t>
      </w:r>
      <w:r w:rsidRPr="00F33BF3">
        <w:rPr>
          <w:rFonts w:ascii="Times New Roman" w:hAnsi="Times New Roman" w:cs="Times New Roman"/>
          <w:sz w:val="24"/>
          <w:szCs w:val="24"/>
          <w:shd w:val="clear" w:color="auto" w:fill="FFFFFF"/>
        </w:rPr>
        <w:t xml:space="preserve">. </w:t>
      </w:r>
    </w:p>
    <w:p w14:paraId="060B0083" w14:textId="3C2F7B60" w:rsidR="00F33BF3" w:rsidRPr="00F33BF3" w:rsidRDefault="00F33BF3" w:rsidP="00F33BF3">
      <w:pPr>
        <w:spacing w:after="120" w:line="240" w:lineRule="auto"/>
        <w:ind w:firstLine="510"/>
        <w:jc w:val="both"/>
        <w:rPr>
          <w:rFonts w:ascii="Times New Roman" w:hAnsi="Times New Roman" w:cs="Times New Roman"/>
          <w:noProof/>
          <w:sz w:val="24"/>
          <w:szCs w:val="24"/>
        </w:rPr>
      </w:pPr>
      <w:r w:rsidRPr="00F33BF3">
        <w:rPr>
          <w:rFonts w:ascii="Times New Roman" w:hAnsi="Times New Roman" w:cs="Times New Roman"/>
          <w:sz w:val="24"/>
          <w:szCs w:val="24"/>
        </w:rPr>
        <w:t xml:space="preserve">Pese a ello </w:t>
      </w:r>
      <w:r w:rsidRPr="00F33BF3">
        <w:rPr>
          <w:rFonts w:ascii="Times New Roman" w:hAnsi="Times New Roman" w:cs="Times New Roman"/>
          <w:sz w:val="24"/>
          <w:szCs w:val="24"/>
          <w:shd w:val="clear" w:color="auto" w:fill="FFFFFF"/>
        </w:rPr>
        <w:t>en la lista roja de anfibios de</w:t>
      </w:r>
      <w:r w:rsidR="002C3A82">
        <w:rPr>
          <w:rFonts w:ascii="Times New Roman" w:hAnsi="Times New Roman" w:cs="Times New Roman"/>
          <w:sz w:val="24"/>
          <w:szCs w:val="24"/>
          <w:shd w:val="clear" w:color="auto" w:fill="FFFFFF"/>
        </w:rPr>
        <w:t xml:space="preserve"> </w:t>
      </w:r>
      <w:r w:rsidRPr="00F33BF3">
        <w:rPr>
          <w:rFonts w:ascii="Times New Roman" w:hAnsi="Times New Roman" w:cs="Times New Roman"/>
          <w:sz w:val="24"/>
          <w:szCs w:val="24"/>
          <w:shd w:val="clear" w:color="auto" w:fill="FFFFFF"/>
        </w:rPr>
        <w:t xml:space="preserve">Ecuador 2020 del </w:t>
      </w:r>
      <w:r w:rsidRPr="00F33BF3">
        <w:rPr>
          <w:rFonts w:ascii="Times New Roman" w:hAnsi="Times New Roman" w:cs="Times New Roman"/>
          <w:noProof/>
          <w:sz w:val="24"/>
          <w:szCs w:val="24"/>
          <w:shd w:val="clear" w:color="auto" w:fill="FFFFFF"/>
        </w:rPr>
        <w:t>Ministerio de Ambiente</w:t>
      </w:r>
      <w:r w:rsidR="002C3A82">
        <w:rPr>
          <w:rFonts w:ascii="Times New Roman" w:hAnsi="Times New Roman" w:cs="Times New Roman"/>
          <w:noProof/>
          <w:sz w:val="24"/>
          <w:szCs w:val="24"/>
          <w:shd w:val="clear" w:color="auto" w:fill="FFFFFF"/>
        </w:rPr>
        <w:t xml:space="preserve"> </w:t>
      </w:r>
      <w:r w:rsidRPr="00F33BF3">
        <w:rPr>
          <w:rFonts w:ascii="Times New Roman" w:hAnsi="Times New Roman" w:cs="Times New Roman"/>
          <w:noProof/>
          <w:sz w:val="24"/>
          <w:szCs w:val="24"/>
          <w:shd w:val="clear" w:color="auto" w:fill="FFFFFF"/>
        </w:rPr>
        <w:t>(2020)</w:t>
      </w:r>
      <w:r w:rsidRPr="00F33BF3">
        <w:rPr>
          <w:rFonts w:ascii="Times New Roman" w:hAnsi="Times New Roman" w:cs="Times New Roman"/>
          <w:b/>
          <w:bCs/>
          <w:noProof/>
          <w:sz w:val="24"/>
          <w:szCs w:val="24"/>
        </w:rPr>
        <w:t xml:space="preserve"> </w:t>
      </w:r>
      <w:r w:rsidR="002C3A82">
        <w:rPr>
          <w:rFonts w:ascii="Times New Roman" w:hAnsi="Times New Roman" w:cs="Times New Roman"/>
          <w:b/>
          <w:bCs/>
          <w:noProof/>
          <w:sz w:val="24"/>
          <w:szCs w:val="24"/>
        </w:rPr>
        <w:t xml:space="preserve">se </w:t>
      </w:r>
      <w:r w:rsidRPr="00F33BF3">
        <w:rPr>
          <w:rFonts w:ascii="Times New Roman" w:hAnsi="Times New Roman" w:cs="Times New Roman"/>
          <w:sz w:val="24"/>
          <w:szCs w:val="24"/>
          <w:shd w:val="clear" w:color="auto" w:fill="FFFFFF"/>
        </w:rPr>
        <w:t>menciona que, de las 630 especies estudiadas, 83 se encuentran en peligro crítico, 149 en peligro, 129 en estado vulnerable, 76 casi amenazadas, 25 con datos insuficientes, 168 en preocupación menor y una especie no evaluada, en otras palabras, el 57% de anfibios</w:t>
      </w:r>
      <w:r w:rsidR="002C3A82">
        <w:rPr>
          <w:rFonts w:ascii="Times New Roman" w:hAnsi="Times New Roman" w:cs="Times New Roman"/>
          <w:sz w:val="24"/>
          <w:szCs w:val="24"/>
          <w:shd w:val="clear" w:color="auto" w:fill="FFFFFF"/>
        </w:rPr>
        <w:t>,</w:t>
      </w:r>
      <w:r w:rsidRPr="00F33BF3">
        <w:rPr>
          <w:rFonts w:ascii="Times New Roman" w:hAnsi="Times New Roman" w:cs="Times New Roman"/>
          <w:sz w:val="24"/>
          <w:szCs w:val="24"/>
          <w:shd w:val="clear" w:color="auto" w:fill="FFFFFF"/>
        </w:rPr>
        <w:t xml:space="preserve"> 361 especies, se encuentran en categorías de amenaza. Además, en el caso de los reptiles no se cuenta con un análisis actualizado de su estado de conservación</w:t>
      </w:r>
      <w:r w:rsidR="002C3A82">
        <w:rPr>
          <w:rFonts w:ascii="Times New Roman" w:hAnsi="Times New Roman" w:cs="Times New Roman"/>
          <w:sz w:val="24"/>
          <w:szCs w:val="24"/>
          <w:shd w:val="clear" w:color="auto" w:fill="FFFFFF"/>
        </w:rPr>
        <w:t>. L</w:t>
      </w:r>
      <w:r w:rsidRPr="00F33BF3">
        <w:rPr>
          <w:rFonts w:ascii="Times New Roman" w:hAnsi="Times New Roman" w:cs="Times New Roman"/>
          <w:sz w:val="24"/>
          <w:szCs w:val="24"/>
          <w:shd w:val="clear" w:color="auto" w:fill="FFFFFF"/>
        </w:rPr>
        <w:t>os datos del Ministerio de Ambiente son del año 2005, estiman que el “19,95 % de las especies están en la categoría de Casi Amenazada, un 14,21% se clasifica como Vulnerable, un 10,47% se cataloga como en Peligro y un 2,24% está en la categoría de Peligro Crítico</w:t>
      </w:r>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(Ministerio de Ambiente de Ecuador, 2017).</w:t>
      </w:r>
    </w:p>
    <w:p w14:paraId="6F1F4507" w14:textId="049CDE61"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Los anfibios y reptiles se encuentran en todo el mundo y proporcionan una gran variedad de servicios ecosistémicos, como el flujo de energía, control de plagas, polinizadores, dispersión de semillas y servicios culturales</w:t>
      </w:r>
      <w:r w:rsidRPr="00F33BF3">
        <w:rPr>
          <w:rFonts w:ascii="Times New Roman" w:hAnsi="Times New Roman" w:cs="Times New Roman"/>
          <w:b/>
          <w:bCs/>
          <w:sz w:val="24"/>
          <w:szCs w:val="24"/>
        </w:rPr>
        <w:t xml:space="preserve"> </w:t>
      </w:r>
      <w:r w:rsidRPr="00F33BF3">
        <w:rPr>
          <w:rFonts w:ascii="Times New Roman" w:hAnsi="Times New Roman" w:cs="Times New Roman"/>
          <w:noProof/>
          <w:sz w:val="24"/>
          <w:szCs w:val="24"/>
        </w:rPr>
        <w:t>(Valencia-Aguilar et al., 2013)</w:t>
      </w:r>
      <w:r w:rsidRPr="00F33BF3">
        <w:rPr>
          <w:rFonts w:ascii="Times New Roman" w:hAnsi="Times New Roman" w:cs="Times New Roman"/>
          <w:b/>
          <w:bCs/>
          <w:sz w:val="24"/>
          <w:szCs w:val="24"/>
        </w:rPr>
        <w:t>.</w:t>
      </w:r>
      <w:r w:rsidRPr="00F33BF3">
        <w:rPr>
          <w:rFonts w:ascii="Times New Roman" w:hAnsi="Times New Roman" w:cs="Times New Roman"/>
          <w:sz w:val="24"/>
          <w:szCs w:val="24"/>
        </w:rPr>
        <w:t xml:space="preserve"> </w:t>
      </w:r>
      <w:r w:rsidRPr="00F33BF3">
        <w:rPr>
          <w:rFonts w:ascii="Times New Roman" w:hAnsi="Times New Roman" w:cs="Times New Roman"/>
          <w:sz w:val="24"/>
          <w:szCs w:val="24"/>
          <w:shd w:val="clear" w:color="auto" w:fill="FFFFFF"/>
        </w:rPr>
        <w:t>Además, los anfibios cumplen un rol importante como bioindicadores de la calidad del ambiente, funciones esenciales en los ecosistemas terrestres y acuáticos, a nivel biológico son parte de la cadena trófica, a nivel socioeconómico sirven para la extracción de sustancias con fines bioquímicos o médicos, comercio y folklore. Igualmente, los reptiles, algunos en la cima de la cadena atrófica</w:t>
      </w:r>
      <w:r w:rsidR="002C3A82">
        <w:rPr>
          <w:rFonts w:ascii="Times New Roman" w:hAnsi="Times New Roman" w:cs="Times New Roman"/>
          <w:sz w:val="24"/>
          <w:szCs w:val="24"/>
          <w:shd w:val="clear" w:color="auto" w:fill="FFFFFF"/>
        </w:rPr>
        <w:t>,</w:t>
      </w:r>
      <w:r w:rsidRPr="00F33BF3">
        <w:rPr>
          <w:rFonts w:ascii="Times New Roman" w:hAnsi="Times New Roman" w:cs="Times New Roman"/>
          <w:sz w:val="24"/>
          <w:szCs w:val="24"/>
          <w:shd w:val="clear" w:color="auto" w:fill="FFFFFF"/>
        </w:rPr>
        <w:t xml:space="preserve"> son controladores de artrópodos, aves, mamíferos, entre otros y su veneno también posee usos médicos</w:t>
      </w:r>
      <w:r w:rsidRPr="00F33BF3">
        <w:rPr>
          <w:rFonts w:ascii="Times New Roman" w:hAnsi="Times New Roman" w:cs="Times New Roman"/>
          <w:sz w:val="24"/>
          <w:szCs w:val="24"/>
        </w:rPr>
        <w:t xml:space="preserve"> (Ministerio de Ambiente del Perú, </w:t>
      </w:r>
      <w:r w:rsidRPr="00F33BF3">
        <w:rPr>
          <w:rFonts w:ascii="Times New Roman" w:hAnsi="Times New Roman" w:cs="Times New Roman"/>
          <w:noProof/>
          <w:sz w:val="24"/>
          <w:szCs w:val="24"/>
        </w:rPr>
        <w:t>2015)</w:t>
      </w:r>
      <w:r w:rsidRPr="00F33BF3">
        <w:rPr>
          <w:rFonts w:ascii="Times New Roman" w:hAnsi="Times New Roman" w:cs="Times New Roman"/>
          <w:sz w:val="24"/>
          <w:szCs w:val="24"/>
        </w:rPr>
        <w:t xml:space="preserve">. </w:t>
      </w:r>
    </w:p>
    <w:p w14:paraId="1DA81A87" w14:textId="110BF42D"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shd w:val="clear" w:color="auto" w:fill="FFFFFF"/>
        </w:rPr>
        <w:t xml:space="preserve">Sin embargo, con todo el potencial biodiverso de Ecuador, </w:t>
      </w:r>
      <w:r w:rsidRPr="00F33BF3">
        <w:rPr>
          <w:rFonts w:ascii="Times New Roman" w:hAnsi="Times New Roman" w:cs="Times New Roman"/>
          <w:sz w:val="24"/>
          <w:szCs w:val="24"/>
        </w:rPr>
        <w:t xml:space="preserve">los resultados acerca de la observación de fauna siguen siendo muy escasos. El dato oficial más reciente se encuentra en el Plan Estratégico de Desarrollo de Turismo Sostenible para el Ecuador "PLANDETUR” 2010, el cual señala que 79.232 turistas preferían realizar actividades de observación de flora y fauna, representando un 3% del total de turistas en aquella época. Hablando de la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esta actividad aún desaprovechada, se divide entre áreas privadas para la observación de caimanes </w:t>
      </w:r>
      <w:r w:rsidRPr="00F33BF3">
        <w:rPr>
          <w:rFonts w:ascii="Times New Roman" w:hAnsi="Times New Roman" w:cs="Times New Roman"/>
          <w:sz w:val="24"/>
          <w:szCs w:val="24"/>
        </w:rPr>
        <w:lastRenderedPageBreak/>
        <w:t>y áreas naturales protegidas para la observación de cocodrilos, distribuidas en el Parque Nacional Yasuní, Reserva Biológica Limoncocha y Reserva de Producción Faunística Cuyabeno, mientras que el avistamiento de anfibios se da de manera escasa en Mindo; y finalmente el Parque Nacional Galápagos para la observación de tortugas gigantes</w:t>
      </w:r>
      <w:r w:rsidRPr="00F33BF3">
        <w:rPr>
          <w:rFonts w:ascii="Times New Roman" w:hAnsi="Times New Roman" w:cs="Times New Roman"/>
          <w:noProof/>
          <w:sz w:val="24"/>
          <w:szCs w:val="24"/>
        </w:rPr>
        <w:t xml:space="preserve"> (Hernandez, 2012)</w:t>
      </w:r>
      <w:r w:rsidRPr="00F33BF3">
        <w:rPr>
          <w:rFonts w:ascii="Times New Roman" w:hAnsi="Times New Roman" w:cs="Times New Roman"/>
          <w:sz w:val="24"/>
          <w:szCs w:val="24"/>
        </w:rPr>
        <w:t>.</w:t>
      </w:r>
    </w:p>
    <w:p w14:paraId="550E5F9E" w14:textId="65D1A06B"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Para </w:t>
      </w:r>
      <w:proofErr w:type="spellStart"/>
      <w:r w:rsidRPr="00F33BF3">
        <w:rPr>
          <w:rFonts w:ascii="Times New Roman" w:hAnsi="Times New Roman" w:cs="Times New Roman"/>
          <w:sz w:val="24"/>
          <w:szCs w:val="24"/>
        </w:rPr>
        <w:t>Rainforest</w:t>
      </w:r>
      <w:proofErr w:type="spellEnd"/>
      <w:r w:rsidRPr="00F33BF3">
        <w:rPr>
          <w:rFonts w:ascii="Times New Roman" w:hAnsi="Times New Roman" w:cs="Times New Roman"/>
          <w:sz w:val="24"/>
          <w:szCs w:val="24"/>
        </w:rPr>
        <w:t xml:space="preserve"> Alliance </w:t>
      </w:r>
      <w:r w:rsidRPr="00F33BF3">
        <w:rPr>
          <w:rFonts w:ascii="Times New Roman" w:hAnsi="Times New Roman" w:cs="Times New Roman"/>
          <w:noProof/>
          <w:sz w:val="24"/>
          <w:szCs w:val="24"/>
        </w:rPr>
        <w:t>(2010)</w:t>
      </w:r>
      <w:r w:rsidRPr="00F33BF3">
        <w:rPr>
          <w:rFonts w:ascii="Times New Roman" w:hAnsi="Times New Roman" w:cs="Times New Roman"/>
          <w:sz w:val="24"/>
          <w:szCs w:val="24"/>
        </w:rPr>
        <w:t xml:space="preserve"> el desarrollo de este tipo de actividades en espacios naturales, generan un impacto</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este puede ser sobre las comunidades locales, los ecosistemas o la biodiversidad. En esta última Echegaray y Hernando </w:t>
      </w:r>
      <w:r w:rsidRPr="00F33BF3">
        <w:rPr>
          <w:rFonts w:ascii="Times New Roman" w:hAnsi="Times New Roman" w:cs="Times New Roman"/>
          <w:noProof/>
          <w:sz w:val="24"/>
          <w:szCs w:val="24"/>
        </w:rPr>
        <w:t>(2004)</w:t>
      </w:r>
      <w:r w:rsidRPr="00F33BF3">
        <w:rPr>
          <w:rFonts w:ascii="Times New Roman" w:hAnsi="Times New Roman" w:cs="Times New Roman"/>
          <w:sz w:val="24"/>
          <w:szCs w:val="24"/>
        </w:rPr>
        <w:t xml:space="preserve"> afirman que los reptiles y en especial los anfibios son especies sensibles a las alteraciones en los ecosistemas, la perdida de hábitats y la intervención antrópica, por lo tanto, para Martínez y Blanco </w:t>
      </w:r>
      <w:r w:rsidRPr="00F33BF3">
        <w:rPr>
          <w:rFonts w:ascii="Times New Roman" w:hAnsi="Times New Roman" w:cs="Times New Roman"/>
          <w:noProof/>
          <w:sz w:val="24"/>
          <w:szCs w:val="24"/>
        </w:rPr>
        <w:t>(2013)</w:t>
      </w:r>
      <w:r w:rsidRPr="00F33BF3">
        <w:rPr>
          <w:rFonts w:ascii="Times New Roman" w:hAnsi="Times New Roman" w:cs="Times New Roman"/>
          <w:sz w:val="24"/>
          <w:szCs w:val="24"/>
        </w:rPr>
        <w:t xml:space="preserve"> el turismo debe gestionarse a través del desarrollo, planificación, manejo y diseño de productos que integren de manera particular todo un sistema donde lo social, cultural, económico, político, financiero y ambiental guarden armonía, con el fin de conservar el entorno natural y beneficiar a las comunidades locales; debe existir una relación entre vida silvestre, hábitats, turistas, operadores y negocios, los cuales a través de dichos productos que midan el impacto en el medio ambiente, localidades y prestadores de servicios </w:t>
      </w:r>
      <w:r w:rsidRPr="00F33BF3">
        <w:rPr>
          <w:rFonts w:ascii="Times New Roman" w:hAnsi="Times New Roman" w:cs="Times New Roman"/>
          <w:noProof/>
          <w:sz w:val="24"/>
          <w:szCs w:val="24"/>
        </w:rPr>
        <w:t>(Cong et al., 2014)</w:t>
      </w:r>
      <w:r w:rsidRPr="00F33BF3">
        <w:rPr>
          <w:rFonts w:ascii="Times New Roman" w:hAnsi="Times New Roman" w:cs="Times New Roman"/>
          <w:b/>
          <w:bCs/>
          <w:sz w:val="24"/>
          <w:szCs w:val="24"/>
        </w:rPr>
        <w:t>.</w:t>
      </w:r>
    </w:p>
    <w:p w14:paraId="2377218B" w14:textId="1F52181C"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La adecuada interacción entre turistas y vida silvestre puede contribuir a la sostenibilidad</w:t>
      </w:r>
      <w:r w:rsidR="002C3A82">
        <w:rPr>
          <w:rFonts w:ascii="Times New Roman" w:hAnsi="Times New Roman" w:cs="Times New Roman"/>
          <w:sz w:val="24"/>
          <w:szCs w:val="24"/>
        </w:rPr>
        <w:t xml:space="preserve"> y</w:t>
      </w:r>
      <w:r w:rsidRPr="00F33BF3">
        <w:rPr>
          <w:rFonts w:ascii="Times New Roman" w:hAnsi="Times New Roman" w:cs="Times New Roman"/>
          <w:sz w:val="24"/>
          <w:szCs w:val="24"/>
        </w:rPr>
        <w:t xml:space="preserve"> es ahí donde la interpretación turística o la educación ambiental se convierte</w:t>
      </w:r>
      <w:r w:rsidR="002C3A82">
        <w:rPr>
          <w:rFonts w:ascii="Times New Roman" w:hAnsi="Times New Roman" w:cs="Times New Roman"/>
          <w:sz w:val="24"/>
          <w:szCs w:val="24"/>
        </w:rPr>
        <w:t>n</w:t>
      </w:r>
      <w:r w:rsidRPr="00F33BF3">
        <w:rPr>
          <w:rFonts w:ascii="Times New Roman" w:hAnsi="Times New Roman" w:cs="Times New Roman"/>
          <w:sz w:val="24"/>
          <w:szCs w:val="24"/>
        </w:rPr>
        <w:t xml:space="preserve"> en una herramienta importante para mejorar la experiencia del viajero, ya que así se espera un mayor compromiso personal en el cumplimiento de las reglas que garanticen su seguridad y la de los animales en la naturaleza </w:t>
      </w:r>
      <w:r w:rsidRPr="00F33BF3">
        <w:rPr>
          <w:rFonts w:ascii="Times New Roman" w:hAnsi="Times New Roman" w:cs="Times New Roman"/>
          <w:noProof/>
          <w:sz w:val="24"/>
          <w:szCs w:val="24"/>
        </w:rPr>
        <w:t>(Larm et al., 2017)</w:t>
      </w:r>
      <w:r w:rsidR="002C3A82">
        <w:rPr>
          <w:rFonts w:ascii="Times New Roman" w:hAnsi="Times New Roman" w:cs="Times New Roman"/>
          <w:noProof/>
          <w:sz w:val="24"/>
          <w:szCs w:val="24"/>
        </w:rPr>
        <w:t>, de manera que</w:t>
      </w:r>
      <w:r w:rsidRPr="00F33BF3">
        <w:rPr>
          <w:rFonts w:ascii="Times New Roman" w:hAnsi="Times New Roman" w:cs="Times New Roman"/>
          <w:sz w:val="24"/>
          <w:szCs w:val="24"/>
        </w:rPr>
        <w:t xml:space="preserve"> exista un impacto mínimo y su presencia no perturbe a estas especies; </w:t>
      </w:r>
      <w:r w:rsidRPr="00F33BF3">
        <w:rPr>
          <w:rFonts w:ascii="Times New Roman" w:hAnsi="Times New Roman" w:cs="Times New Roman"/>
          <w:noProof/>
          <w:sz w:val="24"/>
          <w:szCs w:val="24"/>
        </w:rPr>
        <w:t>los interpretes turisticos deben establecer informacion practica para persuadir a los visitantes en su comportamiento a largo plazo y sepan que sus acciones influyen en el cuidado del ambiente</w:t>
      </w:r>
      <w:r w:rsidRPr="00F33BF3">
        <w:rPr>
          <w:rFonts w:ascii="Times New Roman" w:hAnsi="Times New Roman" w:cs="Times New Roman"/>
          <w:b/>
          <w:bCs/>
          <w:noProof/>
          <w:sz w:val="24"/>
          <w:szCs w:val="24"/>
        </w:rPr>
        <w:t xml:space="preserve"> </w:t>
      </w:r>
      <w:r w:rsidRPr="00F33BF3">
        <w:rPr>
          <w:rFonts w:ascii="Times New Roman" w:hAnsi="Times New Roman" w:cs="Times New Roman"/>
          <w:noProof/>
          <w:sz w:val="24"/>
          <w:szCs w:val="24"/>
        </w:rPr>
        <w:t>(Ballantyne et al., 2009)</w:t>
      </w:r>
    </w:p>
    <w:p w14:paraId="5CE843C3" w14:textId="4182291C"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El diseño de productos de turismo herpetológico ayudará a diversificar y fortalecer la oferta turística de un sitio, a través de la creación de nuevas actividades sostenibles </w:t>
      </w:r>
      <w:r w:rsidRPr="00F33BF3">
        <w:rPr>
          <w:rFonts w:ascii="Times New Roman" w:hAnsi="Times New Roman" w:cs="Times New Roman"/>
          <w:sz w:val="24"/>
          <w:szCs w:val="24"/>
          <w:shd w:val="clear" w:color="auto" w:fill="FFFFFF"/>
        </w:rPr>
        <w:t>enfocadas en el avistamiento y generación de información sobre anfibios y reptiles</w:t>
      </w:r>
      <w:r w:rsidRPr="00F33BF3">
        <w:rPr>
          <w:rFonts w:ascii="Times New Roman" w:hAnsi="Times New Roman" w:cs="Times New Roman"/>
          <w:sz w:val="24"/>
          <w:szCs w:val="24"/>
        </w:rPr>
        <w:t xml:space="preserve">. Con ello aportando a su conservación, investigación y educación a través de un cambio en el uso de suelo, gracias a la llegada de un mayor número de turistas interesados en este grupo de especies, que al mismo tiempo generan beneficios económicos para el lugar y las comunidades </w:t>
      </w:r>
      <w:r w:rsidRPr="00F33BF3">
        <w:rPr>
          <w:rFonts w:ascii="Times New Roman" w:hAnsi="Times New Roman" w:cs="Times New Roman"/>
          <w:noProof/>
          <w:sz w:val="24"/>
          <w:szCs w:val="24"/>
        </w:rPr>
        <w:t>(CRC Sustainable Tourism, 2001)</w:t>
      </w:r>
      <w:r w:rsidRPr="00F33BF3">
        <w:rPr>
          <w:rFonts w:ascii="Times New Roman" w:hAnsi="Times New Roman" w:cs="Times New Roman"/>
          <w:sz w:val="24"/>
          <w:szCs w:val="24"/>
        </w:rPr>
        <w:t xml:space="preserve">. Es esencial que los componentes de vida silvestre incluyan tamaño de las poblaciones, distribución, estados de conservación, así mismo los programas, clientes, infraestructura y equipamiento para el normal desarrollo de estas actividades </w:t>
      </w:r>
      <w:r w:rsidRPr="00F33BF3">
        <w:rPr>
          <w:rFonts w:ascii="Times New Roman" w:hAnsi="Times New Roman" w:cs="Times New Roman"/>
          <w:noProof/>
          <w:sz w:val="24"/>
          <w:szCs w:val="24"/>
        </w:rPr>
        <w:t>(Buckley y Castley, 2012)</w:t>
      </w:r>
      <w:r w:rsidRPr="00F33BF3">
        <w:rPr>
          <w:rFonts w:ascii="Times New Roman" w:hAnsi="Times New Roman" w:cs="Times New Roman"/>
          <w:b/>
          <w:bCs/>
          <w:sz w:val="24"/>
          <w:szCs w:val="24"/>
        </w:rPr>
        <w:t>.</w:t>
      </w:r>
    </w:p>
    <w:p w14:paraId="15AEDB13" w14:textId="77777777" w:rsidR="00AD6D13" w:rsidRDefault="00AD6D13" w:rsidP="00F33BF3">
      <w:pPr>
        <w:pStyle w:val="Prrafodelista"/>
        <w:spacing w:after="0" w:line="360" w:lineRule="auto"/>
        <w:ind w:left="0"/>
        <w:rPr>
          <w:rFonts w:ascii="Times New Roman" w:hAnsi="Times New Roman" w:cs="Times New Roman"/>
          <w:b/>
          <w:bCs/>
          <w:sz w:val="24"/>
          <w:szCs w:val="24"/>
        </w:rPr>
      </w:pPr>
    </w:p>
    <w:p w14:paraId="557C85DA" w14:textId="51B6B2CD" w:rsidR="00F33BF3" w:rsidRPr="00F33BF3" w:rsidRDefault="00AD6D13" w:rsidP="00F33BF3">
      <w:pPr>
        <w:pStyle w:val="Prrafodelista"/>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2. </w:t>
      </w:r>
      <w:r w:rsidR="00F33BF3" w:rsidRPr="00F33BF3">
        <w:rPr>
          <w:rFonts w:ascii="Times New Roman" w:hAnsi="Times New Roman" w:cs="Times New Roman"/>
          <w:b/>
          <w:bCs/>
          <w:sz w:val="24"/>
          <w:szCs w:val="24"/>
        </w:rPr>
        <w:t xml:space="preserve">Revisión de </w:t>
      </w:r>
      <w:r>
        <w:rPr>
          <w:rFonts w:ascii="Times New Roman" w:hAnsi="Times New Roman" w:cs="Times New Roman"/>
          <w:b/>
          <w:bCs/>
          <w:sz w:val="24"/>
          <w:szCs w:val="24"/>
        </w:rPr>
        <w:t xml:space="preserve">la </w:t>
      </w:r>
      <w:r w:rsidR="00F33BF3" w:rsidRPr="00F33BF3">
        <w:rPr>
          <w:rFonts w:ascii="Times New Roman" w:hAnsi="Times New Roman" w:cs="Times New Roman"/>
          <w:b/>
          <w:bCs/>
          <w:sz w:val="24"/>
          <w:szCs w:val="24"/>
        </w:rPr>
        <w:t>literatura</w:t>
      </w:r>
    </w:p>
    <w:p w14:paraId="2527D942" w14:textId="77777777" w:rsidR="00F33BF3" w:rsidRPr="00F33BF3" w:rsidRDefault="00F33BF3" w:rsidP="00F33BF3">
      <w:pPr>
        <w:pStyle w:val="Prrafodelista"/>
        <w:spacing w:after="120" w:line="240" w:lineRule="auto"/>
        <w:ind w:left="0" w:firstLine="510"/>
        <w:jc w:val="both"/>
        <w:rPr>
          <w:rFonts w:ascii="Times New Roman" w:hAnsi="Times New Roman" w:cs="Times New Roman"/>
          <w:sz w:val="24"/>
          <w:szCs w:val="24"/>
        </w:rPr>
      </w:pPr>
      <w:r w:rsidRPr="00AD6D13">
        <w:rPr>
          <w:rFonts w:ascii="Times New Roman" w:hAnsi="Times New Roman" w:cs="Times New Roman"/>
          <w:sz w:val="24"/>
          <w:szCs w:val="24"/>
          <w:u w:val="single"/>
        </w:rPr>
        <w:t>Turismo herpetológico:</w:t>
      </w:r>
      <w:r w:rsidRPr="00F33BF3">
        <w:rPr>
          <w:rFonts w:ascii="Times New Roman" w:hAnsi="Times New Roman" w:cs="Times New Roman"/>
          <w:sz w:val="24"/>
          <w:szCs w:val="24"/>
        </w:rPr>
        <w:t xml:space="preserve"> Para </w:t>
      </w:r>
      <w:r w:rsidRPr="00F33BF3">
        <w:rPr>
          <w:rFonts w:ascii="Times New Roman" w:hAnsi="Times New Roman" w:cs="Times New Roman"/>
          <w:noProof/>
          <w:sz w:val="24"/>
          <w:szCs w:val="24"/>
        </w:rPr>
        <w:t xml:space="preserve">Hernandez, (2013) </w:t>
      </w:r>
      <w:r w:rsidRPr="00F33BF3">
        <w:rPr>
          <w:rFonts w:ascii="Times New Roman" w:hAnsi="Times New Roman" w:cs="Times New Roman"/>
          <w:sz w:val="24"/>
          <w:szCs w:val="24"/>
        </w:rPr>
        <w:t xml:space="preserve">la observación de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es una actividad que se incluye dentro del Ecoturismo. Dicha actividad se enfoca principalmente en la observación, identificación y registro fotográfico de anfibios y reptiles en sus hábitats, sean naturales o ambientes artificiales, esto se presenta como un reciente y poco usual atractivo turístico a desarrollarse. Escobar (2015) aporta mencionando que el turismo herpetológico o </w:t>
      </w:r>
      <w:proofErr w:type="spellStart"/>
      <w:r w:rsidRPr="00F33BF3">
        <w:rPr>
          <w:rFonts w:ascii="Times New Roman" w:hAnsi="Times New Roman" w:cs="Times New Roman"/>
          <w:sz w:val="24"/>
          <w:szCs w:val="24"/>
        </w:rPr>
        <w:t>herpetoturismo</w:t>
      </w:r>
      <w:proofErr w:type="spellEnd"/>
      <w:r w:rsidRPr="00F33BF3">
        <w:rPr>
          <w:rFonts w:ascii="Times New Roman" w:hAnsi="Times New Roman" w:cs="Times New Roman"/>
          <w:sz w:val="24"/>
          <w:szCs w:val="24"/>
        </w:rPr>
        <w:t xml:space="preserve"> representa una actividad innovadora y de gran potencial, considerando a la búsqueda de anfibios y reptiles en diferentes espacios naturales como el disfrute para los turistas, además está muy asociada la fotografía, conservación e investigación de la biodiversidad.</w:t>
      </w:r>
      <w:bookmarkStart w:id="3" w:name="_Toc47919531"/>
    </w:p>
    <w:p w14:paraId="04C68362" w14:textId="5AE6B2EA" w:rsidR="00F33BF3" w:rsidRPr="00F33BF3" w:rsidRDefault="00AD6D13" w:rsidP="00AD6D13">
      <w:pPr>
        <w:pStyle w:val="Prrafodelista"/>
        <w:spacing w:after="120" w:line="240" w:lineRule="auto"/>
        <w:ind w:left="0" w:firstLine="510"/>
        <w:jc w:val="both"/>
        <w:rPr>
          <w:rFonts w:ascii="Times New Roman" w:hAnsi="Times New Roman" w:cs="Times New Roman"/>
          <w:sz w:val="24"/>
          <w:szCs w:val="24"/>
        </w:rPr>
      </w:pPr>
      <w:r w:rsidRPr="00AD6D13">
        <w:rPr>
          <w:rFonts w:ascii="Times New Roman" w:hAnsi="Times New Roman" w:cs="Times New Roman"/>
          <w:sz w:val="24"/>
          <w:szCs w:val="24"/>
          <w:u w:val="single"/>
        </w:rPr>
        <w:t>T</w:t>
      </w:r>
      <w:r w:rsidR="00F33BF3" w:rsidRPr="00AD6D13">
        <w:rPr>
          <w:rFonts w:ascii="Times New Roman" w:hAnsi="Times New Roman" w:cs="Times New Roman"/>
          <w:sz w:val="24"/>
          <w:szCs w:val="24"/>
          <w:u w:val="single"/>
        </w:rPr>
        <w:t>urismo fotográfico de Naturaleza (Vida Silvestre)</w:t>
      </w:r>
      <w:bookmarkEnd w:id="3"/>
      <w:r w:rsidR="00F33BF3" w:rsidRPr="00F33BF3">
        <w:rPr>
          <w:rFonts w:ascii="Times New Roman" w:hAnsi="Times New Roman" w:cs="Times New Roman"/>
          <w:sz w:val="24"/>
          <w:szCs w:val="24"/>
        </w:rPr>
        <w:t xml:space="preserve">: La fotografía de vida silvestre o también llamada </w:t>
      </w:r>
      <w:proofErr w:type="spellStart"/>
      <w:r w:rsidR="00F33BF3" w:rsidRPr="00AD6D13">
        <w:rPr>
          <w:rFonts w:ascii="Times New Roman" w:hAnsi="Times New Roman" w:cs="Times New Roman"/>
          <w:i/>
          <w:iCs/>
          <w:sz w:val="24"/>
          <w:szCs w:val="24"/>
        </w:rPr>
        <w:t>wildlife</w:t>
      </w:r>
      <w:proofErr w:type="spellEnd"/>
      <w:r w:rsidR="00F33BF3" w:rsidRPr="00AD6D13">
        <w:rPr>
          <w:rFonts w:ascii="Times New Roman" w:hAnsi="Times New Roman" w:cs="Times New Roman"/>
          <w:i/>
          <w:iCs/>
          <w:sz w:val="24"/>
          <w:szCs w:val="24"/>
        </w:rPr>
        <w:t xml:space="preserve"> </w:t>
      </w:r>
      <w:proofErr w:type="spellStart"/>
      <w:r w:rsidR="00F33BF3" w:rsidRPr="00AD6D13">
        <w:rPr>
          <w:rFonts w:ascii="Times New Roman" w:hAnsi="Times New Roman" w:cs="Times New Roman"/>
          <w:i/>
          <w:iCs/>
          <w:sz w:val="24"/>
          <w:szCs w:val="24"/>
        </w:rPr>
        <w:t>photography</w:t>
      </w:r>
      <w:proofErr w:type="spellEnd"/>
      <w:r w:rsidR="00F33BF3" w:rsidRPr="00F33BF3">
        <w:rPr>
          <w:rFonts w:ascii="Times New Roman" w:hAnsi="Times New Roman" w:cs="Times New Roman"/>
          <w:sz w:val="24"/>
          <w:szCs w:val="24"/>
        </w:rPr>
        <w:t xml:space="preserve">, es una modalidad de fotografía de naturaleza; y uno de </w:t>
      </w:r>
      <w:r w:rsidR="00F33BF3" w:rsidRPr="00F33BF3">
        <w:rPr>
          <w:rFonts w:ascii="Times New Roman" w:hAnsi="Times New Roman" w:cs="Times New Roman"/>
          <w:sz w:val="24"/>
          <w:szCs w:val="24"/>
        </w:rPr>
        <w:lastRenderedPageBreak/>
        <w:t>los más practicados a nivel mundial. Esta actividad consiste en capturar la imagen de diferentes especies en situaciones extraordinarias, momentos únicos o simplemente la belleza del animal salvaje, sea acuático, terrestre, grande, pequeño, durante la noche o el día, creando verdaderas obras de arte; en el caso de fotografía de anfibios y reptiles también puede llamarse macrofotografía debido al diminuto tamaño de una gran mayoría de estas especies (Escobar, 2015).</w:t>
      </w:r>
    </w:p>
    <w:p w14:paraId="497039C6" w14:textId="3813AFD7" w:rsidR="00C2492D" w:rsidRDefault="00F33BF3" w:rsidP="00F33BF3">
      <w:pPr>
        <w:pStyle w:val="Prrafodelista"/>
        <w:spacing w:after="120" w:line="240" w:lineRule="auto"/>
        <w:ind w:left="0" w:firstLine="510"/>
        <w:contextualSpacing w:val="0"/>
        <w:jc w:val="both"/>
        <w:rPr>
          <w:rFonts w:ascii="Times New Roman" w:hAnsi="Times New Roman" w:cs="Times New Roman"/>
          <w:noProof/>
          <w:sz w:val="24"/>
          <w:szCs w:val="24"/>
        </w:rPr>
      </w:pPr>
      <w:r w:rsidRPr="00AD6D13">
        <w:rPr>
          <w:rFonts w:ascii="Times New Roman" w:hAnsi="Times New Roman" w:cs="Times New Roman"/>
          <w:sz w:val="24"/>
          <w:szCs w:val="24"/>
          <w:u w:val="single"/>
        </w:rPr>
        <w:t>Turismo científico (Expediciones científicas):</w:t>
      </w:r>
      <w:r w:rsidRPr="00F33BF3">
        <w:rPr>
          <w:rFonts w:ascii="Times New Roman" w:hAnsi="Times New Roman" w:cs="Times New Roman"/>
          <w:sz w:val="24"/>
          <w:szCs w:val="24"/>
        </w:rPr>
        <w:t xml:space="preserve"> La </w:t>
      </w:r>
      <w:r w:rsidRPr="00F33BF3">
        <w:rPr>
          <w:rFonts w:ascii="Times New Roman" w:hAnsi="Times New Roman" w:cs="Times New Roman"/>
          <w:noProof/>
          <w:sz w:val="24"/>
          <w:szCs w:val="24"/>
        </w:rPr>
        <w:t xml:space="preserve">Red Internacional de Turismo </w:t>
      </w:r>
      <w:r w:rsidRPr="00F33BF3">
        <w:rPr>
          <w:rFonts w:ascii="Times New Roman" w:hAnsi="Times New Roman" w:cs="Times New Roman"/>
          <w:sz w:val="24"/>
          <w:szCs w:val="24"/>
          <w:shd w:val="clear" w:color="auto" w:fill="FFFFFF"/>
        </w:rPr>
        <w:t>Científico</w:t>
      </w:r>
      <w:r w:rsidRPr="00F33BF3">
        <w:rPr>
          <w:rFonts w:ascii="Times New Roman" w:hAnsi="Times New Roman" w:cs="Times New Roman"/>
          <w:noProof/>
          <w:sz w:val="24"/>
          <w:szCs w:val="24"/>
        </w:rPr>
        <w:t xml:space="preserve"> (2019)</w:t>
      </w:r>
      <w:r w:rsidRPr="00F33BF3">
        <w:rPr>
          <w:rFonts w:ascii="Times New Roman" w:hAnsi="Times New Roman" w:cs="Times New Roman"/>
          <w:sz w:val="24"/>
          <w:szCs w:val="24"/>
        </w:rPr>
        <w:t xml:space="preserve"> lo considera como una modalidad de turismo, en la cual, el principal motivo del viaje es “la participación del visitante en la generación y divulgación de conocimiento científico a través de la  investigación en un territorio determinado, llevado a cabo por un centro de investigación o desarrollo”, estos estudios pueden ser: histórico culturales, educación, salud, psicología,  territorio, dinámica de la tierra, ciencias universales y ciencias biológicas. Para </w:t>
      </w:r>
      <w:r w:rsidRPr="00F33BF3">
        <w:rPr>
          <w:rFonts w:ascii="Times New Roman" w:hAnsi="Times New Roman" w:cs="Times New Roman"/>
          <w:noProof/>
          <w:sz w:val="24"/>
          <w:szCs w:val="24"/>
        </w:rPr>
        <w:t>Moreno (2019)</w:t>
      </w:r>
      <w:r w:rsidRPr="00F33BF3">
        <w:rPr>
          <w:rFonts w:ascii="Times New Roman" w:hAnsi="Times New Roman" w:cs="Times New Roman"/>
          <w:sz w:val="24"/>
          <w:szCs w:val="24"/>
        </w:rPr>
        <w:t xml:space="preserve"> el turismo científico forma un laso entre la ciencia y el turismo, y su objetivo es fomentar el conocimiento científico, al mismo tiempo que es una actividad sostenible y reciproca ya que la información obtenida debe contribuir al desarrollo y a la conservación del territorio.  El tipo de turismo científico específico para esta área son las expediciones científicas o turismo de investigación científica, el cual involucran a profesionales de las ciencias naturales o sociales a trasladarse a un lugar para diagnosticar, buscar o experimentar fenómenos que sustenten su trabajo de investigación, cabe mencionar que en este caso el turismo se convierte en un medio y no en un fin, pero involucra el uso de servicios y actividades turísticas (</w:t>
      </w:r>
      <w:proofErr w:type="spellStart"/>
      <w:r w:rsidRPr="00F33BF3">
        <w:rPr>
          <w:rFonts w:ascii="Times New Roman" w:hAnsi="Times New Roman" w:cs="Times New Roman"/>
          <w:noProof/>
          <w:sz w:val="24"/>
          <w:szCs w:val="24"/>
        </w:rPr>
        <w:t>Bourlon</w:t>
      </w:r>
      <w:proofErr w:type="spellEnd"/>
      <w:r w:rsidRPr="00F33BF3">
        <w:rPr>
          <w:rFonts w:ascii="Times New Roman" w:hAnsi="Times New Roman" w:cs="Times New Roman"/>
          <w:noProof/>
          <w:sz w:val="24"/>
          <w:szCs w:val="24"/>
        </w:rPr>
        <w:t xml:space="preserve"> y Mao , 2011).</w:t>
      </w:r>
    </w:p>
    <w:p w14:paraId="16B7BC30" w14:textId="77777777" w:rsidR="00AD6D13" w:rsidRPr="00F33BF3" w:rsidRDefault="00AD6D13" w:rsidP="00F33BF3">
      <w:pPr>
        <w:pStyle w:val="Prrafodelista"/>
        <w:spacing w:after="120" w:line="240" w:lineRule="auto"/>
        <w:ind w:left="0" w:firstLine="510"/>
        <w:contextualSpacing w:val="0"/>
        <w:jc w:val="both"/>
        <w:rPr>
          <w:rFonts w:ascii="Times New Roman" w:hAnsi="Times New Roman" w:cs="Times New Roman"/>
          <w:sz w:val="24"/>
          <w:szCs w:val="24"/>
        </w:rPr>
      </w:pPr>
    </w:p>
    <w:p w14:paraId="716531C6" w14:textId="27869934" w:rsidR="00026DAC" w:rsidRPr="00026DAC" w:rsidRDefault="00AD6D13" w:rsidP="002E47F3">
      <w:pPr>
        <w:pStyle w:val="4TtulosepgrafesIIGG"/>
        <w:spacing w:after="120"/>
      </w:pPr>
      <w:r>
        <w:t>3</w:t>
      </w:r>
      <w:r w:rsidR="00026DAC" w:rsidRPr="00026DAC">
        <w:t>. Metodología</w:t>
      </w:r>
    </w:p>
    <w:p w14:paraId="1F9B5FD9" w14:textId="77777777" w:rsidR="00AD6D13" w:rsidRDefault="00F33BF3" w:rsidP="00D6049F">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El presente trabajo se llev</w:t>
      </w:r>
      <w:r w:rsidRPr="00F33BF3">
        <w:rPr>
          <w:rFonts w:ascii="Times New Roman" w:hAnsi="Times New Roman" w:cs="Times New Roman"/>
          <w:bCs/>
          <w:sz w:val="24"/>
          <w:szCs w:val="24"/>
        </w:rPr>
        <w:t>ó</w:t>
      </w:r>
      <w:r w:rsidRPr="00F33BF3">
        <w:rPr>
          <w:rFonts w:ascii="Times New Roman" w:hAnsi="Times New Roman" w:cs="Times New Roman"/>
          <w:sz w:val="24"/>
          <w:szCs w:val="24"/>
        </w:rPr>
        <w:t xml:space="preserve"> a cabo en la Reserva &amp; </w:t>
      </w:r>
      <w:proofErr w:type="spellStart"/>
      <w:r w:rsidRPr="00F33BF3">
        <w:rPr>
          <w:rFonts w:ascii="Times New Roman" w:hAnsi="Times New Roman" w:cs="Times New Roman"/>
          <w:sz w:val="24"/>
          <w:szCs w:val="24"/>
        </w:rPr>
        <w:t>Ecolodge</w:t>
      </w:r>
      <w:proofErr w:type="spellEnd"/>
      <w:r w:rsidRPr="00F33BF3">
        <w:rPr>
          <w:rFonts w:ascii="Times New Roman" w:hAnsi="Times New Roman" w:cs="Times New Roman"/>
          <w:sz w:val="24"/>
          <w:szCs w:val="24"/>
        </w:rPr>
        <w:t xml:space="preserve"> Tamandúa ubicada en la Provincia de Pastaza, Cantón Santa Clara, parroquia San José, comunidad </w:t>
      </w:r>
      <w:proofErr w:type="spellStart"/>
      <w:r w:rsidRPr="00F33BF3">
        <w:rPr>
          <w:rFonts w:ascii="Times New Roman" w:hAnsi="Times New Roman" w:cs="Times New Roman"/>
          <w:sz w:val="24"/>
          <w:szCs w:val="24"/>
        </w:rPr>
        <w:t>Samasunchi</w:t>
      </w:r>
      <w:proofErr w:type="spellEnd"/>
      <w:r w:rsidRPr="00F33BF3">
        <w:rPr>
          <w:rFonts w:ascii="Times New Roman" w:hAnsi="Times New Roman" w:cs="Times New Roman"/>
          <w:sz w:val="24"/>
          <w:szCs w:val="24"/>
        </w:rPr>
        <w:t xml:space="preserve"> (Figura 1).  Las coordenadas UTM</w:t>
      </w:r>
      <w:r w:rsidRPr="00F33BF3">
        <w:rPr>
          <w:rFonts w:ascii="Times New Roman" w:hAnsi="Times New Roman" w:cs="Times New Roman"/>
          <w:b/>
          <w:sz w:val="24"/>
          <w:szCs w:val="24"/>
        </w:rPr>
        <w:t xml:space="preserve">   </w:t>
      </w:r>
      <w:r w:rsidRPr="00F33BF3">
        <w:rPr>
          <w:rFonts w:ascii="Times New Roman" w:hAnsi="Times New Roman" w:cs="Times New Roman"/>
          <w:bCs/>
          <w:sz w:val="24"/>
          <w:szCs w:val="24"/>
        </w:rPr>
        <w:t>X: 171633 y Y:</w:t>
      </w:r>
      <w:r w:rsidRPr="00F33BF3">
        <w:rPr>
          <w:rFonts w:ascii="Times New Roman" w:hAnsi="Times New Roman" w:cs="Times New Roman"/>
          <w:b/>
          <w:sz w:val="24"/>
          <w:szCs w:val="24"/>
        </w:rPr>
        <w:t xml:space="preserve"> </w:t>
      </w:r>
      <w:r w:rsidRPr="00F33BF3">
        <w:rPr>
          <w:rFonts w:ascii="Times New Roman" w:hAnsi="Times New Roman" w:cs="Times New Roman"/>
          <w:bCs/>
          <w:sz w:val="24"/>
          <w:szCs w:val="24"/>
        </w:rPr>
        <w:t>9855378.</w:t>
      </w:r>
      <w:r w:rsidR="00AD6D13">
        <w:rPr>
          <w:rFonts w:ascii="Times New Roman" w:hAnsi="Times New Roman" w:cs="Times New Roman"/>
          <w:bCs/>
          <w:sz w:val="24"/>
          <w:szCs w:val="24"/>
        </w:rPr>
        <w:t xml:space="preserve"> </w:t>
      </w:r>
      <w:r w:rsidRPr="00F33BF3">
        <w:rPr>
          <w:rFonts w:ascii="Times New Roman" w:hAnsi="Times New Roman" w:cs="Times New Roman"/>
          <w:bCs/>
          <w:sz w:val="24"/>
          <w:szCs w:val="24"/>
        </w:rPr>
        <w:t>El rango altitudinal va desde</w:t>
      </w:r>
      <w:r w:rsidRPr="00F33BF3">
        <w:rPr>
          <w:rFonts w:ascii="Times New Roman" w:hAnsi="Times New Roman" w:cs="Times New Roman"/>
          <w:sz w:val="24"/>
          <w:szCs w:val="24"/>
        </w:rPr>
        <w:t xml:space="preserve"> 1075 </w:t>
      </w:r>
      <w:proofErr w:type="spellStart"/>
      <w:r w:rsidRPr="00F33BF3">
        <w:rPr>
          <w:rFonts w:ascii="Times New Roman" w:hAnsi="Times New Roman" w:cs="Times New Roman"/>
          <w:sz w:val="24"/>
          <w:szCs w:val="24"/>
        </w:rPr>
        <w:t>m.s.n.m</w:t>
      </w:r>
      <w:proofErr w:type="spellEnd"/>
      <w:r w:rsidRPr="00F33BF3">
        <w:rPr>
          <w:rFonts w:ascii="Times New Roman" w:hAnsi="Times New Roman" w:cs="Times New Roman"/>
          <w:sz w:val="24"/>
          <w:szCs w:val="24"/>
        </w:rPr>
        <w:t xml:space="preserve"> a 875 m.s.n.m. Presenta una humedad relativa que varía desde los 4800 mm hasta los 5200 </w:t>
      </w:r>
      <w:proofErr w:type="spellStart"/>
      <w:r w:rsidRPr="00F33BF3">
        <w:rPr>
          <w:rFonts w:ascii="Times New Roman" w:hAnsi="Times New Roman" w:cs="Times New Roman"/>
          <w:sz w:val="24"/>
          <w:szCs w:val="24"/>
        </w:rPr>
        <w:t>mm.</w:t>
      </w:r>
      <w:proofErr w:type="spellEnd"/>
      <w:r w:rsidRPr="00F33BF3">
        <w:rPr>
          <w:rFonts w:ascii="Times New Roman" w:hAnsi="Times New Roman" w:cs="Times New Roman"/>
          <w:sz w:val="24"/>
          <w:szCs w:val="24"/>
        </w:rPr>
        <w:t xml:space="preserve"> Su temperatura promedio se encuentra entre los </w:t>
      </w:r>
      <w:bookmarkStart w:id="4" w:name="_Hlk43043693"/>
      <w:r w:rsidRPr="00F33BF3">
        <w:rPr>
          <w:rFonts w:ascii="Times New Roman" w:hAnsi="Times New Roman" w:cs="Times New Roman"/>
          <w:sz w:val="24"/>
          <w:szCs w:val="24"/>
        </w:rPr>
        <w:t>20 °C y 24 °C</w:t>
      </w:r>
      <w:bookmarkEnd w:id="4"/>
      <w:r w:rsidRPr="00F33BF3">
        <w:rPr>
          <w:rFonts w:ascii="Times New Roman" w:hAnsi="Times New Roman" w:cs="Times New Roman"/>
          <w:sz w:val="24"/>
          <w:szCs w:val="24"/>
        </w:rPr>
        <w:t xml:space="preserve"> y posee un ecosistema Bosque siempre verde premontano</w:t>
      </w:r>
      <w:r w:rsidR="00D6049F">
        <w:rPr>
          <w:rFonts w:ascii="Times New Roman" w:hAnsi="Times New Roman" w:cs="Times New Roman"/>
          <w:sz w:val="24"/>
          <w:szCs w:val="24"/>
        </w:rPr>
        <w:t xml:space="preserve"> </w:t>
      </w:r>
      <w:r w:rsidRPr="00F33BF3">
        <w:rPr>
          <w:rFonts w:ascii="Times New Roman" w:hAnsi="Times New Roman" w:cs="Times New Roman"/>
          <w:sz w:val="24"/>
          <w:szCs w:val="24"/>
        </w:rPr>
        <w:t xml:space="preserve">del norte-centro de la cordillera oriental de los Andes (GAD San José, 2015).  </w:t>
      </w:r>
    </w:p>
    <w:p w14:paraId="0E924DC4" w14:textId="7CE2B089" w:rsidR="00F33BF3" w:rsidRPr="00F33BF3" w:rsidRDefault="00F33BF3" w:rsidP="00D6049F">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                                                                                             </w:t>
      </w:r>
    </w:p>
    <w:p w14:paraId="1DBE14D3" w14:textId="7D9EFF72" w:rsidR="00F33BF3" w:rsidRDefault="00AD6D13" w:rsidP="00AD6D13">
      <w:pPr>
        <w:pStyle w:val="Prrafodelista"/>
        <w:numPr>
          <w:ilvl w:val="1"/>
          <w:numId w:val="22"/>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AD6D13">
        <w:rPr>
          <w:rFonts w:ascii="Times New Roman" w:hAnsi="Times New Roman" w:cs="Times New Roman"/>
          <w:b/>
          <w:bCs/>
          <w:sz w:val="24"/>
          <w:szCs w:val="24"/>
        </w:rPr>
        <w:t xml:space="preserve">Evaluación de la potencialidad turística herpetológica del área de estudio </w:t>
      </w:r>
    </w:p>
    <w:p w14:paraId="2EB154F2" w14:textId="77777777" w:rsidR="00AD6D13" w:rsidRPr="00AD6D13" w:rsidRDefault="00AD6D13" w:rsidP="00AD6D13">
      <w:pPr>
        <w:pStyle w:val="Prrafodelista"/>
        <w:spacing w:after="120" w:line="240" w:lineRule="auto"/>
        <w:ind w:left="360"/>
        <w:jc w:val="both"/>
        <w:rPr>
          <w:rFonts w:ascii="Times New Roman" w:hAnsi="Times New Roman" w:cs="Times New Roman"/>
          <w:b/>
          <w:bCs/>
          <w:sz w:val="24"/>
          <w:szCs w:val="24"/>
        </w:rPr>
      </w:pPr>
    </w:p>
    <w:p w14:paraId="2031941B" w14:textId="77777777" w:rsidR="00F33BF3" w:rsidRPr="00F33BF3" w:rsidRDefault="00F33BF3" w:rsidP="00F33BF3">
      <w:pPr>
        <w:pStyle w:val="Prrafodelista"/>
        <w:autoSpaceDE w:val="0"/>
        <w:autoSpaceDN w:val="0"/>
        <w:adjustRightInd w:val="0"/>
        <w:spacing w:after="120" w:line="240" w:lineRule="auto"/>
        <w:ind w:left="0" w:firstLine="510"/>
        <w:contextualSpacing w:val="0"/>
        <w:jc w:val="both"/>
        <w:rPr>
          <w:rFonts w:ascii="Times New Roman" w:hAnsi="Times New Roman" w:cs="Times New Roman"/>
          <w:sz w:val="24"/>
          <w:szCs w:val="24"/>
        </w:rPr>
      </w:pPr>
      <w:r w:rsidRPr="00AD6D13">
        <w:rPr>
          <w:rFonts w:ascii="Times New Roman" w:hAnsi="Times New Roman" w:cs="Times New Roman"/>
          <w:sz w:val="24"/>
          <w:szCs w:val="24"/>
          <w:u w:val="single"/>
        </w:rPr>
        <w:t>Diagnóstico situacional</w:t>
      </w:r>
      <w:r w:rsidRPr="00F33BF3">
        <w:rPr>
          <w:rFonts w:ascii="Times New Roman" w:hAnsi="Times New Roman" w:cs="Times New Roman"/>
          <w:sz w:val="24"/>
          <w:szCs w:val="24"/>
        </w:rPr>
        <w:t xml:space="preserve">: Se realizó estudios físico-espaciales para conocer información sobre: la división política, límites, vías de acceso, infraestructura existente y facilidades turísticas; estudios-ecológico territoriales, con el fin de determinar: uso del suelo, ecosistemas, hidrología y amenazas a las poblaciones de anfibios y reptiles; estudios socio-culturales para saber la importancia </w:t>
      </w:r>
      <w:proofErr w:type="spellStart"/>
      <w:r w:rsidRPr="00F33BF3">
        <w:rPr>
          <w:rFonts w:ascii="Times New Roman" w:hAnsi="Times New Roman" w:cs="Times New Roman"/>
          <w:sz w:val="24"/>
          <w:szCs w:val="24"/>
        </w:rPr>
        <w:t>etnozoológica</w:t>
      </w:r>
      <w:proofErr w:type="spellEnd"/>
      <w:r w:rsidRPr="00F33BF3">
        <w:rPr>
          <w:rFonts w:ascii="Times New Roman" w:hAnsi="Times New Roman" w:cs="Times New Roman"/>
          <w:sz w:val="24"/>
          <w:szCs w:val="24"/>
        </w:rPr>
        <w:t xml:space="preserve"> que tienen estas especies en la población local que labora en Tamanduá y estudios administrativo sobre la gestión del </w:t>
      </w:r>
      <w:proofErr w:type="spellStart"/>
      <w:r w:rsidRPr="00F33BF3">
        <w:rPr>
          <w:rFonts w:ascii="Times New Roman" w:hAnsi="Times New Roman" w:cs="Times New Roman"/>
          <w:sz w:val="24"/>
          <w:szCs w:val="24"/>
        </w:rPr>
        <w:t>ecolodge</w:t>
      </w:r>
      <w:proofErr w:type="spellEnd"/>
      <w:r w:rsidRPr="00F33BF3">
        <w:rPr>
          <w:rFonts w:ascii="Times New Roman" w:hAnsi="Times New Roman" w:cs="Times New Roman"/>
          <w:sz w:val="24"/>
          <w:szCs w:val="24"/>
        </w:rPr>
        <w:t xml:space="preserve">.  </w:t>
      </w:r>
    </w:p>
    <w:p w14:paraId="290BA527" w14:textId="77777777"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AD6D13">
        <w:rPr>
          <w:rFonts w:ascii="Times New Roman" w:hAnsi="Times New Roman" w:cs="Times New Roman"/>
          <w:sz w:val="24"/>
          <w:szCs w:val="24"/>
          <w:u w:val="single"/>
        </w:rPr>
        <w:t>Inventario de atractivos</w:t>
      </w:r>
      <w:r w:rsidRPr="00F33BF3">
        <w:rPr>
          <w:rFonts w:ascii="Times New Roman" w:hAnsi="Times New Roman" w:cs="Times New Roman"/>
          <w:sz w:val="24"/>
          <w:szCs w:val="24"/>
        </w:rPr>
        <w:t>: El inventario de atractivos turísticos se hizo con la metodología del Ministerio de Turismo del Ecuador (2017), para una posterior evaluación y jerarquización de estos.</w:t>
      </w:r>
    </w:p>
    <w:p w14:paraId="3ECB9EBD" w14:textId="77777777" w:rsidR="00F33BF3" w:rsidRPr="00F33BF3" w:rsidRDefault="00F33BF3" w:rsidP="00F33BF3">
      <w:pPr>
        <w:spacing w:after="120" w:line="240" w:lineRule="auto"/>
        <w:ind w:firstLine="510"/>
        <w:jc w:val="both"/>
        <w:rPr>
          <w:rFonts w:ascii="Times New Roman" w:hAnsi="Times New Roman" w:cs="Times New Roman"/>
          <w:b/>
          <w:bCs/>
          <w:sz w:val="24"/>
          <w:szCs w:val="24"/>
        </w:rPr>
      </w:pPr>
      <w:r w:rsidRPr="00AD6D13">
        <w:rPr>
          <w:rFonts w:ascii="Times New Roman" w:hAnsi="Times New Roman" w:cs="Times New Roman"/>
          <w:sz w:val="24"/>
          <w:szCs w:val="24"/>
          <w:u w:val="single"/>
        </w:rPr>
        <w:t>Validación del inventario herpetológico</w:t>
      </w:r>
      <w:r w:rsidRPr="00F33BF3">
        <w:rPr>
          <w:rFonts w:ascii="Times New Roman" w:hAnsi="Times New Roman" w:cs="Times New Roman"/>
          <w:sz w:val="24"/>
          <w:szCs w:val="24"/>
        </w:rPr>
        <w:t xml:space="preserve">: Para el inventario herpetológico se aplicó los métodos: inventario en base a fuentes secundarias, búsqueda por encuentro visual (VES) e identificación por cuadrantes, todas tomadas de la guía de Técnicas de Inventario y Monitoreo para los Anfibios de la Región Tropical Andina propuesta por </w:t>
      </w:r>
      <w:r w:rsidRPr="00F33BF3">
        <w:rPr>
          <w:rFonts w:ascii="Times New Roman" w:hAnsi="Times New Roman" w:cs="Times New Roman"/>
          <w:noProof/>
          <w:sz w:val="24"/>
          <w:szCs w:val="24"/>
        </w:rPr>
        <w:t>Angulo, el at., (2006)</w:t>
      </w:r>
      <w:r w:rsidRPr="00F33BF3">
        <w:rPr>
          <w:rFonts w:ascii="Times New Roman" w:hAnsi="Times New Roman" w:cs="Times New Roman"/>
          <w:sz w:val="24"/>
          <w:szCs w:val="24"/>
        </w:rPr>
        <w:t xml:space="preserve">. Estos resultados posteriormente se sistematizaron en los softwares </w:t>
      </w:r>
      <w:proofErr w:type="spellStart"/>
      <w:r w:rsidRPr="00F33BF3">
        <w:rPr>
          <w:rFonts w:ascii="Times New Roman" w:hAnsi="Times New Roman" w:cs="Times New Roman"/>
          <w:sz w:val="24"/>
          <w:szCs w:val="24"/>
        </w:rPr>
        <w:t>Estimate</w:t>
      </w:r>
      <w:proofErr w:type="spellEnd"/>
      <w:r w:rsidRPr="00F33BF3">
        <w:rPr>
          <w:rFonts w:ascii="Times New Roman" w:hAnsi="Times New Roman" w:cs="Times New Roman"/>
          <w:sz w:val="24"/>
          <w:szCs w:val="24"/>
        </w:rPr>
        <w:t xml:space="preserve"> v12 y PAST v4.02 con </w:t>
      </w:r>
      <w:r w:rsidRPr="00F33BF3">
        <w:rPr>
          <w:rFonts w:ascii="Times New Roman" w:hAnsi="Times New Roman" w:cs="Times New Roman"/>
          <w:sz w:val="24"/>
          <w:szCs w:val="24"/>
        </w:rPr>
        <w:lastRenderedPageBreak/>
        <w:t>la finalidad de obtener la curva de acumulación de especies y los índices de diversidad, respectivamente.</w:t>
      </w:r>
    </w:p>
    <w:p w14:paraId="24957CC6"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Estudio de mercado</w:t>
      </w:r>
      <w:r w:rsidRPr="00F33BF3">
        <w:rPr>
          <w:rFonts w:ascii="Times New Roman" w:hAnsi="Times New Roman" w:cs="Times New Roman"/>
          <w:sz w:val="24"/>
          <w:szCs w:val="24"/>
        </w:rPr>
        <w:t xml:space="preserve">: La demanda o segmento de mercado de este producto turístico está conformado por fotógrafos de naturaleza y docentes de institutos de educación superior del país en áreas de ciencias biológicas. Debido a que es difícil definir un universo para un segmento tan específico y poco conocido, se aplicó el método no probabilístico muestreo por bola de nieve, en el cual se contactó mediante correo electrónico a miembros de instituciones especializadas en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del país y a fotógrafos de naturaleza a través de la red social Instagram, los cuales estén interesados en realizar fotografía de anfibios y reptiles para que respondan la encuesta y posteriormente la compartan con otros colegas fotógrafos, así aumentando el tamaño de la muestra. </w:t>
      </w:r>
    </w:p>
    <w:p w14:paraId="15E06FAE" w14:textId="17AA4374" w:rsidR="00F33BF3" w:rsidRP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En cambio, para el turismo científico se identificaron todas las universidades en Ecuador que oferten carreras de biología o afines, donde se contactó por lo menos un docente en cada universidad que imparta alguna asignatura relacionada a esta área; los cuales esté interesado en realizar turismo científico con sus estudiantes en Tamanduá y desarrollar investigación científica sobre anfibios y reptiles a largo plazo. </w:t>
      </w:r>
    </w:p>
    <w:p w14:paraId="5E291F14" w14:textId="77777777" w:rsidR="00F33BF3" w:rsidRDefault="00F33BF3" w:rsidP="00F33BF3">
      <w:pPr>
        <w:spacing w:after="120" w:line="240" w:lineRule="auto"/>
        <w:ind w:firstLine="510"/>
        <w:jc w:val="both"/>
        <w:rPr>
          <w:rFonts w:ascii="Times New Roman" w:hAnsi="Times New Roman" w:cs="Times New Roman"/>
          <w:sz w:val="24"/>
          <w:szCs w:val="24"/>
        </w:rPr>
      </w:pPr>
      <w:r w:rsidRPr="00F33BF3">
        <w:rPr>
          <w:rFonts w:ascii="Times New Roman" w:hAnsi="Times New Roman" w:cs="Times New Roman"/>
          <w:sz w:val="24"/>
          <w:szCs w:val="24"/>
        </w:rPr>
        <w:t xml:space="preserve">Posteriormente se identificó la oferta actual que presta el </w:t>
      </w:r>
      <w:proofErr w:type="spellStart"/>
      <w:r w:rsidRPr="00AD6D13">
        <w:rPr>
          <w:rFonts w:ascii="Times New Roman" w:hAnsi="Times New Roman" w:cs="Times New Roman"/>
          <w:i/>
          <w:iCs/>
          <w:sz w:val="24"/>
          <w:szCs w:val="24"/>
        </w:rPr>
        <w:t>lodge</w:t>
      </w:r>
      <w:proofErr w:type="spellEnd"/>
      <w:r w:rsidRPr="00AD6D13">
        <w:rPr>
          <w:rFonts w:ascii="Times New Roman" w:hAnsi="Times New Roman" w:cs="Times New Roman"/>
          <w:i/>
          <w:iCs/>
          <w:sz w:val="24"/>
          <w:szCs w:val="24"/>
        </w:rPr>
        <w:t xml:space="preserve"> </w:t>
      </w:r>
      <w:r w:rsidRPr="00F33BF3">
        <w:rPr>
          <w:rFonts w:ascii="Times New Roman" w:hAnsi="Times New Roman" w:cs="Times New Roman"/>
          <w:sz w:val="24"/>
          <w:szCs w:val="24"/>
        </w:rPr>
        <w:t xml:space="preserve">y la competencia o establecimientos que presenten una oferta similar al producto de turismo herpetológico, actualizando así el estudio sobre Análisis de la oferta turística y de visitación de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en Ecuador de Daniel Hernández (2012). </w:t>
      </w:r>
    </w:p>
    <w:p w14:paraId="356C0BFF"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6A9A3D4C" w14:textId="797FFC84" w:rsidR="00F33BF3" w:rsidRPr="00AD6D13" w:rsidRDefault="00AD6D13" w:rsidP="00AD6D13">
      <w:pPr>
        <w:pStyle w:val="Prrafodelista"/>
        <w:numPr>
          <w:ilvl w:val="1"/>
          <w:numId w:val="22"/>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AD6D13">
        <w:rPr>
          <w:rFonts w:ascii="Times New Roman" w:hAnsi="Times New Roman" w:cs="Times New Roman"/>
          <w:b/>
          <w:bCs/>
          <w:sz w:val="24"/>
          <w:szCs w:val="24"/>
        </w:rPr>
        <w:t xml:space="preserve">Diseño técnico del producto turístico herpetológico </w:t>
      </w:r>
    </w:p>
    <w:p w14:paraId="3A2E7031"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Propuesta de mejora</w:t>
      </w:r>
      <w:r w:rsidRPr="00F33BF3">
        <w:rPr>
          <w:rFonts w:ascii="Times New Roman" w:hAnsi="Times New Roman" w:cs="Times New Roman"/>
          <w:sz w:val="24"/>
          <w:szCs w:val="24"/>
        </w:rPr>
        <w:t xml:space="preserve">: Primero se elaboró una serie de propuestas a implementar basadas en las necesidades del </w:t>
      </w:r>
      <w:proofErr w:type="spellStart"/>
      <w:r w:rsidRPr="00AD6D13">
        <w:rPr>
          <w:rFonts w:ascii="Times New Roman" w:hAnsi="Times New Roman" w:cs="Times New Roman"/>
          <w:i/>
          <w:iCs/>
          <w:sz w:val="24"/>
          <w:szCs w:val="24"/>
        </w:rPr>
        <w:t>lodge</w:t>
      </w:r>
      <w:proofErr w:type="spellEnd"/>
      <w:r w:rsidRPr="00F33BF3">
        <w:rPr>
          <w:rFonts w:ascii="Times New Roman" w:hAnsi="Times New Roman" w:cs="Times New Roman"/>
          <w:sz w:val="24"/>
          <w:szCs w:val="24"/>
        </w:rPr>
        <w:t xml:space="preserve"> y la potencialización del producto; además se adaptó los métodos de inventario para la observación de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en campo y los factores </w:t>
      </w:r>
      <w:proofErr w:type="gramStart"/>
      <w:r w:rsidRPr="00F33BF3">
        <w:rPr>
          <w:rFonts w:ascii="Times New Roman" w:hAnsi="Times New Roman" w:cs="Times New Roman"/>
          <w:sz w:val="24"/>
          <w:szCs w:val="24"/>
        </w:rPr>
        <w:t>a</w:t>
      </w:r>
      <w:proofErr w:type="gramEnd"/>
      <w:r w:rsidRPr="00F33BF3">
        <w:rPr>
          <w:rFonts w:ascii="Times New Roman" w:hAnsi="Times New Roman" w:cs="Times New Roman"/>
          <w:sz w:val="24"/>
          <w:szCs w:val="24"/>
        </w:rPr>
        <w:t xml:space="preserve"> tener en cuenta en las salidas del Diseño de una metodología turística para observación de </w:t>
      </w:r>
      <w:proofErr w:type="spellStart"/>
      <w:r w:rsidRPr="00F33BF3">
        <w:rPr>
          <w:rFonts w:ascii="Times New Roman" w:hAnsi="Times New Roman" w:cs="Times New Roman"/>
          <w:sz w:val="24"/>
          <w:szCs w:val="24"/>
        </w:rPr>
        <w:t>herpetofauna</w:t>
      </w:r>
      <w:proofErr w:type="spellEnd"/>
      <w:r w:rsidRPr="00F33BF3">
        <w:rPr>
          <w:rFonts w:ascii="Times New Roman" w:hAnsi="Times New Roman" w:cs="Times New Roman"/>
          <w:sz w:val="24"/>
          <w:szCs w:val="24"/>
        </w:rPr>
        <w:t xml:space="preserve"> en sitios naturales: caso Estación biológica Jatun Sacha de Daniel Hernández (2013).</w:t>
      </w:r>
    </w:p>
    <w:p w14:paraId="2292CAA4"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Diseño de paquete</w:t>
      </w:r>
      <w:r w:rsidRPr="00F33BF3">
        <w:rPr>
          <w:rFonts w:ascii="Times New Roman" w:hAnsi="Times New Roman" w:cs="Times New Roman"/>
          <w:sz w:val="24"/>
          <w:szCs w:val="24"/>
        </w:rPr>
        <w:t>: Se estableció el paquete con las actividades a implementar en cada segmento de mercado; fotógrafos de naturaleza y docentes de biología con sus estudiantes.</w:t>
      </w:r>
    </w:p>
    <w:p w14:paraId="7474A9F3" w14:textId="77777777" w:rsid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Estrategias de comercialización</w:t>
      </w:r>
      <w:r w:rsidRPr="00F33BF3">
        <w:rPr>
          <w:rFonts w:ascii="Times New Roman" w:hAnsi="Times New Roman" w:cs="Times New Roman"/>
          <w:sz w:val="24"/>
          <w:szCs w:val="24"/>
        </w:rPr>
        <w:t xml:space="preserve">: Se definió las estrategias para su comercialización según la guía para la elaboración de planes de negocio con enfoque hacia la sostenibilidad de </w:t>
      </w:r>
      <w:r w:rsidRPr="00F33BF3">
        <w:rPr>
          <w:rFonts w:ascii="Times New Roman" w:hAnsi="Times New Roman" w:cs="Times New Roman"/>
          <w:noProof/>
          <w:sz w:val="24"/>
          <w:szCs w:val="24"/>
        </w:rPr>
        <w:t>Duque y Ochoa</w:t>
      </w:r>
      <w:r w:rsidRPr="00F33BF3">
        <w:rPr>
          <w:rFonts w:ascii="Times New Roman" w:hAnsi="Times New Roman" w:cs="Times New Roman"/>
          <w:sz w:val="24"/>
          <w:szCs w:val="24"/>
        </w:rPr>
        <w:t xml:space="preserve"> </w:t>
      </w:r>
      <w:r w:rsidRPr="00F33BF3">
        <w:rPr>
          <w:rFonts w:ascii="Times New Roman" w:hAnsi="Times New Roman" w:cs="Times New Roman"/>
          <w:noProof/>
          <w:sz w:val="24"/>
          <w:szCs w:val="24"/>
        </w:rPr>
        <w:t>(2007)</w:t>
      </w:r>
      <w:r w:rsidRPr="00F33BF3">
        <w:rPr>
          <w:rFonts w:ascii="Times New Roman" w:hAnsi="Times New Roman" w:cs="Times New Roman"/>
          <w:sz w:val="24"/>
          <w:szCs w:val="24"/>
        </w:rPr>
        <w:t>, donde se tomaron las estrategias de penetración en el mercado y estrategia de desarrollo de productos y servicios.</w:t>
      </w:r>
    </w:p>
    <w:p w14:paraId="3A6AF1E5"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3AA8CE35" w14:textId="37D5C2B0" w:rsidR="00F33BF3" w:rsidRPr="00AD6D13" w:rsidRDefault="00F33BF3" w:rsidP="00AD6D13">
      <w:pPr>
        <w:pStyle w:val="Prrafodelista"/>
        <w:numPr>
          <w:ilvl w:val="1"/>
          <w:numId w:val="22"/>
        </w:numPr>
        <w:spacing w:after="120" w:line="240" w:lineRule="auto"/>
        <w:jc w:val="both"/>
        <w:rPr>
          <w:rFonts w:ascii="Times New Roman" w:hAnsi="Times New Roman" w:cs="Times New Roman"/>
          <w:b/>
          <w:bCs/>
          <w:sz w:val="24"/>
          <w:szCs w:val="24"/>
        </w:rPr>
      </w:pPr>
      <w:r w:rsidRPr="00AD6D13">
        <w:rPr>
          <w:rFonts w:ascii="Times New Roman" w:hAnsi="Times New Roman" w:cs="Times New Roman"/>
          <w:b/>
          <w:bCs/>
          <w:sz w:val="24"/>
          <w:szCs w:val="24"/>
        </w:rPr>
        <w:t>Determinación de la viabilidad legal y ambiental</w:t>
      </w:r>
    </w:p>
    <w:p w14:paraId="78FB95B3" w14:textId="77777777" w:rsidR="00F33BF3" w:rsidRP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Viabilidad legal</w:t>
      </w:r>
      <w:r w:rsidRPr="00F33BF3">
        <w:rPr>
          <w:rFonts w:ascii="Times New Roman" w:hAnsi="Times New Roman" w:cs="Times New Roman"/>
          <w:sz w:val="24"/>
          <w:szCs w:val="24"/>
        </w:rPr>
        <w:t>: Se realizó una revisión bibliográfica a la normativa nacional y acuerdos internacionales que aplique para el normal funcionamiento del producto de turismo herpetológico.</w:t>
      </w:r>
    </w:p>
    <w:p w14:paraId="66AAFB0C" w14:textId="77777777" w:rsidR="00F33BF3" w:rsidRDefault="00F33BF3" w:rsidP="00F33BF3">
      <w:pPr>
        <w:spacing w:after="120" w:line="240" w:lineRule="auto"/>
        <w:ind w:firstLine="510"/>
        <w:jc w:val="both"/>
        <w:rPr>
          <w:rFonts w:ascii="Times New Roman" w:hAnsi="Times New Roman" w:cs="Times New Roman"/>
          <w:sz w:val="24"/>
          <w:szCs w:val="24"/>
        </w:rPr>
      </w:pPr>
      <w:r w:rsidRPr="00AD6D13">
        <w:rPr>
          <w:rFonts w:ascii="Times New Roman" w:hAnsi="Times New Roman" w:cs="Times New Roman"/>
          <w:sz w:val="24"/>
          <w:szCs w:val="24"/>
          <w:u w:val="single"/>
        </w:rPr>
        <w:t>Viabilidad ambiental</w:t>
      </w:r>
      <w:r w:rsidRPr="00F33BF3">
        <w:rPr>
          <w:rFonts w:ascii="Times New Roman" w:hAnsi="Times New Roman" w:cs="Times New Roman"/>
          <w:sz w:val="24"/>
          <w:szCs w:val="24"/>
        </w:rPr>
        <w:t xml:space="preserve">: Primero se determinaron los aspectos socio ambientales y las actividades que pueden causar un impacto positivas o negativas en las áreas de influencia determinadas en función de sus componentes, luego se identificaron y midieron a través de la matriz de Leopold para evaluación de impactos ambientales. </w:t>
      </w:r>
    </w:p>
    <w:p w14:paraId="729DD953" w14:textId="77777777" w:rsidR="00AD6D13" w:rsidRPr="00F33BF3" w:rsidRDefault="00AD6D13" w:rsidP="00F33BF3">
      <w:pPr>
        <w:spacing w:after="120" w:line="240" w:lineRule="auto"/>
        <w:ind w:firstLine="510"/>
        <w:jc w:val="both"/>
        <w:rPr>
          <w:rFonts w:ascii="Times New Roman" w:hAnsi="Times New Roman" w:cs="Times New Roman"/>
          <w:sz w:val="24"/>
          <w:szCs w:val="24"/>
        </w:rPr>
      </w:pPr>
    </w:p>
    <w:p w14:paraId="486DE17D" w14:textId="4B301033" w:rsidR="00F33BF3" w:rsidRPr="00F33BF3" w:rsidRDefault="00AD6D13" w:rsidP="00AD6D13">
      <w:pPr>
        <w:pStyle w:val="Prrafodelista"/>
        <w:numPr>
          <w:ilvl w:val="1"/>
          <w:numId w:val="22"/>
        </w:numPr>
        <w:spacing w:after="120"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33BF3" w:rsidRPr="00F33BF3">
        <w:rPr>
          <w:rFonts w:ascii="Times New Roman" w:hAnsi="Times New Roman" w:cs="Times New Roman"/>
          <w:b/>
          <w:bCs/>
          <w:sz w:val="24"/>
          <w:szCs w:val="24"/>
        </w:rPr>
        <w:t xml:space="preserve">Determinación de viabilidad económica y financiera </w:t>
      </w:r>
    </w:p>
    <w:p w14:paraId="3A7041FE" w14:textId="77777777" w:rsidR="00F33BF3" w:rsidRPr="00F33BF3" w:rsidRDefault="00F33BF3" w:rsidP="00F33BF3">
      <w:pPr>
        <w:pStyle w:val="Prrafodelista"/>
        <w:autoSpaceDE w:val="0"/>
        <w:autoSpaceDN w:val="0"/>
        <w:adjustRightInd w:val="0"/>
        <w:spacing w:after="120" w:line="240" w:lineRule="auto"/>
        <w:ind w:left="0" w:firstLine="510"/>
        <w:contextualSpacing w:val="0"/>
        <w:jc w:val="both"/>
        <w:rPr>
          <w:rFonts w:ascii="Times New Roman" w:hAnsi="Times New Roman" w:cs="Times New Roman"/>
          <w:sz w:val="24"/>
          <w:szCs w:val="24"/>
        </w:rPr>
      </w:pPr>
      <w:r w:rsidRPr="00F33BF3">
        <w:rPr>
          <w:rFonts w:ascii="Times New Roman" w:hAnsi="Times New Roman" w:cs="Times New Roman"/>
          <w:sz w:val="24"/>
          <w:szCs w:val="24"/>
        </w:rPr>
        <w:lastRenderedPageBreak/>
        <w:t>Finalmente se realizó la viabilidad económica a través del análisis de inversiones, estructura de costos, presupuesto de ingresos, flujo de caja y cálculo de los análisis financieros como son: valor actual neto, taza interna de retorno, periodo de recuperación de capital y relación beneficio costo.</w:t>
      </w:r>
    </w:p>
    <w:p w14:paraId="4D9DE1E9" w14:textId="77777777" w:rsidR="00D6049F" w:rsidRPr="00026DAC" w:rsidRDefault="00D6049F" w:rsidP="002E47F3">
      <w:pPr>
        <w:pStyle w:val="5TextocomnIIGG"/>
        <w:spacing w:after="120"/>
      </w:pPr>
    </w:p>
    <w:p w14:paraId="2F422402" w14:textId="71CA3270" w:rsidR="00D6049F" w:rsidRPr="00D6049F" w:rsidRDefault="00AD6D13" w:rsidP="00D6049F">
      <w:pPr>
        <w:pStyle w:val="4TtulosepgrafesIIGG"/>
        <w:spacing w:after="120"/>
      </w:pPr>
      <w:r>
        <w:t>4</w:t>
      </w:r>
      <w:r w:rsidR="00026DAC" w:rsidRPr="00026DAC">
        <w:t>. Resultados</w:t>
      </w:r>
    </w:p>
    <w:p w14:paraId="41A1B579" w14:textId="77777777" w:rsidR="00AD6D13" w:rsidRDefault="00AD6D13" w:rsidP="00AD6D13">
      <w:pPr>
        <w:spacing w:after="120" w:line="240" w:lineRule="auto"/>
        <w:jc w:val="both"/>
        <w:rPr>
          <w:rFonts w:ascii="Times New Roman" w:hAnsi="Times New Roman" w:cs="Times New Roman"/>
          <w:b/>
          <w:bCs/>
          <w:sz w:val="24"/>
          <w:szCs w:val="24"/>
        </w:rPr>
      </w:pPr>
    </w:p>
    <w:p w14:paraId="176C2237" w14:textId="51002E5D" w:rsidR="00D6049F" w:rsidRDefault="00AD6D13" w:rsidP="00AD6D13">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AD6D13">
        <w:rPr>
          <w:rFonts w:ascii="Times New Roman" w:hAnsi="Times New Roman" w:cs="Times New Roman"/>
          <w:b/>
          <w:bCs/>
          <w:sz w:val="24"/>
          <w:szCs w:val="24"/>
        </w:rPr>
        <w:t xml:space="preserve">Evaluación de la potencialidad turística herpetológica del área de estudio </w:t>
      </w:r>
    </w:p>
    <w:p w14:paraId="7E25A862" w14:textId="77777777" w:rsidR="00AD6D13" w:rsidRPr="00AD6D13" w:rsidRDefault="00AD6D13" w:rsidP="00AD6D13">
      <w:pPr>
        <w:pStyle w:val="Prrafodelista"/>
        <w:spacing w:after="120" w:line="240" w:lineRule="auto"/>
        <w:ind w:left="360"/>
        <w:jc w:val="both"/>
        <w:rPr>
          <w:rFonts w:ascii="Times New Roman" w:hAnsi="Times New Roman" w:cs="Times New Roman"/>
          <w:b/>
          <w:bCs/>
          <w:sz w:val="24"/>
          <w:szCs w:val="24"/>
        </w:rPr>
      </w:pPr>
    </w:p>
    <w:p w14:paraId="2A696861" w14:textId="77777777" w:rsidR="00D6049F" w:rsidRPr="00D6049F" w:rsidRDefault="00D6049F" w:rsidP="00D6049F">
      <w:pPr>
        <w:pStyle w:val="Prrafodelista"/>
        <w:spacing w:after="120" w:line="240" w:lineRule="auto"/>
        <w:ind w:left="0"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Diagnóstico situacional: </w:t>
      </w:r>
      <w:r w:rsidRPr="00D6049F">
        <w:rPr>
          <w:rFonts w:ascii="Times New Roman" w:hAnsi="Times New Roman" w:cs="Times New Roman"/>
          <w:bCs/>
          <w:sz w:val="24"/>
          <w:szCs w:val="24"/>
        </w:rPr>
        <w:t xml:space="preserve">La reserva Tamandúa se encuentra limitada al norte por el cantón Santa Clara, sur: parroquia </w:t>
      </w:r>
      <w:proofErr w:type="gramStart"/>
      <w:r w:rsidRPr="00D6049F">
        <w:rPr>
          <w:rFonts w:ascii="Times New Roman" w:hAnsi="Times New Roman" w:cs="Times New Roman"/>
          <w:bCs/>
          <w:sz w:val="24"/>
          <w:szCs w:val="24"/>
        </w:rPr>
        <w:t>Teniente</w:t>
      </w:r>
      <w:proofErr w:type="gramEnd"/>
      <w:r w:rsidRPr="00D6049F">
        <w:rPr>
          <w:rFonts w:ascii="Times New Roman" w:hAnsi="Times New Roman" w:cs="Times New Roman"/>
          <w:bCs/>
          <w:sz w:val="24"/>
          <w:szCs w:val="24"/>
        </w:rPr>
        <w:t xml:space="preserve"> Hugo Ortiz, este: cantón Santa Clara y Oeste comunidad </w:t>
      </w:r>
      <w:proofErr w:type="spellStart"/>
      <w:r w:rsidRPr="00D6049F">
        <w:rPr>
          <w:rFonts w:ascii="Times New Roman" w:hAnsi="Times New Roman" w:cs="Times New Roman"/>
          <w:bCs/>
          <w:sz w:val="24"/>
          <w:szCs w:val="24"/>
        </w:rPr>
        <w:t>Boayacu</w:t>
      </w:r>
      <w:proofErr w:type="spellEnd"/>
      <w:r w:rsidRPr="00D6049F">
        <w:rPr>
          <w:rFonts w:ascii="Times New Roman" w:hAnsi="Times New Roman" w:cs="Times New Roman"/>
          <w:bCs/>
          <w:sz w:val="24"/>
          <w:szCs w:val="24"/>
        </w:rPr>
        <w:t xml:space="preserve">. </w:t>
      </w:r>
      <w:r w:rsidRPr="00D6049F">
        <w:rPr>
          <w:rFonts w:ascii="Times New Roman" w:hAnsi="Times New Roman" w:cs="Times New Roman"/>
          <w:sz w:val="24"/>
          <w:szCs w:val="24"/>
        </w:rPr>
        <w:t xml:space="preserve">La reserva posee un área de 60 </w:t>
      </w:r>
      <w:proofErr w:type="spellStart"/>
      <w:r w:rsidRPr="00D6049F">
        <w:rPr>
          <w:rFonts w:ascii="Times New Roman" w:hAnsi="Times New Roman" w:cs="Times New Roman"/>
          <w:sz w:val="24"/>
          <w:szCs w:val="24"/>
        </w:rPr>
        <w:t>hectarias</w:t>
      </w:r>
      <w:proofErr w:type="spellEnd"/>
      <w:r w:rsidRPr="00D6049F">
        <w:rPr>
          <w:rFonts w:ascii="Times New Roman" w:hAnsi="Times New Roman" w:cs="Times New Roman"/>
          <w:sz w:val="24"/>
          <w:szCs w:val="24"/>
        </w:rPr>
        <w:t xml:space="preserve"> en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y 15 </w:t>
      </w:r>
      <w:proofErr w:type="spellStart"/>
      <w:r w:rsidRPr="00D6049F">
        <w:rPr>
          <w:rFonts w:ascii="Times New Roman" w:hAnsi="Times New Roman" w:cs="Times New Roman"/>
          <w:sz w:val="24"/>
          <w:szCs w:val="24"/>
        </w:rPr>
        <w:t>hectarias</w:t>
      </w:r>
      <w:proofErr w:type="spellEnd"/>
      <w:r w:rsidRPr="00D6049F">
        <w:rPr>
          <w:rFonts w:ascii="Times New Roman" w:hAnsi="Times New Roman" w:cs="Times New Roman"/>
          <w:sz w:val="24"/>
          <w:szCs w:val="24"/>
        </w:rPr>
        <w:t xml:space="preserve"> alrededor de la cascada de </w:t>
      </w:r>
      <w:proofErr w:type="spellStart"/>
      <w:r w:rsidRPr="00D6049F">
        <w:rPr>
          <w:rFonts w:ascii="Times New Roman" w:hAnsi="Times New Roman" w:cs="Times New Roman"/>
          <w:sz w:val="24"/>
          <w:szCs w:val="24"/>
        </w:rPr>
        <w:t>Rimapakcha</w:t>
      </w:r>
      <w:proofErr w:type="spellEnd"/>
      <w:r w:rsidRPr="00D6049F">
        <w:rPr>
          <w:rFonts w:ascii="Times New Roman" w:hAnsi="Times New Roman" w:cs="Times New Roman"/>
          <w:sz w:val="24"/>
          <w:szCs w:val="24"/>
        </w:rPr>
        <w:t>.</w:t>
      </w:r>
      <w:bookmarkStart w:id="5" w:name="_Hlk43296288"/>
      <w:r w:rsidRPr="00D6049F">
        <w:rPr>
          <w:rFonts w:ascii="Times New Roman" w:hAnsi="Times New Roman" w:cs="Times New Roman"/>
          <w:sz w:val="24"/>
          <w:szCs w:val="24"/>
        </w:rPr>
        <w:t xml:space="preserve"> Para llegar se toma la vía Tropical Amazónica desde la ciudad del Puyo camino Tena</w:t>
      </w:r>
      <w:bookmarkEnd w:id="5"/>
      <w:r w:rsidRPr="00D6049F">
        <w:rPr>
          <w:rFonts w:ascii="Times New Roman" w:hAnsi="Times New Roman" w:cs="Times New Roman"/>
          <w:sz w:val="24"/>
          <w:szCs w:val="24"/>
        </w:rPr>
        <w:t xml:space="preserve"> hasta llegar a la comunidad </w:t>
      </w:r>
      <w:proofErr w:type="spellStart"/>
      <w:r w:rsidRPr="00D6049F">
        <w:rPr>
          <w:rFonts w:ascii="Times New Roman" w:hAnsi="Times New Roman" w:cs="Times New Roman"/>
          <w:sz w:val="24"/>
          <w:szCs w:val="24"/>
        </w:rPr>
        <w:t>Samasunchi</w:t>
      </w:r>
      <w:proofErr w:type="spellEnd"/>
      <w:r w:rsidRPr="00D6049F">
        <w:rPr>
          <w:rFonts w:ascii="Times New Roman" w:hAnsi="Times New Roman" w:cs="Times New Roman"/>
          <w:sz w:val="24"/>
          <w:szCs w:val="24"/>
        </w:rPr>
        <w:t xml:space="preserve"> y se ingresa caminando por un único sendero de empalizada hasta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w:t>
      </w:r>
    </w:p>
    <w:p w14:paraId="28D62742"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Tamandúa lleva su nombre en honor al oso hormiguero </w:t>
      </w:r>
      <w:proofErr w:type="spellStart"/>
      <w:r w:rsidRPr="00D6049F">
        <w:rPr>
          <w:rFonts w:ascii="Times New Roman" w:hAnsi="Times New Roman" w:cs="Times New Roman"/>
          <w:sz w:val="24"/>
          <w:szCs w:val="24"/>
          <w:u w:val="single"/>
        </w:rPr>
        <w:t>Tamandua</w:t>
      </w:r>
      <w:proofErr w:type="spellEnd"/>
      <w:r w:rsidRPr="00D6049F">
        <w:rPr>
          <w:rFonts w:ascii="Times New Roman" w:hAnsi="Times New Roman" w:cs="Times New Roman"/>
          <w:sz w:val="24"/>
          <w:szCs w:val="24"/>
        </w:rPr>
        <w:t xml:space="preserve"> </w:t>
      </w:r>
      <w:proofErr w:type="spellStart"/>
      <w:r w:rsidRPr="00D6049F">
        <w:rPr>
          <w:rFonts w:ascii="Times New Roman" w:hAnsi="Times New Roman" w:cs="Times New Roman"/>
          <w:sz w:val="24"/>
          <w:szCs w:val="24"/>
          <w:u w:val="single"/>
        </w:rPr>
        <w:t>tetradactyla</w:t>
      </w:r>
      <w:proofErr w:type="spellEnd"/>
      <w:r w:rsidRPr="00D6049F">
        <w:rPr>
          <w:rFonts w:ascii="Times New Roman" w:hAnsi="Times New Roman" w:cs="Times New Roman"/>
          <w:sz w:val="24"/>
          <w:szCs w:val="24"/>
          <w:u w:val="single"/>
        </w:rPr>
        <w:t>,</w:t>
      </w:r>
      <w:r w:rsidRPr="00D6049F">
        <w:rPr>
          <w:rFonts w:ascii="Times New Roman" w:hAnsi="Times New Roman" w:cs="Times New Roman"/>
          <w:sz w:val="24"/>
          <w:szCs w:val="24"/>
        </w:rPr>
        <w:t xml:space="preserve"> sus tierras fueron adquiridas en el año 2012 con la necesidad de buscar un espacio seguro destinado a la conservación e introducción de vida silvestre rehabilitada del Centro de Rescate Yanacocha. La construcción del </w:t>
      </w:r>
      <w:proofErr w:type="spellStart"/>
      <w:r w:rsidRPr="00D6049F">
        <w:rPr>
          <w:rFonts w:ascii="Times New Roman" w:hAnsi="Times New Roman" w:cs="Times New Roman"/>
          <w:sz w:val="24"/>
          <w:szCs w:val="24"/>
        </w:rPr>
        <w:t>Ecolodge</w:t>
      </w:r>
      <w:proofErr w:type="spellEnd"/>
      <w:r w:rsidRPr="00D6049F">
        <w:rPr>
          <w:rFonts w:ascii="Times New Roman" w:hAnsi="Times New Roman" w:cs="Times New Roman"/>
          <w:sz w:val="24"/>
          <w:szCs w:val="24"/>
        </w:rPr>
        <w:t xml:space="preserve"> empieza en el año 2017 de manera progresiva. El personal que habita y labora en la reserva pertenecen a una familia de nacionalidad </w:t>
      </w:r>
      <w:proofErr w:type="spellStart"/>
      <w:r w:rsidRPr="00D6049F">
        <w:rPr>
          <w:rFonts w:ascii="Times New Roman" w:hAnsi="Times New Roman" w:cs="Times New Roman"/>
          <w:sz w:val="24"/>
          <w:szCs w:val="24"/>
        </w:rPr>
        <w:t>Kichwa</w:t>
      </w:r>
      <w:proofErr w:type="spellEnd"/>
      <w:r w:rsidRPr="00D6049F">
        <w:rPr>
          <w:rFonts w:ascii="Times New Roman" w:hAnsi="Times New Roman" w:cs="Times New Roman"/>
          <w:sz w:val="24"/>
          <w:szCs w:val="24"/>
        </w:rPr>
        <w:t xml:space="preserve"> </w:t>
      </w:r>
      <w:proofErr w:type="spellStart"/>
      <w:r w:rsidRPr="00D6049F">
        <w:rPr>
          <w:rFonts w:ascii="Times New Roman" w:hAnsi="Times New Roman" w:cs="Times New Roman"/>
          <w:sz w:val="24"/>
          <w:szCs w:val="24"/>
        </w:rPr>
        <w:t>Waorani</w:t>
      </w:r>
      <w:proofErr w:type="spellEnd"/>
      <w:r w:rsidRPr="00D6049F">
        <w:rPr>
          <w:rFonts w:ascii="Times New Roman" w:hAnsi="Times New Roman" w:cs="Times New Roman"/>
          <w:sz w:val="24"/>
          <w:szCs w:val="24"/>
        </w:rPr>
        <w:t xml:space="preserve"> integrada por cuatro miembros. Para la cultura </w:t>
      </w:r>
      <w:proofErr w:type="spellStart"/>
      <w:r w:rsidRPr="00D6049F">
        <w:rPr>
          <w:rFonts w:ascii="Times New Roman" w:hAnsi="Times New Roman" w:cs="Times New Roman"/>
          <w:sz w:val="24"/>
          <w:szCs w:val="24"/>
        </w:rPr>
        <w:t>Waorani</w:t>
      </w:r>
      <w:proofErr w:type="spellEnd"/>
      <w:r w:rsidRPr="00D6049F">
        <w:rPr>
          <w:rFonts w:ascii="Times New Roman" w:hAnsi="Times New Roman" w:cs="Times New Roman"/>
          <w:sz w:val="24"/>
          <w:szCs w:val="24"/>
        </w:rPr>
        <w:t xml:space="preserve"> las serpientes significan energía, mientras que los anfibios significan poder curativo. En la cultura </w:t>
      </w:r>
      <w:proofErr w:type="spellStart"/>
      <w:r w:rsidRPr="00D6049F">
        <w:rPr>
          <w:rFonts w:ascii="Times New Roman" w:hAnsi="Times New Roman" w:cs="Times New Roman"/>
          <w:sz w:val="24"/>
          <w:szCs w:val="24"/>
        </w:rPr>
        <w:t>kichwa</w:t>
      </w:r>
      <w:proofErr w:type="spellEnd"/>
      <w:r w:rsidRPr="00D6049F">
        <w:rPr>
          <w:rFonts w:ascii="Times New Roman" w:hAnsi="Times New Roman" w:cs="Times New Roman"/>
          <w:sz w:val="24"/>
          <w:szCs w:val="24"/>
        </w:rPr>
        <w:t xml:space="preserve"> la boa se llama </w:t>
      </w:r>
      <w:proofErr w:type="spellStart"/>
      <w:r w:rsidRPr="00D6049F">
        <w:rPr>
          <w:rFonts w:ascii="Times New Roman" w:hAnsi="Times New Roman" w:cs="Times New Roman"/>
          <w:sz w:val="24"/>
          <w:szCs w:val="24"/>
        </w:rPr>
        <w:t>yakuma</w:t>
      </w:r>
      <w:proofErr w:type="spellEnd"/>
      <w:r w:rsidRPr="00D6049F">
        <w:rPr>
          <w:rFonts w:ascii="Times New Roman" w:hAnsi="Times New Roman" w:cs="Times New Roman"/>
          <w:sz w:val="24"/>
          <w:szCs w:val="24"/>
        </w:rPr>
        <w:t xml:space="preserve"> la cual es considerada la trasformación de un hombre al bañarse en un río y convertirse en </w:t>
      </w:r>
      <w:proofErr w:type="spellStart"/>
      <w:r w:rsidRPr="00D6049F">
        <w:rPr>
          <w:rFonts w:ascii="Times New Roman" w:hAnsi="Times New Roman" w:cs="Times New Roman"/>
          <w:sz w:val="24"/>
          <w:szCs w:val="24"/>
        </w:rPr>
        <w:t>shaman</w:t>
      </w:r>
      <w:proofErr w:type="spellEnd"/>
      <w:r w:rsidRPr="00D6049F">
        <w:rPr>
          <w:rFonts w:ascii="Times New Roman" w:hAnsi="Times New Roman" w:cs="Times New Roman"/>
          <w:sz w:val="24"/>
          <w:szCs w:val="24"/>
        </w:rPr>
        <w:t>.</w:t>
      </w:r>
    </w:p>
    <w:p w14:paraId="3AACD689" w14:textId="5A440D26"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Los servicios básicos que posee el </w:t>
      </w:r>
      <w:proofErr w:type="spellStart"/>
      <w:r w:rsidRPr="00AD6D13">
        <w:rPr>
          <w:rFonts w:ascii="Times New Roman" w:hAnsi="Times New Roman" w:cs="Times New Roman"/>
          <w:i/>
          <w:iCs/>
          <w:sz w:val="24"/>
          <w:szCs w:val="24"/>
        </w:rPr>
        <w:t>lodge</w:t>
      </w:r>
      <w:proofErr w:type="spellEnd"/>
      <w:r w:rsidRPr="00D6049F">
        <w:rPr>
          <w:rFonts w:ascii="Times New Roman" w:hAnsi="Times New Roman" w:cs="Times New Roman"/>
          <w:sz w:val="24"/>
          <w:szCs w:val="24"/>
        </w:rPr>
        <w:t xml:space="preserve"> son: 1) agua a través de un sistema de captación de agua lluvia, 2) alcantarillado por un sistema de pozo séptico, 3) la basura se clasifica y se extrae fuera del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4) la energía eléctrica funciona con una planta de luz a gasolina de 18h00 a 22h00. 5) En transporte, existe un bus que ingresa a la comunidad o vehículo privado y desde allí solo se camina hasta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6) Para telecomunicaciones, existe un teléfono satelital. Los servicios turísticos que posee son: 1) un restaurante para 40 personas, 2) </w:t>
      </w:r>
      <w:r w:rsidR="00AD6D13">
        <w:rPr>
          <w:rFonts w:ascii="Times New Roman" w:hAnsi="Times New Roman" w:cs="Times New Roman"/>
          <w:sz w:val="24"/>
          <w:szCs w:val="24"/>
        </w:rPr>
        <w:t>tres</w:t>
      </w:r>
      <w:r w:rsidRPr="00D6049F">
        <w:rPr>
          <w:rFonts w:ascii="Times New Roman" w:hAnsi="Times New Roman" w:cs="Times New Roman"/>
          <w:sz w:val="24"/>
          <w:szCs w:val="24"/>
        </w:rPr>
        <w:t xml:space="preserve"> cabañas con habitaciones para 15 personas en total, 3) cafetería, 4) balcones, 5) miradores, 6) torre para observación de aves y 7) senderos.</w:t>
      </w:r>
    </w:p>
    <w:p w14:paraId="13AF0B28" w14:textId="18B05F76"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Es una zona húmedo tropical</w:t>
      </w:r>
      <w:r w:rsidR="00AD6D13">
        <w:rPr>
          <w:rFonts w:ascii="Times New Roman" w:hAnsi="Times New Roman" w:cs="Times New Roman"/>
          <w:sz w:val="24"/>
          <w:szCs w:val="24"/>
        </w:rPr>
        <w:t xml:space="preserve"> y</w:t>
      </w:r>
      <w:r w:rsidRPr="00D6049F">
        <w:rPr>
          <w:rFonts w:ascii="Times New Roman" w:hAnsi="Times New Roman" w:cs="Times New Roman"/>
          <w:sz w:val="24"/>
          <w:szCs w:val="24"/>
        </w:rPr>
        <w:t xml:space="preserve"> se encuentra en adecuado estado de conservación y está destinada a la liberación de fauna, conservación, turismo, investigación, agricultura para consumo y floricultura. Posee alrededor de 300 especies de aves, 20 especies de mamíferos, más de 70 especies de </w:t>
      </w:r>
      <w:proofErr w:type="spellStart"/>
      <w:r w:rsidRPr="00D6049F">
        <w:rPr>
          <w:rFonts w:ascii="Times New Roman" w:hAnsi="Times New Roman" w:cs="Times New Roman"/>
          <w:sz w:val="24"/>
          <w:szCs w:val="24"/>
        </w:rPr>
        <w:t>herpetos</w:t>
      </w:r>
      <w:proofErr w:type="spellEnd"/>
      <w:r w:rsidRPr="00D6049F">
        <w:rPr>
          <w:rFonts w:ascii="Times New Roman" w:hAnsi="Times New Roman" w:cs="Times New Roman"/>
          <w:sz w:val="24"/>
          <w:szCs w:val="24"/>
        </w:rPr>
        <w:t xml:space="preserve"> y aún no existen estudios específicos sobre flora e insectos. El río Chonta Yaku pasa por un lado de la reserva y el río Andy Yaku del cual proviene la cascada.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cuenta con todos los permisos de funcionamiento y forma parte del programa de socio bosque del Ministerio de Ambiente del Ecuador.</w:t>
      </w:r>
    </w:p>
    <w:p w14:paraId="3D4BB8A6"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Inventario de atractivos: En Tamanduá existe un total de 15 atractivos turísticos, 14 de ellos presentan una jerarquía de nivel II y uno en jerarquía I, perteneciente a la categoría de atractivo natural y es el río Chonta Yaku. Los atractivos naturales son 6: la cascada </w:t>
      </w:r>
      <w:proofErr w:type="spellStart"/>
      <w:r w:rsidRPr="00D6049F">
        <w:rPr>
          <w:rFonts w:ascii="Times New Roman" w:hAnsi="Times New Roman" w:cs="Times New Roman"/>
          <w:sz w:val="24"/>
          <w:szCs w:val="24"/>
        </w:rPr>
        <w:t>Rimak</w:t>
      </w:r>
      <w:proofErr w:type="spellEnd"/>
      <w:r w:rsidRPr="00D6049F">
        <w:rPr>
          <w:rFonts w:ascii="Times New Roman" w:hAnsi="Times New Roman" w:cs="Times New Roman"/>
          <w:sz w:val="24"/>
          <w:szCs w:val="24"/>
        </w:rPr>
        <w:t xml:space="preserve"> </w:t>
      </w:r>
      <w:proofErr w:type="spellStart"/>
      <w:r w:rsidRPr="00D6049F">
        <w:rPr>
          <w:rFonts w:ascii="Times New Roman" w:hAnsi="Times New Roman" w:cs="Times New Roman"/>
          <w:sz w:val="24"/>
          <w:szCs w:val="24"/>
        </w:rPr>
        <w:t>Pakcha</w:t>
      </w:r>
      <w:proofErr w:type="spellEnd"/>
      <w:r w:rsidRPr="00D6049F">
        <w:rPr>
          <w:rFonts w:ascii="Times New Roman" w:hAnsi="Times New Roman" w:cs="Times New Roman"/>
          <w:sz w:val="24"/>
          <w:szCs w:val="24"/>
        </w:rPr>
        <w:t xml:space="preserve">, río Chonta Yaku, laguna de caimanes, mirador a Santa Clara, bosque de Tamanduá y la cueva. Mientras que en Manifestaciones Culturales existen 9: el mirador del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observatorio de colibríes, torre para observación de aves, demostraciones de plantas medicinales, supervivencia, uso lanza, cerbatana, artesanías, danzas tradicionales, </w:t>
      </w:r>
      <w:proofErr w:type="spellStart"/>
      <w:r w:rsidRPr="00D6049F">
        <w:rPr>
          <w:rFonts w:ascii="Times New Roman" w:hAnsi="Times New Roman" w:cs="Times New Roman"/>
          <w:sz w:val="24"/>
          <w:szCs w:val="24"/>
        </w:rPr>
        <w:t>shamanismo</w:t>
      </w:r>
      <w:proofErr w:type="spellEnd"/>
      <w:r w:rsidRPr="00D6049F">
        <w:rPr>
          <w:rFonts w:ascii="Times New Roman" w:hAnsi="Times New Roman" w:cs="Times New Roman"/>
          <w:sz w:val="24"/>
          <w:szCs w:val="24"/>
        </w:rPr>
        <w:t xml:space="preserve"> y gastronomía.</w:t>
      </w:r>
    </w:p>
    <w:p w14:paraId="1CF79E36" w14:textId="183F4C64"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lastRenderedPageBreak/>
        <w:t xml:space="preserve">Validación del inventario herpetológico: Tamanduá contaba con un inventario previo que registró 68 especies en total entre anfibios y reptiles. Al realizar la validación se registraron una totalidad de 56 especies, de las cuales se encontraron 34 especies en común con el inventario anterior, no se encontraron 33 especies, y nuevas 22 especies. Posteriormente se realizó otro inventario por los herpetólogos Alejandro Artiaga y Frank Pichardo, miembros de Tropical </w:t>
      </w:r>
      <w:proofErr w:type="spellStart"/>
      <w:r w:rsidRPr="00D6049F">
        <w:rPr>
          <w:rFonts w:ascii="Times New Roman" w:hAnsi="Times New Roman" w:cs="Times New Roman"/>
          <w:sz w:val="24"/>
          <w:szCs w:val="24"/>
        </w:rPr>
        <w:t>Herping</w:t>
      </w:r>
      <w:proofErr w:type="spellEnd"/>
      <w:r w:rsidRPr="00D6049F">
        <w:rPr>
          <w:rFonts w:ascii="Times New Roman" w:hAnsi="Times New Roman" w:cs="Times New Roman"/>
          <w:sz w:val="24"/>
          <w:szCs w:val="24"/>
        </w:rPr>
        <w:t xml:space="preserve"> (centro de investigación) en el que registraron 92 especies con 24 nuevos registros, dando como resultado del trabajo conjunto, 104 especies entre anfibios y reptiles pertenecientes a 20 familias, distribuidas en 6 géneros</w:t>
      </w:r>
      <w:r w:rsidR="00B126E2">
        <w:rPr>
          <w:rFonts w:ascii="Times New Roman" w:hAnsi="Times New Roman" w:cs="Times New Roman"/>
          <w:sz w:val="24"/>
          <w:szCs w:val="24"/>
        </w:rPr>
        <w:t xml:space="preserve"> (Figura 1)</w:t>
      </w:r>
      <w:r w:rsidRPr="00D6049F">
        <w:rPr>
          <w:rFonts w:ascii="Times New Roman" w:hAnsi="Times New Roman" w:cs="Times New Roman"/>
          <w:sz w:val="24"/>
          <w:szCs w:val="24"/>
        </w:rPr>
        <w:t xml:space="preserve">. </w:t>
      </w:r>
    </w:p>
    <w:p w14:paraId="60E32503" w14:textId="411F3949" w:rsid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La validación del inventario herpetológico de 56 especies llevó un conteo de individuos por cada sitio de muestreo</w:t>
      </w:r>
      <w:r w:rsidR="00B126E2">
        <w:rPr>
          <w:rFonts w:ascii="Times New Roman" w:hAnsi="Times New Roman" w:cs="Times New Roman"/>
          <w:sz w:val="24"/>
          <w:szCs w:val="24"/>
        </w:rPr>
        <w:t xml:space="preserve"> (Figuras 2 y 3)</w:t>
      </w:r>
      <w:r w:rsidRPr="00D6049F">
        <w:rPr>
          <w:rFonts w:ascii="Times New Roman" w:hAnsi="Times New Roman" w:cs="Times New Roman"/>
          <w:sz w:val="24"/>
          <w:szCs w:val="24"/>
        </w:rPr>
        <w:t xml:space="preserve">, donde se establecieron 6 cuadrantes y uno donde agrupó los encuentros fortuitos: cuadrante 1 (laguna), cuadrante 2 (cascada), cuadrante 3 (riachuelo a lado de laguna), cuadrante 4 (riachuelo camino a la cascada), cuadrante 5 (hojarasca en zona de torre de aves) y cuadrante 6 (hojarasca en el sendero de aves); allí se obtuvo la curva de acumulación de especies (figura </w:t>
      </w:r>
      <w:r w:rsidR="00B126E2">
        <w:rPr>
          <w:rFonts w:ascii="Times New Roman" w:hAnsi="Times New Roman" w:cs="Times New Roman"/>
          <w:sz w:val="24"/>
          <w:szCs w:val="24"/>
        </w:rPr>
        <w:t>4</w:t>
      </w:r>
      <w:r w:rsidRPr="00D6049F">
        <w:rPr>
          <w:rFonts w:ascii="Times New Roman" w:hAnsi="Times New Roman" w:cs="Times New Roman"/>
          <w:sz w:val="24"/>
          <w:szCs w:val="24"/>
        </w:rPr>
        <w:t>), mostrando que la curva no se estandariza, al evaluar el porcentaje de eficiencia en el indicador ACE muestra una eficiencia del 68,8% estimando la existencia de 81 especies, el indicador Chao1 presenta una eficiencia del 81,4% con 69 especies estimadas, dichas estimaciones están muy cerca de las 104 especies totales, mientras que los índices de biodiversidad están dados por cada sitio de muestreo, los sitios donde se centró más el inventario fueron los cuerpos de agua principales, cuadrante 1 (laguna) y cuadrante 2 (cascada), por ende, se encontró un mayor número de especies (Tabla 1).</w:t>
      </w:r>
    </w:p>
    <w:p w14:paraId="2046F1F8" w14:textId="77777777" w:rsidR="00AD6D13" w:rsidRDefault="00AD6D13" w:rsidP="00AD6D13">
      <w:pPr>
        <w:pStyle w:val="Prrafodelista"/>
        <w:spacing w:after="120" w:line="240" w:lineRule="auto"/>
        <w:ind w:left="0"/>
        <w:contextualSpacing w:val="0"/>
        <w:rPr>
          <w:rFonts w:ascii="Times New Roman" w:hAnsi="Times New Roman" w:cs="Times New Roman"/>
          <w:sz w:val="24"/>
          <w:szCs w:val="24"/>
        </w:rPr>
      </w:pPr>
    </w:p>
    <w:p w14:paraId="21DA5AA7" w14:textId="281C3BB7" w:rsidR="00D6049F" w:rsidRDefault="00AD6D13" w:rsidP="00AD6D13">
      <w:pPr>
        <w:pStyle w:val="Prrafodelista"/>
        <w:spacing w:after="120" w:line="240" w:lineRule="auto"/>
        <w:ind w:left="0"/>
        <w:contextualSpacing w:val="0"/>
        <w:rPr>
          <w:rFonts w:ascii="Times New Roman" w:hAnsi="Times New Roman" w:cs="Times New Roman"/>
          <w:sz w:val="24"/>
          <w:szCs w:val="24"/>
        </w:rPr>
      </w:pPr>
      <w:r w:rsidRPr="00AD6D13">
        <w:rPr>
          <w:rFonts w:ascii="Times New Roman" w:hAnsi="Times New Roman" w:cs="Times New Roman"/>
          <w:b/>
          <w:bCs/>
          <w:sz w:val="24"/>
          <w:szCs w:val="24"/>
        </w:rPr>
        <w:t xml:space="preserve">Figura </w:t>
      </w:r>
      <w:r w:rsidR="00B126E2">
        <w:rPr>
          <w:rFonts w:ascii="Times New Roman" w:hAnsi="Times New Roman" w:cs="Times New Roman"/>
          <w:b/>
          <w:bCs/>
          <w:sz w:val="24"/>
          <w:szCs w:val="24"/>
        </w:rPr>
        <w:t>1</w:t>
      </w:r>
      <w:r w:rsidRPr="00AD6D13">
        <w:rPr>
          <w:rFonts w:ascii="Times New Roman" w:hAnsi="Times New Roman" w:cs="Times New Roman"/>
          <w:b/>
          <w:bCs/>
          <w:sz w:val="24"/>
          <w:szCs w:val="24"/>
        </w:rPr>
        <w:t>.</w:t>
      </w:r>
      <w:r w:rsidRPr="00AD6D13">
        <w:rPr>
          <w:rFonts w:ascii="Times New Roman" w:hAnsi="Times New Roman" w:cs="Times New Roman"/>
          <w:sz w:val="24"/>
          <w:szCs w:val="24"/>
        </w:rPr>
        <w:t xml:space="preserve">  Estado de conservación         </w:t>
      </w:r>
      <w:r>
        <w:rPr>
          <w:rFonts w:ascii="Times New Roman" w:hAnsi="Times New Roman" w:cs="Times New Roman"/>
          <w:sz w:val="24"/>
          <w:szCs w:val="24"/>
        </w:rPr>
        <w:t xml:space="preserve">           </w:t>
      </w:r>
      <w:r w:rsidRPr="00AD6D13">
        <w:rPr>
          <w:rFonts w:ascii="Times New Roman" w:hAnsi="Times New Roman" w:cs="Times New Roman"/>
          <w:sz w:val="24"/>
          <w:szCs w:val="24"/>
        </w:rPr>
        <w:t xml:space="preserve">    </w:t>
      </w:r>
      <w:r w:rsidRPr="00AD6D13">
        <w:rPr>
          <w:rFonts w:ascii="Times New Roman" w:hAnsi="Times New Roman" w:cs="Times New Roman"/>
          <w:b/>
          <w:bCs/>
          <w:sz w:val="24"/>
          <w:szCs w:val="24"/>
        </w:rPr>
        <w:t xml:space="preserve">Figura </w:t>
      </w:r>
      <w:r w:rsidR="00B126E2">
        <w:rPr>
          <w:rFonts w:ascii="Times New Roman" w:hAnsi="Times New Roman" w:cs="Times New Roman"/>
          <w:b/>
          <w:bCs/>
          <w:sz w:val="24"/>
          <w:szCs w:val="24"/>
        </w:rPr>
        <w:t>2</w:t>
      </w:r>
      <w:r w:rsidRPr="00AD6D13">
        <w:rPr>
          <w:rFonts w:ascii="Times New Roman" w:hAnsi="Times New Roman" w:cs="Times New Roman"/>
          <w:sz w:val="24"/>
          <w:szCs w:val="24"/>
        </w:rPr>
        <w:t xml:space="preserve">.  </w:t>
      </w:r>
      <w:proofErr w:type="spellStart"/>
      <w:r w:rsidRPr="00AD6D13">
        <w:rPr>
          <w:rFonts w:ascii="Times New Roman" w:hAnsi="Times New Roman" w:cs="Times New Roman"/>
          <w:sz w:val="24"/>
          <w:szCs w:val="24"/>
        </w:rPr>
        <w:t>Herpetofauna</w:t>
      </w:r>
      <w:proofErr w:type="spellEnd"/>
      <w:r w:rsidRPr="00AD6D13">
        <w:rPr>
          <w:rFonts w:ascii="Times New Roman" w:hAnsi="Times New Roman" w:cs="Times New Roman"/>
          <w:sz w:val="24"/>
          <w:szCs w:val="24"/>
        </w:rPr>
        <w:t xml:space="preserve"> según especies              </w:t>
      </w:r>
    </w:p>
    <w:p w14:paraId="14AD6EF9" w14:textId="17D81625" w:rsidR="00D6049F" w:rsidRPr="00D6049F" w:rsidRDefault="00AD6D13" w:rsidP="00AD6D13">
      <w:pPr>
        <w:pStyle w:val="Prrafodelista"/>
        <w:spacing w:after="120" w:line="240" w:lineRule="auto"/>
        <w:ind w:left="0" w:firstLine="709"/>
        <w:contextualSpacing w:val="0"/>
        <w:rPr>
          <w:rFonts w:ascii="Times New Roman" w:hAnsi="Times New Roman" w:cs="Times New Roman"/>
          <w:b/>
          <w:bCs/>
          <w:sz w:val="24"/>
          <w:szCs w:val="24"/>
        </w:rPr>
      </w:pPr>
      <w:r w:rsidRPr="00D6049F">
        <w:rPr>
          <w:rFonts w:ascii="Times New Roman" w:hAnsi="Times New Roman" w:cs="Times New Roman"/>
          <w:noProof/>
          <w:sz w:val="24"/>
          <w:szCs w:val="24"/>
        </w:rPr>
        <w:drawing>
          <wp:anchor distT="0" distB="0" distL="114300" distR="114300" simplePos="0" relativeHeight="251670528" behindDoc="0" locked="0" layoutInCell="1" allowOverlap="1" wp14:anchorId="6EF4AB86" wp14:editId="75509C12">
            <wp:simplePos x="0" y="0"/>
            <wp:positionH relativeFrom="column">
              <wp:posOffset>3131820</wp:posOffset>
            </wp:positionH>
            <wp:positionV relativeFrom="paragraph">
              <wp:posOffset>242570</wp:posOffset>
            </wp:positionV>
            <wp:extent cx="2635250" cy="175895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250" cy="1758950"/>
                    </a:xfrm>
                    <a:prstGeom prst="rect">
                      <a:avLst/>
                    </a:prstGeom>
                    <a:noFill/>
                  </pic:spPr>
                </pic:pic>
              </a:graphicData>
            </a:graphic>
            <wp14:sizeRelH relativeFrom="margin">
              <wp14:pctWidth>0</wp14:pctWidth>
            </wp14:sizeRelH>
            <wp14:sizeRelV relativeFrom="margin">
              <wp14:pctHeight>0</wp14:pctHeight>
            </wp14:sizeRelV>
          </wp:anchor>
        </w:drawing>
      </w:r>
      <w:r w:rsidRPr="00D6049F">
        <w:rPr>
          <w:rFonts w:ascii="Times New Roman" w:hAnsi="Times New Roman" w:cs="Times New Roman"/>
          <w:b/>
          <w:bCs/>
          <w:noProof/>
          <w:sz w:val="24"/>
          <w:szCs w:val="24"/>
        </w:rPr>
        <w:drawing>
          <wp:anchor distT="0" distB="0" distL="114300" distR="114300" simplePos="0" relativeHeight="251650048" behindDoc="0" locked="0" layoutInCell="1" allowOverlap="1" wp14:anchorId="3B6513D0" wp14:editId="4E0F86E4">
            <wp:simplePos x="0" y="0"/>
            <wp:positionH relativeFrom="column">
              <wp:posOffset>-17780</wp:posOffset>
            </wp:positionH>
            <wp:positionV relativeFrom="paragraph">
              <wp:posOffset>258445</wp:posOffset>
            </wp:positionV>
            <wp:extent cx="2921000" cy="1764030"/>
            <wp:effectExtent l="0" t="0" r="0" b="7620"/>
            <wp:wrapSquare wrapText="bothSides"/>
            <wp:docPr id="9" name="Imagen 9"/>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0" name="Gráfico 7"/>
                    <pic:cNvPicPr>
                      <a:picLocks noGrp="1" noRot="1" noChangeAspect="1" noMove="1" noResize="1" noEditPoints="1" noAdjustHandles="1"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00" cy="1764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7AA9AA" w14:textId="77777777" w:rsidR="00E62407" w:rsidRDefault="00D6049F" w:rsidP="00D6049F">
      <w:pPr>
        <w:spacing w:after="120" w:line="240" w:lineRule="auto"/>
        <w:rPr>
          <w:rFonts w:ascii="Times New Roman" w:hAnsi="Times New Roman" w:cs="Times New Roman"/>
          <w:b/>
          <w:bCs/>
          <w:sz w:val="24"/>
          <w:szCs w:val="24"/>
        </w:rPr>
      </w:pPr>
      <w:r w:rsidRPr="00D6049F">
        <w:rPr>
          <w:rFonts w:ascii="Times New Roman" w:hAnsi="Times New Roman" w:cs="Times New Roman"/>
          <w:b/>
          <w:bCs/>
          <w:sz w:val="24"/>
          <w:szCs w:val="24"/>
        </w:rPr>
        <w:t xml:space="preserve">         </w:t>
      </w:r>
    </w:p>
    <w:p w14:paraId="4C0C2EB1" w14:textId="14756399" w:rsidR="00D6049F" w:rsidRDefault="00D6049F" w:rsidP="00E62407">
      <w:pPr>
        <w:spacing w:after="120" w:line="240" w:lineRule="auto"/>
        <w:ind w:firstLine="708"/>
        <w:rPr>
          <w:rFonts w:ascii="Times New Roman" w:hAnsi="Times New Roman" w:cs="Times New Roman"/>
          <w:sz w:val="20"/>
          <w:szCs w:val="20"/>
        </w:rPr>
      </w:pPr>
      <w:r w:rsidRPr="00AD6D13">
        <w:rPr>
          <w:rFonts w:ascii="Times New Roman" w:hAnsi="Times New Roman" w:cs="Times New Roman"/>
          <w:b/>
          <w:bCs/>
          <w:sz w:val="20"/>
          <w:szCs w:val="20"/>
        </w:rPr>
        <w:t>Fuente:</w:t>
      </w:r>
      <w:r w:rsidRPr="00AD6D13">
        <w:rPr>
          <w:rFonts w:ascii="Times New Roman" w:hAnsi="Times New Roman" w:cs="Times New Roman"/>
          <w:sz w:val="20"/>
          <w:szCs w:val="20"/>
        </w:rPr>
        <w:t xml:space="preserve"> Elaboración propia</w:t>
      </w:r>
      <w:r w:rsidRPr="00AD6D13">
        <w:rPr>
          <w:rFonts w:ascii="Times New Roman" w:hAnsi="Times New Roman" w:cs="Times New Roman"/>
          <w:b/>
          <w:bCs/>
          <w:sz w:val="20"/>
          <w:szCs w:val="20"/>
        </w:rPr>
        <w:t xml:space="preserve">                                             Fuente:</w:t>
      </w:r>
      <w:r w:rsidRPr="00AD6D13">
        <w:rPr>
          <w:rFonts w:ascii="Times New Roman" w:hAnsi="Times New Roman" w:cs="Times New Roman"/>
          <w:sz w:val="20"/>
          <w:szCs w:val="20"/>
        </w:rPr>
        <w:t xml:space="preserve"> Elaboración propia</w:t>
      </w:r>
    </w:p>
    <w:p w14:paraId="1CED623F" w14:textId="77777777" w:rsidR="00E62407" w:rsidRDefault="00E62407" w:rsidP="00E62407">
      <w:pPr>
        <w:spacing w:after="120" w:line="240" w:lineRule="auto"/>
        <w:ind w:firstLine="708"/>
        <w:rPr>
          <w:rFonts w:ascii="Times New Roman" w:hAnsi="Times New Roman" w:cs="Times New Roman"/>
          <w:sz w:val="20"/>
          <w:szCs w:val="20"/>
        </w:rPr>
      </w:pPr>
    </w:p>
    <w:p w14:paraId="572D3808" w14:textId="5D75863C" w:rsidR="00E62407" w:rsidRPr="00E62407" w:rsidRDefault="00E62407" w:rsidP="00E62407">
      <w:pPr>
        <w:spacing w:after="120" w:line="240" w:lineRule="auto"/>
        <w:ind w:firstLine="708"/>
        <w:jc w:val="center"/>
        <w:rPr>
          <w:rFonts w:ascii="Times New Roman" w:hAnsi="Times New Roman" w:cs="Times New Roman"/>
          <w:sz w:val="24"/>
          <w:szCs w:val="24"/>
        </w:rPr>
      </w:pPr>
      <w:r w:rsidRPr="00E62407">
        <w:rPr>
          <w:rFonts w:ascii="Times New Roman" w:hAnsi="Times New Roman" w:cs="Times New Roman"/>
          <w:b/>
          <w:bCs/>
          <w:sz w:val="24"/>
          <w:szCs w:val="24"/>
        </w:rPr>
        <w:t xml:space="preserve">Figura </w:t>
      </w:r>
      <w:r w:rsidR="00B126E2">
        <w:rPr>
          <w:rFonts w:ascii="Times New Roman" w:hAnsi="Times New Roman" w:cs="Times New Roman"/>
          <w:b/>
          <w:bCs/>
          <w:sz w:val="24"/>
          <w:szCs w:val="24"/>
        </w:rPr>
        <w:t>3</w:t>
      </w:r>
      <w:r w:rsidRPr="00E62407">
        <w:rPr>
          <w:rFonts w:ascii="Times New Roman" w:hAnsi="Times New Roman" w:cs="Times New Roman"/>
          <w:sz w:val="24"/>
          <w:szCs w:val="24"/>
        </w:rPr>
        <w:t xml:space="preserve">.  Especies con mayor </w:t>
      </w:r>
      <w:proofErr w:type="spellStart"/>
      <w:r w:rsidRPr="00E62407">
        <w:rPr>
          <w:rFonts w:ascii="Times New Roman" w:hAnsi="Times New Roman" w:cs="Times New Roman"/>
          <w:sz w:val="24"/>
          <w:szCs w:val="24"/>
        </w:rPr>
        <w:t>n</w:t>
      </w:r>
      <w:r w:rsidR="00B678D8">
        <w:rPr>
          <w:rFonts w:ascii="Times New Roman" w:hAnsi="Times New Roman" w:cs="Times New Roman"/>
          <w:sz w:val="24"/>
          <w:szCs w:val="24"/>
        </w:rPr>
        <w:t>º</w:t>
      </w:r>
      <w:proofErr w:type="spellEnd"/>
      <w:r w:rsidRPr="00E62407">
        <w:rPr>
          <w:rFonts w:ascii="Times New Roman" w:hAnsi="Times New Roman" w:cs="Times New Roman"/>
          <w:sz w:val="24"/>
          <w:szCs w:val="24"/>
        </w:rPr>
        <w:t xml:space="preserve"> de ind</w:t>
      </w:r>
      <w:r>
        <w:rPr>
          <w:rFonts w:ascii="Times New Roman" w:hAnsi="Times New Roman" w:cs="Times New Roman"/>
          <w:sz w:val="24"/>
          <w:szCs w:val="24"/>
        </w:rPr>
        <w:t>ividuos</w:t>
      </w:r>
    </w:p>
    <w:p w14:paraId="046762B7" w14:textId="7D69A03F" w:rsidR="00E62407" w:rsidRPr="00E62407" w:rsidRDefault="00E62407" w:rsidP="00D6049F">
      <w:pPr>
        <w:spacing w:after="120" w:line="240" w:lineRule="auto"/>
        <w:rPr>
          <w:rFonts w:ascii="Times New Roman" w:hAnsi="Times New Roman" w:cs="Times New Roman"/>
          <w:sz w:val="24"/>
          <w:szCs w:val="24"/>
        </w:rPr>
      </w:pPr>
      <w:r w:rsidRPr="00D6049F">
        <w:rPr>
          <w:rFonts w:ascii="Times New Roman" w:hAnsi="Times New Roman" w:cs="Times New Roman"/>
          <w:noProof/>
          <w:sz w:val="24"/>
          <w:szCs w:val="24"/>
        </w:rPr>
        <w:lastRenderedPageBreak/>
        <w:drawing>
          <wp:anchor distT="0" distB="0" distL="114300" distR="114300" simplePos="0" relativeHeight="251682816" behindDoc="1" locked="0" layoutInCell="1" allowOverlap="1" wp14:anchorId="3749F3C3" wp14:editId="542CC51B">
            <wp:simplePos x="0" y="0"/>
            <wp:positionH relativeFrom="margin">
              <wp:posOffset>1607820</wp:posOffset>
            </wp:positionH>
            <wp:positionV relativeFrom="paragraph">
              <wp:posOffset>59690</wp:posOffset>
            </wp:positionV>
            <wp:extent cx="3150000" cy="2556000"/>
            <wp:effectExtent l="0" t="0" r="0" b="15875"/>
            <wp:wrapTight wrapText="bothSides">
              <wp:wrapPolygon edited="0">
                <wp:start x="0" y="0"/>
                <wp:lineTo x="0" y="21573"/>
                <wp:lineTo x="21426" y="21573"/>
                <wp:lineTo x="21426" y="0"/>
                <wp:lineTo x="0" y="0"/>
              </wp:wrapPolygon>
            </wp:wrapTight>
            <wp:docPr id="8" name="Imagen 8" descr="Gráfico, Gráfico de barras&#10;&#10;Descripción generada automáticamente"/>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8" name="Imagen 8" descr="Gráfico, Gráfico de barras&#10;&#10;Descripción generada automáticamente"/>
                    <pic:cNvPicPr>
                      <a:picLocks noGrp="1" noRot="1" noChangeAspect="1" noMove="1" noResize="1" noEditPoints="1" noAdjustHandles="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0000" cy="2556000"/>
                    </a:xfrm>
                    <a:prstGeom prst="rect">
                      <a:avLst/>
                    </a:prstGeom>
                    <a:noFill/>
                    <a:ln>
                      <a:noFill/>
                    </a:ln>
                    <a:effectLst>
                      <a:outerShdw dist="12700" dir="5400000" algn="ctr" rotWithShape="0">
                        <a:srgbClr val="808080"/>
                      </a:outerShdw>
                    </a:effectLst>
                  </pic:spPr>
                </pic:pic>
              </a:graphicData>
            </a:graphic>
            <wp14:sizeRelH relativeFrom="margin">
              <wp14:pctWidth>0</wp14:pctWidth>
            </wp14:sizeRelH>
            <wp14:sizeRelV relativeFrom="margin">
              <wp14:pctHeight>0</wp14:pctHeight>
            </wp14:sizeRelV>
          </wp:anchor>
        </w:drawing>
      </w:r>
    </w:p>
    <w:p w14:paraId="2F2778CE" w14:textId="6DAF695A" w:rsidR="00E62407" w:rsidRDefault="00E62407" w:rsidP="00D6049F">
      <w:pPr>
        <w:spacing w:after="12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14:paraId="2AB14C55" w14:textId="77777777" w:rsidR="00B678D8"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p>
    <w:p w14:paraId="5D8FD3F2" w14:textId="77777777" w:rsidR="00B678D8" w:rsidRDefault="00B678D8" w:rsidP="00D6049F">
      <w:pPr>
        <w:spacing w:after="120" w:line="240" w:lineRule="auto"/>
        <w:rPr>
          <w:rFonts w:ascii="Times New Roman" w:hAnsi="Times New Roman" w:cs="Times New Roman"/>
          <w:sz w:val="24"/>
          <w:szCs w:val="24"/>
        </w:rPr>
      </w:pPr>
    </w:p>
    <w:p w14:paraId="5AE2D0AD" w14:textId="77777777" w:rsidR="00B678D8" w:rsidRDefault="00B678D8" w:rsidP="00D6049F">
      <w:pPr>
        <w:spacing w:after="120" w:line="240" w:lineRule="auto"/>
        <w:rPr>
          <w:rFonts w:ascii="Times New Roman" w:hAnsi="Times New Roman" w:cs="Times New Roman"/>
          <w:sz w:val="24"/>
          <w:szCs w:val="24"/>
        </w:rPr>
      </w:pPr>
    </w:p>
    <w:p w14:paraId="3C1ACF05" w14:textId="77777777" w:rsidR="00B678D8" w:rsidRDefault="00B678D8" w:rsidP="00D6049F">
      <w:pPr>
        <w:spacing w:after="120" w:line="240" w:lineRule="auto"/>
        <w:rPr>
          <w:rFonts w:ascii="Times New Roman" w:hAnsi="Times New Roman" w:cs="Times New Roman"/>
          <w:sz w:val="24"/>
          <w:szCs w:val="24"/>
        </w:rPr>
      </w:pPr>
    </w:p>
    <w:p w14:paraId="60336022" w14:textId="77777777" w:rsidR="00B678D8" w:rsidRDefault="00B678D8" w:rsidP="00D6049F">
      <w:pPr>
        <w:spacing w:after="120" w:line="240" w:lineRule="auto"/>
        <w:rPr>
          <w:rFonts w:ascii="Times New Roman" w:hAnsi="Times New Roman" w:cs="Times New Roman"/>
          <w:sz w:val="24"/>
          <w:szCs w:val="24"/>
        </w:rPr>
      </w:pPr>
    </w:p>
    <w:p w14:paraId="339B525E" w14:textId="77777777" w:rsidR="00B678D8" w:rsidRDefault="00B678D8" w:rsidP="00D6049F">
      <w:pPr>
        <w:spacing w:after="120" w:line="240" w:lineRule="auto"/>
        <w:rPr>
          <w:rFonts w:ascii="Times New Roman" w:hAnsi="Times New Roman" w:cs="Times New Roman"/>
          <w:sz w:val="24"/>
          <w:szCs w:val="24"/>
        </w:rPr>
      </w:pPr>
    </w:p>
    <w:p w14:paraId="4F01D277" w14:textId="77777777" w:rsidR="00B678D8" w:rsidRDefault="00B678D8" w:rsidP="00D6049F">
      <w:pPr>
        <w:spacing w:after="120" w:line="240" w:lineRule="auto"/>
        <w:rPr>
          <w:rFonts w:ascii="Times New Roman" w:hAnsi="Times New Roman" w:cs="Times New Roman"/>
          <w:sz w:val="24"/>
          <w:szCs w:val="24"/>
        </w:rPr>
      </w:pPr>
    </w:p>
    <w:p w14:paraId="126A706B" w14:textId="77777777" w:rsidR="00B678D8" w:rsidRDefault="00B678D8" w:rsidP="00D6049F">
      <w:pPr>
        <w:spacing w:after="120" w:line="240" w:lineRule="auto"/>
        <w:rPr>
          <w:rFonts w:ascii="Times New Roman" w:hAnsi="Times New Roman" w:cs="Times New Roman"/>
          <w:sz w:val="24"/>
          <w:szCs w:val="24"/>
        </w:rPr>
      </w:pPr>
    </w:p>
    <w:p w14:paraId="56A276BD" w14:textId="77777777" w:rsidR="00B678D8" w:rsidRDefault="00B678D8" w:rsidP="00D6049F">
      <w:pPr>
        <w:spacing w:after="120" w:line="240" w:lineRule="auto"/>
        <w:rPr>
          <w:rFonts w:ascii="Times New Roman" w:hAnsi="Times New Roman" w:cs="Times New Roman"/>
          <w:sz w:val="24"/>
          <w:szCs w:val="24"/>
        </w:rPr>
      </w:pPr>
    </w:p>
    <w:p w14:paraId="39F534F3" w14:textId="21FA18A8" w:rsidR="00D6049F" w:rsidRPr="00B678D8" w:rsidRDefault="00D6049F" w:rsidP="00D6049F">
      <w:pPr>
        <w:spacing w:after="120" w:line="240" w:lineRule="auto"/>
        <w:rPr>
          <w:rFonts w:ascii="Times New Roman" w:hAnsi="Times New Roman" w:cs="Times New Roman"/>
          <w:sz w:val="20"/>
          <w:szCs w:val="20"/>
        </w:rPr>
      </w:pPr>
      <w:r w:rsidRPr="00D6049F">
        <w:rPr>
          <w:rFonts w:ascii="Times New Roman" w:hAnsi="Times New Roman" w:cs="Times New Roman"/>
          <w:sz w:val="24"/>
          <w:szCs w:val="24"/>
        </w:rPr>
        <w:t xml:space="preserve"> </w:t>
      </w:r>
      <w:r w:rsidR="00B678D8">
        <w:rPr>
          <w:rFonts w:ascii="Times New Roman" w:hAnsi="Times New Roman" w:cs="Times New Roman"/>
          <w:sz w:val="24"/>
          <w:szCs w:val="24"/>
        </w:rPr>
        <w:tab/>
      </w:r>
      <w:r w:rsidR="00B678D8">
        <w:rPr>
          <w:rFonts w:ascii="Times New Roman" w:hAnsi="Times New Roman" w:cs="Times New Roman"/>
          <w:sz w:val="24"/>
          <w:szCs w:val="24"/>
        </w:rPr>
        <w:tab/>
      </w:r>
      <w:r w:rsidR="00B678D8">
        <w:rPr>
          <w:rFonts w:ascii="Times New Roman" w:hAnsi="Times New Roman" w:cs="Times New Roman"/>
          <w:sz w:val="24"/>
          <w:szCs w:val="24"/>
        </w:rPr>
        <w:tab/>
      </w:r>
      <w:r w:rsidR="00B678D8">
        <w:rPr>
          <w:rFonts w:ascii="Times New Roman" w:hAnsi="Times New Roman" w:cs="Times New Roman"/>
          <w:sz w:val="24"/>
          <w:szCs w:val="24"/>
        </w:rPr>
        <w:tab/>
      </w:r>
      <w:r w:rsidR="00E62407" w:rsidRPr="00B678D8">
        <w:rPr>
          <w:rFonts w:ascii="Times New Roman" w:hAnsi="Times New Roman" w:cs="Times New Roman"/>
          <w:b/>
          <w:bCs/>
          <w:sz w:val="20"/>
          <w:szCs w:val="20"/>
        </w:rPr>
        <w:t>Fuente:</w:t>
      </w:r>
      <w:r w:rsidR="00E62407" w:rsidRPr="00B678D8">
        <w:rPr>
          <w:rFonts w:ascii="Times New Roman" w:hAnsi="Times New Roman" w:cs="Times New Roman"/>
          <w:sz w:val="20"/>
          <w:szCs w:val="20"/>
        </w:rPr>
        <w:t xml:space="preserve"> Elaboración propia</w:t>
      </w:r>
    </w:p>
    <w:p w14:paraId="0EFD2127" w14:textId="1C791999" w:rsidR="00D6049F" w:rsidRPr="00D6049F"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p>
    <w:p w14:paraId="4FB03838" w14:textId="3D3AE580" w:rsidR="00D6049F" w:rsidRPr="00D6049F" w:rsidRDefault="00D6049F" w:rsidP="00D6049F">
      <w:pPr>
        <w:spacing w:after="120" w:line="240" w:lineRule="auto"/>
        <w:rPr>
          <w:rFonts w:ascii="Times New Roman" w:hAnsi="Times New Roman" w:cs="Times New Roman"/>
          <w:sz w:val="24"/>
          <w:szCs w:val="24"/>
        </w:rPr>
      </w:pPr>
      <w:r w:rsidRPr="00D6049F">
        <w:rPr>
          <w:rFonts w:ascii="Times New Roman" w:hAnsi="Times New Roman" w:cs="Times New Roman"/>
          <w:sz w:val="24"/>
          <w:szCs w:val="24"/>
        </w:rPr>
        <w:t xml:space="preserve">                  </w:t>
      </w:r>
      <w:r w:rsidRPr="00D6049F">
        <w:rPr>
          <w:rFonts w:ascii="Times New Roman" w:hAnsi="Times New Roman" w:cs="Times New Roman"/>
          <w:b/>
          <w:bCs/>
          <w:sz w:val="24"/>
          <w:szCs w:val="24"/>
        </w:rPr>
        <w:t xml:space="preserve">      </w:t>
      </w:r>
    </w:p>
    <w:p w14:paraId="5192AE57" w14:textId="77777777" w:rsidR="00AD6D13" w:rsidRDefault="00AD6D13" w:rsidP="00D6049F">
      <w:pPr>
        <w:spacing w:after="120" w:line="240" w:lineRule="auto"/>
        <w:rPr>
          <w:rFonts w:ascii="Times New Roman" w:hAnsi="Times New Roman" w:cs="Times New Roman"/>
          <w:sz w:val="24"/>
          <w:szCs w:val="24"/>
        </w:rPr>
      </w:pPr>
    </w:p>
    <w:p w14:paraId="7EA5B09E" w14:textId="6DA488B2" w:rsidR="005F50CF" w:rsidRDefault="005F50CF" w:rsidP="005F50CF">
      <w:pPr>
        <w:spacing w:after="120" w:line="240" w:lineRule="auto"/>
        <w:ind w:left="1416" w:firstLine="708"/>
        <w:rPr>
          <w:rFonts w:ascii="Times New Roman" w:hAnsi="Times New Roman" w:cs="Times New Roman"/>
          <w:sz w:val="24"/>
          <w:szCs w:val="24"/>
        </w:rPr>
      </w:pPr>
      <w:r w:rsidRPr="005F50CF">
        <w:rPr>
          <w:rFonts w:ascii="Times New Roman" w:hAnsi="Times New Roman" w:cs="Times New Roman"/>
          <w:b/>
          <w:bCs/>
          <w:sz w:val="24"/>
          <w:szCs w:val="24"/>
        </w:rPr>
        <w:t>Figura 4.</w:t>
      </w:r>
      <w:r>
        <w:rPr>
          <w:rFonts w:ascii="Times New Roman" w:hAnsi="Times New Roman" w:cs="Times New Roman"/>
          <w:sz w:val="24"/>
          <w:szCs w:val="24"/>
        </w:rPr>
        <w:t xml:space="preserve"> Curva de acumulación de especies.</w:t>
      </w:r>
    </w:p>
    <w:p w14:paraId="50CAA3B9" w14:textId="64B7EA55" w:rsidR="00D6049F" w:rsidRPr="00D6049F" w:rsidRDefault="00B678D8" w:rsidP="00D6049F">
      <w:pPr>
        <w:spacing w:after="120" w:line="240" w:lineRule="auto"/>
        <w:rPr>
          <w:rFonts w:ascii="Times New Roman" w:hAnsi="Times New Roman" w:cs="Times New Roman"/>
          <w:sz w:val="24"/>
          <w:szCs w:val="24"/>
        </w:rPr>
      </w:pPr>
      <w:r w:rsidRPr="00D6049F">
        <w:rPr>
          <w:rFonts w:ascii="Times New Roman" w:hAnsi="Times New Roman" w:cs="Times New Roman"/>
          <w:b/>
          <w:bCs/>
          <w:noProof/>
          <w:sz w:val="24"/>
          <w:szCs w:val="24"/>
        </w:rPr>
        <w:drawing>
          <wp:anchor distT="0" distB="0" distL="114300" distR="114300" simplePos="0" relativeHeight="251680768" behindDoc="0" locked="0" layoutInCell="1" allowOverlap="1" wp14:anchorId="6177D68D" wp14:editId="31EB96B1">
            <wp:simplePos x="0" y="0"/>
            <wp:positionH relativeFrom="column">
              <wp:posOffset>925830</wp:posOffset>
            </wp:positionH>
            <wp:positionV relativeFrom="paragraph">
              <wp:posOffset>60960</wp:posOffset>
            </wp:positionV>
            <wp:extent cx="4149090" cy="2360295"/>
            <wp:effectExtent l="0" t="0" r="3810" b="190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9090" cy="236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F7DC1C" w14:textId="75C6F9C4" w:rsidR="00D6049F" w:rsidRPr="00D6049F" w:rsidRDefault="00D6049F" w:rsidP="00D6049F">
      <w:pPr>
        <w:spacing w:after="120" w:line="240" w:lineRule="auto"/>
        <w:rPr>
          <w:rFonts w:ascii="Times New Roman" w:hAnsi="Times New Roman" w:cs="Times New Roman"/>
          <w:b/>
          <w:bCs/>
          <w:noProof/>
          <w:sz w:val="24"/>
          <w:szCs w:val="24"/>
        </w:rPr>
      </w:pPr>
    </w:p>
    <w:p w14:paraId="27C3C0DE" w14:textId="13BF5629" w:rsidR="00D6049F" w:rsidRPr="00D6049F" w:rsidRDefault="00D6049F" w:rsidP="00D6049F">
      <w:pPr>
        <w:spacing w:after="120" w:line="240" w:lineRule="auto"/>
        <w:ind w:firstLine="709"/>
        <w:rPr>
          <w:rFonts w:ascii="Times New Roman" w:hAnsi="Times New Roman" w:cs="Times New Roman"/>
          <w:b/>
          <w:bCs/>
          <w:noProof/>
          <w:sz w:val="24"/>
          <w:szCs w:val="24"/>
        </w:rPr>
      </w:pPr>
    </w:p>
    <w:p w14:paraId="1BCABBF3" w14:textId="0C326E2B" w:rsidR="00D6049F" w:rsidRPr="00D6049F" w:rsidRDefault="00D6049F" w:rsidP="00D6049F">
      <w:pPr>
        <w:spacing w:after="120" w:line="240" w:lineRule="auto"/>
        <w:ind w:firstLine="709"/>
        <w:rPr>
          <w:rFonts w:ascii="Times New Roman" w:hAnsi="Times New Roman" w:cs="Times New Roman"/>
          <w:b/>
          <w:bCs/>
          <w:noProof/>
          <w:sz w:val="24"/>
          <w:szCs w:val="24"/>
        </w:rPr>
      </w:pPr>
    </w:p>
    <w:p w14:paraId="4B990EB3" w14:textId="143343BF" w:rsidR="00D6049F" w:rsidRPr="00D6049F" w:rsidRDefault="00D6049F" w:rsidP="00D6049F">
      <w:pPr>
        <w:spacing w:after="120" w:line="240" w:lineRule="auto"/>
        <w:ind w:firstLine="709"/>
        <w:rPr>
          <w:rFonts w:ascii="Times New Roman" w:hAnsi="Times New Roman" w:cs="Times New Roman"/>
          <w:b/>
          <w:bCs/>
          <w:noProof/>
          <w:sz w:val="24"/>
          <w:szCs w:val="24"/>
        </w:rPr>
      </w:pPr>
    </w:p>
    <w:p w14:paraId="49D5D66C" w14:textId="67199106" w:rsidR="00D6049F" w:rsidRPr="00D6049F" w:rsidRDefault="00D6049F" w:rsidP="00D6049F">
      <w:pPr>
        <w:spacing w:after="120" w:line="240" w:lineRule="auto"/>
        <w:ind w:firstLine="709"/>
        <w:rPr>
          <w:rFonts w:ascii="Times New Roman" w:hAnsi="Times New Roman" w:cs="Times New Roman"/>
          <w:b/>
          <w:bCs/>
          <w:noProof/>
          <w:sz w:val="24"/>
          <w:szCs w:val="24"/>
        </w:rPr>
      </w:pPr>
    </w:p>
    <w:p w14:paraId="2B8FCE91" w14:textId="162455F3" w:rsidR="00D6049F" w:rsidRPr="00D6049F" w:rsidRDefault="00D6049F" w:rsidP="00D6049F">
      <w:pPr>
        <w:spacing w:after="120" w:line="240" w:lineRule="auto"/>
        <w:ind w:firstLine="709"/>
        <w:rPr>
          <w:rFonts w:ascii="Times New Roman" w:hAnsi="Times New Roman" w:cs="Times New Roman"/>
          <w:b/>
          <w:bCs/>
          <w:noProof/>
          <w:sz w:val="24"/>
          <w:szCs w:val="24"/>
        </w:rPr>
      </w:pPr>
    </w:p>
    <w:p w14:paraId="46F468A4" w14:textId="4B784E80" w:rsidR="00D6049F" w:rsidRPr="00D6049F" w:rsidRDefault="00D6049F" w:rsidP="00D6049F">
      <w:pPr>
        <w:spacing w:after="120" w:line="240" w:lineRule="auto"/>
        <w:ind w:firstLine="709"/>
        <w:rPr>
          <w:rFonts w:ascii="Times New Roman" w:hAnsi="Times New Roman" w:cs="Times New Roman"/>
          <w:b/>
          <w:bCs/>
          <w:noProof/>
          <w:sz w:val="24"/>
          <w:szCs w:val="24"/>
        </w:rPr>
      </w:pPr>
    </w:p>
    <w:p w14:paraId="295F3EDC" w14:textId="28C805FB" w:rsidR="00D6049F" w:rsidRPr="00D6049F" w:rsidRDefault="00D6049F" w:rsidP="00D6049F">
      <w:pPr>
        <w:spacing w:after="120" w:line="240" w:lineRule="auto"/>
        <w:ind w:firstLine="709"/>
        <w:rPr>
          <w:rFonts w:ascii="Times New Roman" w:hAnsi="Times New Roman" w:cs="Times New Roman"/>
          <w:b/>
          <w:bCs/>
          <w:noProof/>
          <w:sz w:val="24"/>
          <w:szCs w:val="24"/>
        </w:rPr>
      </w:pPr>
    </w:p>
    <w:p w14:paraId="54829B1C" w14:textId="07376F3C" w:rsidR="00D6049F" w:rsidRPr="00D6049F" w:rsidRDefault="00D6049F" w:rsidP="0006610F">
      <w:pPr>
        <w:spacing w:after="120" w:line="240" w:lineRule="auto"/>
        <w:rPr>
          <w:rFonts w:ascii="Times New Roman" w:hAnsi="Times New Roman" w:cs="Times New Roman"/>
          <w:sz w:val="24"/>
          <w:szCs w:val="24"/>
        </w:rPr>
      </w:pPr>
    </w:p>
    <w:p w14:paraId="31C9EB47" w14:textId="6AB1245C" w:rsidR="00D6049F" w:rsidRPr="00B678D8" w:rsidRDefault="00B678D8" w:rsidP="00765BBD">
      <w:pPr>
        <w:spacing w:after="120" w:line="240" w:lineRule="auto"/>
        <w:ind w:right="139"/>
        <w:jc w:val="center"/>
        <w:rPr>
          <w:rFonts w:ascii="Times New Roman" w:hAnsi="Times New Roman" w:cs="Times New Roman"/>
          <w:sz w:val="24"/>
          <w:szCs w:val="24"/>
        </w:rPr>
      </w:pPr>
      <w:r w:rsidRPr="00B678D8">
        <w:rPr>
          <w:rFonts w:ascii="Times New Roman" w:hAnsi="Times New Roman" w:cs="Times New Roman"/>
          <w:sz w:val="24"/>
          <w:szCs w:val="24"/>
        </w:rPr>
        <w:t>Fuente: Elaboración propia.</w:t>
      </w:r>
    </w:p>
    <w:p w14:paraId="52622075" w14:textId="77777777" w:rsidR="00AD6D13" w:rsidRDefault="00AD6D13" w:rsidP="00D6049F">
      <w:pPr>
        <w:spacing w:after="120" w:line="240" w:lineRule="auto"/>
        <w:jc w:val="center"/>
        <w:rPr>
          <w:rFonts w:ascii="Times New Roman" w:hAnsi="Times New Roman" w:cs="Times New Roman"/>
          <w:b/>
          <w:bCs/>
          <w:sz w:val="24"/>
          <w:szCs w:val="24"/>
        </w:rPr>
      </w:pPr>
    </w:p>
    <w:p w14:paraId="2A53C328" w14:textId="5EE355DE"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Tabla 1.</w:t>
      </w:r>
      <w:r w:rsidRPr="00D6049F">
        <w:rPr>
          <w:rFonts w:ascii="Times New Roman" w:hAnsi="Times New Roman" w:cs="Times New Roman"/>
          <w:sz w:val="24"/>
          <w:szCs w:val="24"/>
        </w:rPr>
        <w:t xml:space="preserve">  Índices de biodiversidad</w:t>
      </w:r>
    </w:p>
    <w:tbl>
      <w:tblPr>
        <w:tblW w:w="10343" w:type="dxa"/>
        <w:jc w:val="center"/>
        <w:tblCellMar>
          <w:left w:w="70" w:type="dxa"/>
          <w:right w:w="70" w:type="dxa"/>
        </w:tblCellMar>
        <w:tblLook w:val="04A0" w:firstRow="1" w:lastRow="0" w:firstColumn="1" w:lastColumn="0" w:noHBand="0" w:noVBand="1"/>
      </w:tblPr>
      <w:tblGrid>
        <w:gridCol w:w="1152"/>
        <w:gridCol w:w="1399"/>
        <w:gridCol w:w="1399"/>
        <w:gridCol w:w="1399"/>
        <w:gridCol w:w="1309"/>
        <w:gridCol w:w="1417"/>
        <w:gridCol w:w="1299"/>
        <w:gridCol w:w="1299"/>
      </w:tblGrid>
      <w:tr w:rsidR="005F50CF" w:rsidRPr="00D6049F" w14:paraId="0A9BAE24" w14:textId="77777777" w:rsidTr="00765BBD">
        <w:trPr>
          <w:trHeight w:val="232"/>
          <w:jc w:val="center"/>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B07E" w14:textId="77777777" w:rsidR="00D6049F" w:rsidRPr="00166D3B" w:rsidRDefault="00D6049F" w:rsidP="00D6049F">
            <w:pPr>
              <w:spacing w:after="120" w:line="240" w:lineRule="auto"/>
              <w:rPr>
                <w:rFonts w:ascii="Times New Roman" w:hAnsi="Times New Roman" w:cs="Times New Roman"/>
                <w:b/>
                <w:bCs/>
                <w:color w:val="000000"/>
                <w:sz w:val="20"/>
                <w:szCs w:val="20"/>
              </w:rPr>
            </w:pP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4CE9BF3E"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C1</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3E5A95D3"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C2</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34329380"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C3</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135152CB"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E1FF8D"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C5</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46159AD7"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C6</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14:paraId="45E2030C" w14:textId="77777777" w:rsidR="00D6049F" w:rsidRPr="00166D3B" w:rsidRDefault="00D6049F" w:rsidP="00D6049F">
            <w:pPr>
              <w:spacing w:after="120" w:line="240" w:lineRule="auto"/>
              <w:ind w:firstLine="709"/>
              <w:jc w:val="center"/>
              <w:rPr>
                <w:rFonts w:ascii="Times New Roman" w:hAnsi="Times New Roman" w:cs="Times New Roman"/>
                <w:b/>
                <w:bCs/>
                <w:color w:val="000000"/>
                <w:sz w:val="20"/>
                <w:szCs w:val="20"/>
              </w:rPr>
            </w:pPr>
            <w:proofErr w:type="spellStart"/>
            <w:r w:rsidRPr="00166D3B">
              <w:rPr>
                <w:rFonts w:ascii="Times New Roman" w:hAnsi="Times New Roman" w:cs="Times New Roman"/>
                <w:b/>
                <w:bCs/>
                <w:color w:val="000000"/>
                <w:sz w:val="20"/>
                <w:szCs w:val="20"/>
              </w:rPr>
              <w:t>Frt</w:t>
            </w:r>
            <w:proofErr w:type="spellEnd"/>
          </w:p>
        </w:tc>
      </w:tr>
      <w:tr w:rsidR="005F50CF" w:rsidRPr="00D6049F" w14:paraId="1C9F21C3" w14:textId="77777777" w:rsidTr="00765BBD">
        <w:trPr>
          <w:trHeight w:val="203"/>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11745932" w14:textId="77777777" w:rsidR="00D6049F" w:rsidRPr="00166D3B" w:rsidRDefault="00D6049F" w:rsidP="00D6049F">
            <w:pPr>
              <w:spacing w:after="120" w:line="240" w:lineRule="auto"/>
              <w:rPr>
                <w:rFonts w:ascii="Times New Roman" w:hAnsi="Times New Roman" w:cs="Times New Roman"/>
                <w:b/>
                <w:bCs/>
                <w:color w:val="000000"/>
                <w:sz w:val="20"/>
                <w:szCs w:val="20"/>
              </w:rPr>
            </w:pPr>
            <w:proofErr w:type="spellStart"/>
            <w:r w:rsidRPr="00166D3B">
              <w:rPr>
                <w:rFonts w:ascii="Times New Roman" w:hAnsi="Times New Roman" w:cs="Times New Roman"/>
                <w:b/>
                <w:bCs/>
                <w:color w:val="000000"/>
                <w:sz w:val="20"/>
                <w:szCs w:val="20"/>
              </w:rPr>
              <w:t>Individuals</w:t>
            </w:r>
            <w:proofErr w:type="spellEnd"/>
          </w:p>
        </w:tc>
        <w:tc>
          <w:tcPr>
            <w:tcW w:w="1399" w:type="dxa"/>
            <w:tcBorders>
              <w:top w:val="nil"/>
              <w:left w:val="nil"/>
              <w:bottom w:val="single" w:sz="4" w:space="0" w:color="auto"/>
              <w:right w:val="single" w:sz="4" w:space="0" w:color="auto"/>
            </w:tcBorders>
            <w:shd w:val="clear" w:color="auto" w:fill="auto"/>
            <w:noWrap/>
            <w:vAlign w:val="bottom"/>
            <w:hideMark/>
          </w:tcPr>
          <w:p w14:paraId="378E9CE5"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85</w:t>
            </w:r>
          </w:p>
        </w:tc>
        <w:tc>
          <w:tcPr>
            <w:tcW w:w="1399" w:type="dxa"/>
            <w:tcBorders>
              <w:top w:val="nil"/>
              <w:left w:val="nil"/>
              <w:bottom w:val="single" w:sz="4" w:space="0" w:color="auto"/>
              <w:right w:val="single" w:sz="4" w:space="0" w:color="auto"/>
            </w:tcBorders>
            <w:shd w:val="clear" w:color="auto" w:fill="auto"/>
            <w:noWrap/>
            <w:vAlign w:val="bottom"/>
            <w:hideMark/>
          </w:tcPr>
          <w:p w14:paraId="7525CCD6"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38</w:t>
            </w:r>
          </w:p>
        </w:tc>
        <w:tc>
          <w:tcPr>
            <w:tcW w:w="1399" w:type="dxa"/>
            <w:tcBorders>
              <w:top w:val="nil"/>
              <w:left w:val="nil"/>
              <w:bottom w:val="single" w:sz="4" w:space="0" w:color="auto"/>
              <w:right w:val="single" w:sz="4" w:space="0" w:color="auto"/>
            </w:tcBorders>
            <w:shd w:val="clear" w:color="auto" w:fill="auto"/>
            <w:noWrap/>
            <w:vAlign w:val="bottom"/>
            <w:hideMark/>
          </w:tcPr>
          <w:p w14:paraId="4630312B"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14</w:t>
            </w:r>
          </w:p>
        </w:tc>
        <w:tc>
          <w:tcPr>
            <w:tcW w:w="1309" w:type="dxa"/>
            <w:tcBorders>
              <w:top w:val="nil"/>
              <w:left w:val="nil"/>
              <w:bottom w:val="single" w:sz="4" w:space="0" w:color="auto"/>
              <w:right w:val="single" w:sz="4" w:space="0" w:color="auto"/>
            </w:tcBorders>
            <w:shd w:val="clear" w:color="auto" w:fill="auto"/>
            <w:noWrap/>
            <w:vAlign w:val="bottom"/>
            <w:hideMark/>
          </w:tcPr>
          <w:p w14:paraId="41DB092D"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5</w:t>
            </w:r>
          </w:p>
        </w:tc>
        <w:tc>
          <w:tcPr>
            <w:tcW w:w="1417" w:type="dxa"/>
            <w:tcBorders>
              <w:top w:val="nil"/>
              <w:left w:val="nil"/>
              <w:bottom w:val="single" w:sz="4" w:space="0" w:color="auto"/>
              <w:right w:val="single" w:sz="4" w:space="0" w:color="auto"/>
            </w:tcBorders>
            <w:shd w:val="clear" w:color="auto" w:fill="auto"/>
            <w:noWrap/>
            <w:vAlign w:val="bottom"/>
            <w:hideMark/>
          </w:tcPr>
          <w:p w14:paraId="0AFBD2ED"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5</w:t>
            </w:r>
          </w:p>
        </w:tc>
        <w:tc>
          <w:tcPr>
            <w:tcW w:w="1299" w:type="dxa"/>
            <w:tcBorders>
              <w:top w:val="nil"/>
              <w:left w:val="nil"/>
              <w:bottom w:val="single" w:sz="4" w:space="0" w:color="auto"/>
              <w:right w:val="single" w:sz="4" w:space="0" w:color="auto"/>
            </w:tcBorders>
            <w:shd w:val="clear" w:color="auto" w:fill="auto"/>
            <w:noWrap/>
            <w:vAlign w:val="bottom"/>
            <w:hideMark/>
          </w:tcPr>
          <w:p w14:paraId="79D77DD3"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3</w:t>
            </w:r>
          </w:p>
        </w:tc>
        <w:tc>
          <w:tcPr>
            <w:tcW w:w="969" w:type="dxa"/>
            <w:tcBorders>
              <w:top w:val="nil"/>
              <w:left w:val="nil"/>
              <w:bottom w:val="single" w:sz="4" w:space="0" w:color="auto"/>
              <w:right w:val="single" w:sz="4" w:space="0" w:color="auto"/>
            </w:tcBorders>
            <w:shd w:val="clear" w:color="auto" w:fill="auto"/>
            <w:noWrap/>
            <w:vAlign w:val="bottom"/>
            <w:hideMark/>
          </w:tcPr>
          <w:p w14:paraId="5B02FC8A" w14:textId="77777777" w:rsidR="00D6049F" w:rsidRPr="00166D3B" w:rsidRDefault="00D6049F" w:rsidP="00D6049F">
            <w:pPr>
              <w:spacing w:after="120" w:line="240" w:lineRule="auto"/>
              <w:ind w:firstLine="709"/>
              <w:jc w:val="center"/>
              <w:rPr>
                <w:rFonts w:ascii="Times New Roman" w:hAnsi="Times New Roman" w:cs="Times New Roman"/>
                <w:color w:val="000000"/>
                <w:sz w:val="20"/>
                <w:szCs w:val="20"/>
              </w:rPr>
            </w:pPr>
            <w:r w:rsidRPr="00166D3B">
              <w:rPr>
                <w:rFonts w:ascii="Times New Roman" w:hAnsi="Times New Roman" w:cs="Times New Roman"/>
                <w:color w:val="000000"/>
                <w:sz w:val="20"/>
                <w:szCs w:val="20"/>
              </w:rPr>
              <w:t>8</w:t>
            </w:r>
          </w:p>
        </w:tc>
      </w:tr>
      <w:tr w:rsidR="005F50CF" w:rsidRPr="00D6049F" w14:paraId="2914E4BC" w14:textId="77777777" w:rsidTr="00765BBD">
        <w:trPr>
          <w:trHeight w:val="70"/>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1FDEF156" w14:textId="77777777" w:rsidR="00D6049F" w:rsidRPr="00166D3B" w:rsidRDefault="00D6049F" w:rsidP="00D6049F">
            <w:pPr>
              <w:spacing w:after="120" w:line="240" w:lineRule="auto"/>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Simpson_1-D</w:t>
            </w:r>
          </w:p>
        </w:tc>
        <w:tc>
          <w:tcPr>
            <w:tcW w:w="1399" w:type="dxa"/>
            <w:tcBorders>
              <w:top w:val="nil"/>
              <w:left w:val="nil"/>
              <w:bottom w:val="single" w:sz="4" w:space="0" w:color="auto"/>
              <w:right w:val="single" w:sz="4" w:space="0" w:color="auto"/>
            </w:tcBorders>
            <w:shd w:val="clear" w:color="auto" w:fill="auto"/>
            <w:noWrap/>
            <w:vAlign w:val="bottom"/>
            <w:hideMark/>
          </w:tcPr>
          <w:p w14:paraId="46DD2C4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0,9462</w:t>
            </w:r>
          </w:p>
        </w:tc>
        <w:tc>
          <w:tcPr>
            <w:tcW w:w="1399" w:type="dxa"/>
            <w:tcBorders>
              <w:top w:val="nil"/>
              <w:left w:val="nil"/>
              <w:bottom w:val="single" w:sz="4" w:space="0" w:color="auto"/>
              <w:right w:val="single" w:sz="4" w:space="0" w:color="auto"/>
            </w:tcBorders>
            <w:shd w:val="clear" w:color="auto" w:fill="auto"/>
            <w:noWrap/>
            <w:vAlign w:val="bottom"/>
            <w:hideMark/>
          </w:tcPr>
          <w:p w14:paraId="2DF7CCC6"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0,9294</w:t>
            </w:r>
          </w:p>
        </w:tc>
        <w:tc>
          <w:tcPr>
            <w:tcW w:w="1399" w:type="dxa"/>
            <w:tcBorders>
              <w:top w:val="nil"/>
              <w:left w:val="nil"/>
              <w:bottom w:val="single" w:sz="4" w:space="0" w:color="auto"/>
              <w:right w:val="single" w:sz="4" w:space="0" w:color="auto"/>
            </w:tcBorders>
            <w:shd w:val="clear" w:color="auto" w:fill="auto"/>
            <w:noWrap/>
            <w:vAlign w:val="bottom"/>
            <w:hideMark/>
          </w:tcPr>
          <w:p w14:paraId="167797E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0,8265</w:t>
            </w:r>
          </w:p>
        </w:tc>
        <w:tc>
          <w:tcPr>
            <w:tcW w:w="1309" w:type="dxa"/>
            <w:tcBorders>
              <w:top w:val="nil"/>
              <w:left w:val="nil"/>
              <w:bottom w:val="single" w:sz="4" w:space="0" w:color="auto"/>
              <w:right w:val="single" w:sz="4" w:space="0" w:color="auto"/>
            </w:tcBorders>
            <w:shd w:val="clear" w:color="auto" w:fill="auto"/>
            <w:noWrap/>
            <w:vAlign w:val="bottom"/>
            <w:hideMark/>
          </w:tcPr>
          <w:p w14:paraId="050A6550"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0,72</w:t>
            </w:r>
          </w:p>
        </w:tc>
        <w:tc>
          <w:tcPr>
            <w:tcW w:w="1417" w:type="dxa"/>
            <w:tcBorders>
              <w:top w:val="nil"/>
              <w:left w:val="nil"/>
              <w:bottom w:val="single" w:sz="4" w:space="0" w:color="auto"/>
              <w:right w:val="single" w:sz="4" w:space="0" w:color="auto"/>
            </w:tcBorders>
            <w:shd w:val="clear" w:color="auto" w:fill="auto"/>
            <w:noWrap/>
            <w:vAlign w:val="bottom"/>
            <w:hideMark/>
          </w:tcPr>
          <w:p w14:paraId="7ADD67FB"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w:t>
            </w:r>
          </w:p>
        </w:tc>
        <w:tc>
          <w:tcPr>
            <w:tcW w:w="1299" w:type="dxa"/>
            <w:tcBorders>
              <w:top w:val="nil"/>
              <w:left w:val="nil"/>
              <w:bottom w:val="single" w:sz="4" w:space="0" w:color="auto"/>
              <w:right w:val="single" w:sz="4" w:space="0" w:color="auto"/>
            </w:tcBorders>
            <w:shd w:val="clear" w:color="auto" w:fill="auto"/>
            <w:noWrap/>
            <w:vAlign w:val="bottom"/>
            <w:hideMark/>
          </w:tcPr>
          <w:p w14:paraId="1AEAF1AF"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0,667</w:t>
            </w:r>
          </w:p>
        </w:tc>
        <w:tc>
          <w:tcPr>
            <w:tcW w:w="969" w:type="dxa"/>
            <w:tcBorders>
              <w:top w:val="nil"/>
              <w:left w:val="nil"/>
              <w:bottom w:val="single" w:sz="4" w:space="0" w:color="auto"/>
              <w:right w:val="single" w:sz="4" w:space="0" w:color="auto"/>
            </w:tcBorders>
            <w:shd w:val="clear" w:color="auto" w:fill="auto"/>
            <w:noWrap/>
            <w:vAlign w:val="bottom"/>
            <w:hideMark/>
          </w:tcPr>
          <w:p w14:paraId="424696D3"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0,875</w:t>
            </w:r>
          </w:p>
        </w:tc>
      </w:tr>
      <w:tr w:rsidR="005F50CF" w:rsidRPr="00D6049F" w14:paraId="01233388" w14:textId="77777777" w:rsidTr="00765BBD">
        <w:trPr>
          <w:trHeight w:val="321"/>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2197D019" w14:textId="77777777" w:rsidR="00D6049F" w:rsidRPr="00166D3B" w:rsidRDefault="00D6049F" w:rsidP="00D6049F">
            <w:pPr>
              <w:spacing w:after="120" w:line="240" w:lineRule="auto"/>
              <w:ind w:firstLine="709"/>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 xml:space="preserve"> </w:t>
            </w:r>
            <w:proofErr w:type="spellStart"/>
            <w:r w:rsidRPr="00166D3B">
              <w:rPr>
                <w:rFonts w:ascii="Times New Roman" w:hAnsi="Times New Roman" w:cs="Times New Roman"/>
                <w:b/>
                <w:bCs/>
                <w:color w:val="000000"/>
                <w:sz w:val="20"/>
                <w:szCs w:val="20"/>
              </w:rPr>
              <w:t>Shannon_H</w:t>
            </w:r>
            <w:proofErr w:type="spellEnd"/>
          </w:p>
        </w:tc>
        <w:tc>
          <w:tcPr>
            <w:tcW w:w="1399" w:type="dxa"/>
            <w:tcBorders>
              <w:top w:val="nil"/>
              <w:left w:val="nil"/>
              <w:bottom w:val="single" w:sz="4" w:space="0" w:color="auto"/>
              <w:right w:val="single" w:sz="4" w:space="0" w:color="auto"/>
            </w:tcBorders>
            <w:shd w:val="clear" w:color="auto" w:fill="auto"/>
            <w:noWrap/>
            <w:vAlign w:val="bottom"/>
            <w:hideMark/>
          </w:tcPr>
          <w:p w14:paraId="581713B7"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3,064</w:t>
            </w:r>
          </w:p>
        </w:tc>
        <w:tc>
          <w:tcPr>
            <w:tcW w:w="1399" w:type="dxa"/>
            <w:tcBorders>
              <w:top w:val="nil"/>
              <w:left w:val="nil"/>
              <w:bottom w:val="single" w:sz="4" w:space="0" w:color="auto"/>
              <w:right w:val="single" w:sz="4" w:space="0" w:color="auto"/>
            </w:tcBorders>
            <w:shd w:val="clear" w:color="auto" w:fill="auto"/>
            <w:noWrap/>
            <w:vAlign w:val="bottom"/>
            <w:hideMark/>
          </w:tcPr>
          <w:p w14:paraId="085C3C0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2,702</w:t>
            </w:r>
          </w:p>
        </w:tc>
        <w:tc>
          <w:tcPr>
            <w:tcW w:w="1399" w:type="dxa"/>
            <w:tcBorders>
              <w:top w:val="nil"/>
              <w:left w:val="nil"/>
              <w:bottom w:val="single" w:sz="4" w:space="0" w:color="auto"/>
              <w:right w:val="single" w:sz="4" w:space="0" w:color="auto"/>
            </w:tcBorders>
            <w:shd w:val="clear" w:color="auto" w:fill="auto"/>
            <w:noWrap/>
            <w:vAlign w:val="bottom"/>
            <w:hideMark/>
          </w:tcPr>
          <w:p w14:paraId="5576DB1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1,834</w:t>
            </w:r>
          </w:p>
        </w:tc>
        <w:tc>
          <w:tcPr>
            <w:tcW w:w="1309" w:type="dxa"/>
            <w:tcBorders>
              <w:top w:val="nil"/>
              <w:left w:val="nil"/>
              <w:bottom w:val="single" w:sz="4" w:space="0" w:color="auto"/>
              <w:right w:val="single" w:sz="4" w:space="0" w:color="auto"/>
            </w:tcBorders>
            <w:shd w:val="clear" w:color="auto" w:fill="auto"/>
            <w:noWrap/>
            <w:vAlign w:val="bottom"/>
            <w:hideMark/>
          </w:tcPr>
          <w:p w14:paraId="4BC0BED4"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1,332</w:t>
            </w:r>
          </w:p>
        </w:tc>
        <w:tc>
          <w:tcPr>
            <w:tcW w:w="1417" w:type="dxa"/>
            <w:tcBorders>
              <w:top w:val="nil"/>
              <w:left w:val="nil"/>
              <w:bottom w:val="single" w:sz="4" w:space="0" w:color="auto"/>
              <w:right w:val="single" w:sz="4" w:space="0" w:color="auto"/>
            </w:tcBorders>
            <w:shd w:val="clear" w:color="auto" w:fill="auto"/>
            <w:noWrap/>
            <w:vAlign w:val="bottom"/>
            <w:hideMark/>
          </w:tcPr>
          <w:p w14:paraId="3C6595F2"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1,609</w:t>
            </w:r>
          </w:p>
        </w:tc>
        <w:tc>
          <w:tcPr>
            <w:tcW w:w="1299" w:type="dxa"/>
            <w:tcBorders>
              <w:top w:val="nil"/>
              <w:left w:val="nil"/>
              <w:bottom w:val="single" w:sz="4" w:space="0" w:color="auto"/>
              <w:right w:val="single" w:sz="4" w:space="0" w:color="auto"/>
            </w:tcBorders>
            <w:shd w:val="clear" w:color="auto" w:fill="auto"/>
            <w:noWrap/>
            <w:vAlign w:val="bottom"/>
            <w:hideMark/>
          </w:tcPr>
          <w:p w14:paraId="203630F8"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1,099</w:t>
            </w:r>
          </w:p>
        </w:tc>
        <w:tc>
          <w:tcPr>
            <w:tcW w:w="969" w:type="dxa"/>
            <w:tcBorders>
              <w:top w:val="nil"/>
              <w:left w:val="nil"/>
              <w:bottom w:val="single" w:sz="4" w:space="0" w:color="auto"/>
              <w:right w:val="single" w:sz="4" w:space="0" w:color="auto"/>
            </w:tcBorders>
            <w:shd w:val="clear" w:color="auto" w:fill="auto"/>
            <w:noWrap/>
            <w:vAlign w:val="bottom"/>
            <w:hideMark/>
          </w:tcPr>
          <w:p w14:paraId="5A015B94"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2,079</w:t>
            </w:r>
          </w:p>
        </w:tc>
      </w:tr>
      <w:tr w:rsidR="005F50CF" w:rsidRPr="00D6049F" w14:paraId="22668D80" w14:textId="77777777" w:rsidTr="00765BBD">
        <w:trPr>
          <w:trHeight w:val="373"/>
          <w:jc w:val="center"/>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14:paraId="3E7C9810" w14:textId="77777777" w:rsidR="00D6049F" w:rsidRPr="00166D3B" w:rsidRDefault="00D6049F" w:rsidP="00D6049F">
            <w:pPr>
              <w:spacing w:after="120" w:line="240" w:lineRule="auto"/>
              <w:rPr>
                <w:rFonts w:ascii="Times New Roman" w:hAnsi="Times New Roman" w:cs="Times New Roman"/>
                <w:b/>
                <w:bCs/>
                <w:color w:val="000000"/>
                <w:sz w:val="20"/>
                <w:szCs w:val="20"/>
              </w:rPr>
            </w:pPr>
            <w:r w:rsidRPr="00166D3B">
              <w:rPr>
                <w:rFonts w:ascii="Times New Roman" w:hAnsi="Times New Roman" w:cs="Times New Roman"/>
                <w:b/>
                <w:bCs/>
                <w:color w:val="000000"/>
                <w:sz w:val="20"/>
                <w:szCs w:val="20"/>
              </w:rPr>
              <w:t>Margalef</w:t>
            </w:r>
          </w:p>
        </w:tc>
        <w:tc>
          <w:tcPr>
            <w:tcW w:w="1399" w:type="dxa"/>
            <w:tcBorders>
              <w:top w:val="nil"/>
              <w:left w:val="nil"/>
              <w:bottom w:val="single" w:sz="4" w:space="0" w:color="auto"/>
              <w:right w:val="single" w:sz="4" w:space="0" w:color="auto"/>
            </w:tcBorders>
            <w:shd w:val="clear" w:color="auto" w:fill="auto"/>
            <w:noWrap/>
            <w:vAlign w:val="bottom"/>
            <w:hideMark/>
          </w:tcPr>
          <w:p w14:paraId="4CE2655F"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5,627</w:t>
            </w:r>
          </w:p>
        </w:tc>
        <w:tc>
          <w:tcPr>
            <w:tcW w:w="1399" w:type="dxa"/>
            <w:tcBorders>
              <w:top w:val="nil"/>
              <w:left w:val="nil"/>
              <w:bottom w:val="single" w:sz="4" w:space="0" w:color="auto"/>
              <w:right w:val="single" w:sz="4" w:space="0" w:color="auto"/>
            </w:tcBorders>
            <w:shd w:val="clear" w:color="auto" w:fill="auto"/>
            <w:noWrap/>
            <w:vAlign w:val="bottom"/>
            <w:hideMark/>
          </w:tcPr>
          <w:p w14:paraId="2457BE5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4,124</w:t>
            </w:r>
          </w:p>
        </w:tc>
        <w:tc>
          <w:tcPr>
            <w:tcW w:w="1399" w:type="dxa"/>
            <w:tcBorders>
              <w:top w:val="nil"/>
              <w:left w:val="nil"/>
              <w:bottom w:val="single" w:sz="4" w:space="0" w:color="auto"/>
              <w:right w:val="single" w:sz="4" w:space="0" w:color="auto"/>
            </w:tcBorders>
            <w:shd w:val="clear" w:color="auto" w:fill="auto"/>
            <w:noWrap/>
            <w:vAlign w:val="bottom"/>
            <w:hideMark/>
          </w:tcPr>
          <w:p w14:paraId="552EA8E3"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2,274</w:t>
            </w:r>
          </w:p>
        </w:tc>
        <w:tc>
          <w:tcPr>
            <w:tcW w:w="1309" w:type="dxa"/>
            <w:tcBorders>
              <w:top w:val="nil"/>
              <w:left w:val="nil"/>
              <w:bottom w:val="single" w:sz="4" w:space="0" w:color="auto"/>
              <w:right w:val="single" w:sz="4" w:space="0" w:color="auto"/>
            </w:tcBorders>
            <w:shd w:val="clear" w:color="auto" w:fill="auto"/>
            <w:noWrap/>
            <w:vAlign w:val="bottom"/>
            <w:hideMark/>
          </w:tcPr>
          <w:p w14:paraId="7A11E1A8"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1,864</w:t>
            </w:r>
          </w:p>
        </w:tc>
        <w:tc>
          <w:tcPr>
            <w:tcW w:w="1417" w:type="dxa"/>
            <w:tcBorders>
              <w:top w:val="nil"/>
              <w:left w:val="nil"/>
              <w:bottom w:val="single" w:sz="4" w:space="0" w:color="auto"/>
              <w:right w:val="single" w:sz="4" w:space="0" w:color="auto"/>
            </w:tcBorders>
            <w:shd w:val="clear" w:color="auto" w:fill="auto"/>
            <w:noWrap/>
            <w:vAlign w:val="bottom"/>
            <w:hideMark/>
          </w:tcPr>
          <w:p w14:paraId="1B0AD807"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2,485</w:t>
            </w:r>
          </w:p>
        </w:tc>
        <w:tc>
          <w:tcPr>
            <w:tcW w:w="1299" w:type="dxa"/>
            <w:tcBorders>
              <w:top w:val="nil"/>
              <w:left w:val="nil"/>
              <w:bottom w:val="single" w:sz="4" w:space="0" w:color="auto"/>
              <w:right w:val="single" w:sz="4" w:space="0" w:color="auto"/>
            </w:tcBorders>
            <w:shd w:val="clear" w:color="auto" w:fill="auto"/>
            <w:noWrap/>
            <w:vAlign w:val="bottom"/>
            <w:hideMark/>
          </w:tcPr>
          <w:p w14:paraId="0A0E50E6"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1,82</w:t>
            </w:r>
          </w:p>
        </w:tc>
        <w:tc>
          <w:tcPr>
            <w:tcW w:w="969" w:type="dxa"/>
            <w:tcBorders>
              <w:top w:val="nil"/>
              <w:left w:val="nil"/>
              <w:bottom w:val="single" w:sz="4" w:space="0" w:color="auto"/>
              <w:right w:val="single" w:sz="4" w:space="0" w:color="auto"/>
            </w:tcBorders>
            <w:shd w:val="clear" w:color="auto" w:fill="auto"/>
            <w:noWrap/>
            <w:vAlign w:val="bottom"/>
            <w:hideMark/>
          </w:tcPr>
          <w:p w14:paraId="62423E8D" w14:textId="77777777" w:rsidR="00D6049F" w:rsidRPr="00166D3B" w:rsidRDefault="00D6049F" w:rsidP="00D6049F">
            <w:pPr>
              <w:spacing w:after="120" w:line="240" w:lineRule="auto"/>
              <w:ind w:firstLine="709"/>
              <w:jc w:val="right"/>
              <w:rPr>
                <w:rFonts w:ascii="Times New Roman" w:hAnsi="Times New Roman" w:cs="Times New Roman"/>
                <w:color w:val="000000"/>
                <w:sz w:val="20"/>
                <w:szCs w:val="20"/>
              </w:rPr>
            </w:pPr>
            <w:r w:rsidRPr="00166D3B">
              <w:rPr>
                <w:rFonts w:ascii="Times New Roman" w:hAnsi="Times New Roman" w:cs="Times New Roman"/>
                <w:color w:val="000000"/>
                <w:sz w:val="20"/>
                <w:szCs w:val="20"/>
              </w:rPr>
              <w:t>3,366</w:t>
            </w:r>
          </w:p>
        </w:tc>
      </w:tr>
    </w:tbl>
    <w:p w14:paraId="534F3F04" w14:textId="77777777" w:rsidR="00D6049F" w:rsidRPr="0006610F" w:rsidRDefault="00D6049F" w:rsidP="00D6049F">
      <w:pPr>
        <w:pStyle w:val="Prrafodelista"/>
        <w:spacing w:after="120" w:line="240" w:lineRule="auto"/>
        <w:ind w:left="0"/>
        <w:jc w:val="center"/>
        <w:rPr>
          <w:rFonts w:ascii="Times New Roman" w:hAnsi="Times New Roman" w:cs="Times New Roman"/>
          <w:i/>
          <w:iCs/>
          <w:sz w:val="24"/>
          <w:szCs w:val="24"/>
        </w:rPr>
      </w:pPr>
      <w:r w:rsidRPr="0006610F">
        <w:rPr>
          <w:rFonts w:ascii="Times New Roman" w:hAnsi="Times New Roman" w:cs="Times New Roman"/>
          <w:b/>
          <w:bCs/>
          <w:sz w:val="24"/>
          <w:szCs w:val="24"/>
        </w:rPr>
        <w:lastRenderedPageBreak/>
        <w:t>Fuente:</w:t>
      </w:r>
      <w:r w:rsidRPr="0006610F">
        <w:rPr>
          <w:rFonts w:ascii="Times New Roman" w:hAnsi="Times New Roman" w:cs="Times New Roman"/>
          <w:sz w:val="24"/>
          <w:szCs w:val="24"/>
        </w:rPr>
        <w:t xml:space="preserve"> Elaboración propia</w:t>
      </w:r>
    </w:p>
    <w:p w14:paraId="22315C4A" w14:textId="77777777" w:rsidR="00D6049F" w:rsidRPr="00D6049F" w:rsidRDefault="00D6049F" w:rsidP="00D6049F">
      <w:pPr>
        <w:pStyle w:val="Prrafodelista"/>
        <w:spacing w:after="120" w:line="240" w:lineRule="auto"/>
        <w:ind w:left="0"/>
        <w:rPr>
          <w:rFonts w:ascii="Times New Roman" w:hAnsi="Times New Roman" w:cs="Times New Roman"/>
          <w:sz w:val="24"/>
          <w:szCs w:val="24"/>
        </w:rPr>
      </w:pPr>
    </w:p>
    <w:p w14:paraId="5AAE4292" w14:textId="4255F720" w:rsidR="00D6049F" w:rsidRPr="00D6049F" w:rsidRDefault="00D6049F" w:rsidP="00D6049F">
      <w:pPr>
        <w:pStyle w:val="Prrafodelista"/>
        <w:spacing w:after="120" w:line="240" w:lineRule="auto"/>
        <w:ind w:left="0"/>
        <w:rPr>
          <w:rFonts w:ascii="Times New Roman" w:hAnsi="Times New Roman" w:cs="Times New Roman"/>
          <w:b/>
          <w:bCs/>
          <w:sz w:val="24"/>
          <w:szCs w:val="24"/>
        </w:rPr>
      </w:pPr>
    </w:p>
    <w:p w14:paraId="6A3CC403"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u w:val="single"/>
        </w:rPr>
        <w:t>Fotógrafos de naturaleza:</w:t>
      </w:r>
      <w:r w:rsidRPr="00D6049F">
        <w:rPr>
          <w:rFonts w:ascii="Times New Roman" w:hAnsi="Times New Roman" w:cs="Times New Roman"/>
          <w:sz w:val="24"/>
          <w:szCs w:val="24"/>
        </w:rPr>
        <w:t xml:space="preserve"> la muestra se logró obtener un total de 140 encuestados habiendo enviado la encuesta a 83 personas, por ende, fue compartida 57 veces. </w:t>
      </w:r>
    </w:p>
    <w:p w14:paraId="38389349"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sz w:val="24"/>
          <w:szCs w:val="24"/>
        </w:rPr>
      </w:pPr>
      <w:r w:rsidRPr="00D6049F">
        <w:rPr>
          <w:rFonts w:ascii="Times New Roman" w:hAnsi="Times New Roman" w:cs="Times New Roman"/>
          <w:sz w:val="24"/>
          <w:szCs w:val="24"/>
        </w:rPr>
        <w:t>Perfil de demanda: Corresponden en su mayoría al g</w:t>
      </w:r>
      <w:r w:rsidRPr="00D6049F">
        <w:rPr>
          <w:rFonts w:ascii="Times New Roman" w:hAnsi="Times New Roman" w:cs="Times New Roman"/>
          <w:color w:val="222222"/>
          <w:sz w:val="24"/>
          <w:szCs w:val="24"/>
          <w:shd w:val="clear" w:color="auto" w:fill="FFFFFF"/>
        </w:rPr>
        <w:t>é</w:t>
      </w:r>
      <w:r w:rsidRPr="00D6049F">
        <w:rPr>
          <w:rFonts w:ascii="Times New Roman" w:hAnsi="Times New Roman" w:cs="Times New Roman"/>
          <w:sz w:val="24"/>
          <w:szCs w:val="24"/>
        </w:rPr>
        <w:t xml:space="preserve">nero masculino (66,4%); su rango de edad está entre 20 a 30 años (56,4%); provienen principalmente de las ciudades como Quito (43,57%), Guayaquil (17,86%) y Cuenca (6,43%); en su mayoría son estudiantes (18,57%), seguido de biólogos (14,29%), fotógrafos (14,29%), diseñadores gráficos (5,71%) y guías de turismo (5,0%); prefieren viajas entre amigos (43,6%) y solos (21.4%) en periodos de fines de semanas (56,4%) por cuenta propia (97,1%); escogen el lugar para hacer fotografía de naturaleza dependiendo de la </w:t>
      </w:r>
      <w:r w:rsidRPr="00D6049F">
        <w:rPr>
          <w:rFonts w:ascii="Times New Roman" w:hAnsi="Times New Roman" w:cs="Times New Roman"/>
          <w:color w:val="000000"/>
          <w:sz w:val="24"/>
          <w:szCs w:val="24"/>
          <w:shd w:val="clear" w:color="auto" w:fill="FFFFFF"/>
        </w:rPr>
        <w:t xml:space="preserve">accesibilidad y distancia del sitio (30,7%), la posibilidad de fotografiar especies raras (27,1%) pero con la facilidad de ser encontradas (18,6%) y en lugares populares (18,6%). </w:t>
      </w:r>
    </w:p>
    <w:p w14:paraId="6D773C72" w14:textId="205C1399"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color w:val="000000"/>
          <w:sz w:val="24"/>
          <w:szCs w:val="24"/>
          <w:shd w:val="clear" w:color="auto" w:fill="FFFFFF"/>
        </w:rPr>
      </w:pPr>
      <w:r w:rsidRPr="00D6049F">
        <w:rPr>
          <w:rFonts w:ascii="Times New Roman" w:hAnsi="Times New Roman" w:cs="Times New Roman"/>
          <w:color w:val="000000"/>
          <w:sz w:val="24"/>
          <w:szCs w:val="24"/>
          <w:shd w:val="clear" w:color="auto" w:fill="FFFFFF"/>
        </w:rPr>
        <w:t>Esta actividad lo hacen por pasa</w:t>
      </w:r>
      <w:r w:rsidR="00B678D8">
        <w:rPr>
          <w:rFonts w:ascii="Times New Roman" w:hAnsi="Times New Roman" w:cs="Times New Roman"/>
          <w:color w:val="000000"/>
          <w:sz w:val="24"/>
          <w:szCs w:val="24"/>
          <w:shd w:val="clear" w:color="auto" w:fill="FFFFFF"/>
        </w:rPr>
        <w:t>r de</w:t>
      </w:r>
      <w:r w:rsidRPr="00D6049F">
        <w:rPr>
          <w:rFonts w:ascii="Times New Roman" w:hAnsi="Times New Roman" w:cs="Times New Roman"/>
          <w:color w:val="000000"/>
          <w:sz w:val="24"/>
          <w:szCs w:val="24"/>
          <w:shd w:val="clear" w:color="auto" w:fill="FFFFFF"/>
        </w:rPr>
        <w:t xml:space="preserve"> tiempo (70,7%) seguido de investigación (17,9%) y se informan en internet (52,1%) y redes sociales (27,1%). </w:t>
      </w:r>
      <w:r w:rsidRPr="00D6049F">
        <w:rPr>
          <w:rFonts w:ascii="Times New Roman" w:hAnsi="Times New Roman" w:cs="Times New Roman"/>
          <w:sz w:val="24"/>
          <w:szCs w:val="24"/>
        </w:rPr>
        <w:t xml:space="preserve">La mayoría de los encuestados no han realizado antes fotografía de anfibios y reptiles en estado silvestre (58,6%) pero hay un buen número que si lo ha hecho (41,4%); casi todos tiene el interés de practicar fotografía de anfibios y reptiles en Tamandúa (91,4%) y las actividades que más les gustaría hacer son senderismo (66,4%), acampar (64,3%), observar aves (47,1%) y aprender sobre flora y fauna (47,1%),  ya que les gustaría quedarse por 3 días (45,0%) y gastarían por día cada uno entre </w:t>
      </w:r>
      <w:r w:rsidRPr="00D6049F">
        <w:rPr>
          <w:rFonts w:ascii="Times New Roman" w:hAnsi="Times New Roman" w:cs="Times New Roman"/>
          <w:color w:val="000000"/>
          <w:sz w:val="24"/>
          <w:szCs w:val="24"/>
          <w:shd w:val="clear" w:color="auto" w:fill="FFFFFF"/>
        </w:rPr>
        <w:t>$60,00 a $80,00 (69,3%).</w:t>
      </w:r>
    </w:p>
    <w:p w14:paraId="1256D4F5" w14:textId="77777777"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color w:val="000000"/>
          <w:sz w:val="24"/>
          <w:szCs w:val="24"/>
          <w:shd w:val="clear" w:color="auto" w:fill="FFFFFF"/>
        </w:rPr>
      </w:pPr>
      <w:r w:rsidRPr="00D6049F">
        <w:rPr>
          <w:rFonts w:ascii="Times New Roman" w:hAnsi="Times New Roman" w:cs="Times New Roman"/>
          <w:sz w:val="24"/>
          <w:szCs w:val="24"/>
          <w:u w:val="single"/>
        </w:rPr>
        <w:t>Docentes de Instituciones de educación superior</w:t>
      </w:r>
      <w:r w:rsidRPr="00D6049F">
        <w:rPr>
          <w:rFonts w:ascii="Times New Roman" w:hAnsi="Times New Roman" w:cs="Times New Roman"/>
          <w:color w:val="000000"/>
          <w:sz w:val="24"/>
          <w:szCs w:val="24"/>
          <w:u w:val="single"/>
          <w:shd w:val="clear" w:color="auto" w:fill="FFFFFF"/>
        </w:rPr>
        <w:t>:</w:t>
      </w:r>
      <w:r w:rsidRPr="00D6049F">
        <w:rPr>
          <w:rFonts w:ascii="Times New Roman" w:hAnsi="Times New Roman" w:cs="Times New Roman"/>
          <w:color w:val="000000"/>
          <w:sz w:val="24"/>
          <w:szCs w:val="24"/>
          <w:shd w:val="clear" w:color="auto" w:fill="FFFFFF"/>
        </w:rPr>
        <w:t xml:space="preserve"> la </w:t>
      </w:r>
      <w:r w:rsidRPr="00D6049F">
        <w:rPr>
          <w:rFonts w:ascii="Times New Roman" w:hAnsi="Times New Roman" w:cs="Times New Roman"/>
          <w:sz w:val="24"/>
          <w:szCs w:val="24"/>
        </w:rPr>
        <w:t xml:space="preserve">muestra se logró encuestar un docente de cada una de las 11 universidades (Universidad Tecnológica </w:t>
      </w:r>
      <w:proofErr w:type="spellStart"/>
      <w:r w:rsidRPr="00D6049F">
        <w:rPr>
          <w:rFonts w:ascii="Times New Roman" w:hAnsi="Times New Roman" w:cs="Times New Roman"/>
          <w:sz w:val="24"/>
          <w:szCs w:val="24"/>
        </w:rPr>
        <w:t>Indoamerica</w:t>
      </w:r>
      <w:proofErr w:type="spellEnd"/>
      <w:r w:rsidRPr="00D6049F">
        <w:rPr>
          <w:rFonts w:ascii="Times New Roman" w:hAnsi="Times New Roman" w:cs="Times New Roman"/>
          <w:sz w:val="24"/>
          <w:szCs w:val="24"/>
        </w:rPr>
        <w:t xml:space="preserve">, Pontificia Universidad Católica del Ecuador, Universidad del Azuay, Universidad Técnica Particular de Loja, Escuela Superior Politécnica del Litoral, Universidad Central del Ecuador, Universidad de Guayaquil, Universidad de Investigación de Tecnología Experimental </w:t>
      </w:r>
      <w:proofErr w:type="spellStart"/>
      <w:r w:rsidRPr="00D6049F">
        <w:rPr>
          <w:rFonts w:ascii="Times New Roman" w:hAnsi="Times New Roman" w:cs="Times New Roman"/>
          <w:sz w:val="24"/>
          <w:szCs w:val="24"/>
        </w:rPr>
        <w:t>Yachay</w:t>
      </w:r>
      <w:proofErr w:type="spellEnd"/>
      <w:r w:rsidRPr="00D6049F">
        <w:rPr>
          <w:rFonts w:ascii="Times New Roman" w:hAnsi="Times New Roman" w:cs="Times New Roman"/>
          <w:sz w:val="24"/>
          <w:szCs w:val="24"/>
        </w:rPr>
        <w:t xml:space="preserve">, Universidad Estatal Amazónica y Universidad Regional Amazónica </w:t>
      </w:r>
      <w:proofErr w:type="spellStart"/>
      <w:r w:rsidRPr="00D6049F">
        <w:rPr>
          <w:rFonts w:ascii="Times New Roman" w:hAnsi="Times New Roman" w:cs="Times New Roman"/>
          <w:sz w:val="24"/>
          <w:szCs w:val="24"/>
        </w:rPr>
        <w:t>Ikiam</w:t>
      </w:r>
      <w:proofErr w:type="spellEnd"/>
      <w:r w:rsidRPr="00D6049F">
        <w:rPr>
          <w:rFonts w:ascii="Times New Roman" w:hAnsi="Times New Roman" w:cs="Times New Roman"/>
          <w:sz w:val="24"/>
          <w:szCs w:val="24"/>
        </w:rPr>
        <w:t>) a excepción de la Universidad San Francisco de Quito donde se obtuvo la respuesta de dos docentes, dando como resultado 12 encuestas.</w:t>
      </w:r>
    </w:p>
    <w:p w14:paraId="28347214" w14:textId="77777777" w:rsidR="00D6049F" w:rsidRPr="00D6049F" w:rsidRDefault="00D6049F" w:rsidP="00D6049F">
      <w:pPr>
        <w:autoSpaceDE w:val="0"/>
        <w:autoSpaceDN w:val="0"/>
        <w:adjustRightInd w:val="0"/>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Perfil de demanda: El 75% de los docentes han realizado antes turismo científico con sus estudiantes; en todas ellas el docente es quien organiza las salidas (91,7%); viajan con grupos de 10-15 (7,5%) a 40 (11,54%) estudiantes; las asignaturas en las que más se sale son ecología (21,43%) y zoología (17,86%). Los intereses científicos sobre </w:t>
      </w:r>
      <w:proofErr w:type="spellStart"/>
      <w:r w:rsidRPr="00D6049F">
        <w:rPr>
          <w:rFonts w:ascii="Times New Roman" w:hAnsi="Times New Roman" w:cs="Times New Roman"/>
          <w:sz w:val="24"/>
          <w:szCs w:val="24"/>
        </w:rPr>
        <w:t>herpetos</w:t>
      </w:r>
      <w:proofErr w:type="spellEnd"/>
      <w:r w:rsidRPr="00D6049F">
        <w:rPr>
          <w:rFonts w:ascii="Times New Roman" w:hAnsi="Times New Roman" w:cs="Times New Roman"/>
          <w:sz w:val="24"/>
          <w:szCs w:val="24"/>
        </w:rPr>
        <w:t xml:space="preserve"> que más desean realizar los docentes son inventarios (34,4%), monitoreos y diagnósticos (20,69%), debido a que casi todas estas instituciones cuentan con equipos y laboratorios (75%) para realizar estudios herpetológicos y están vinculados en alguna investigación de este tipo (75%); 9 de las universidades (83,3%) tienen el interés de realizar investigación sobre anfibios y reptiles en Tamandúa; permaneciendo un periodo de 3 a 5 días (91,7%); con actividades complementarias para realizar como senderismos, </w:t>
      </w:r>
      <w:proofErr w:type="spellStart"/>
      <w:r w:rsidRPr="00D6049F">
        <w:rPr>
          <w:rFonts w:ascii="Times New Roman" w:hAnsi="Times New Roman" w:cs="Times New Roman"/>
          <w:sz w:val="24"/>
          <w:szCs w:val="24"/>
        </w:rPr>
        <w:t>birdwatching</w:t>
      </w:r>
      <w:proofErr w:type="spellEnd"/>
      <w:r w:rsidRPr="00D6049F">
        <w:rPr>
          <w:rFonts w:ascii="Times New Roman" w:hAnsi="Times New Roman" w:cs="Times New Roman"/>
          <w:sz w:val="24"/>
          <w:szCs w:val="24"/>
        </w:rPr>
        <w:t xml:space="preserve"> y charlas sobre herpetología (18,60%); para todo esto estarían dispuesto a pagar por día cada estudiante de $40 a $60 (100%).</w:t>
      </w:r>
    </w:p>
    <w:p w14:paraId="7F093025"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 xml:space="preserve">La oferta actual de Tamandúa esta conforma por el paquete básico de 2 días / 1 noche con: la bienvenida de los turistas al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observación de aves, salidas nocturnas, senderismo, visita a la cascada, almuerzo y cena.</w:t>
      </w:r>
    </w:p>
    <w:p w14:paraId="1E88F534"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La competencia está conformada por 30 establecimientos de hospedaje, casi </w:t>
      </w:r>
      <w:proofErr w:type="gramStart"/>
      <w:r w:rsidRPr="00D6049F">
        <w:rPr>
          <w:rFonts w:ascii="Times New Roman" w:hAnsi="Times New Roman" w:cs="Times New Roman"/>
          <w:sz w:val="24"/>
          <w:szCs w:val="24"/>
        </w:rPr>
        <w:t>todos tipo</w:t>
      </w:r>
      <w:proofErr w:type="gramEnd"/>
      <w:r w:rsidRPr="00D6049F">
        <w:rPr>
          <w:rFonts w:ascii="Times New Roman" w:hAnsi="Times New Roman" w:cs="Times New Roman"/>
          <w:sz w:val="24"/>
          <w:szCs w:val="24"/>
        </w:rPr>
        <w:t xml:space="preserve"> </w:t>
      </w:r>
      <w:proofErr w:type="spellStart"/>
      <w:r w:rsidRPr="005F50CF">
        <w:rPr>
          <w:rFonts w:ascii="Times New Roman" w:hAnsi="Times New Roman" w:cs="Times New Roman"/>
          <w:i/>
          <w:iCs/>
          <w:sz w:val="24"/>
          <w:szCs w:val="24"/>
        </w:rPr>
        <w:t>lodge</w:t>
      </w:r>
      <w:proofErr w:type="spellEnd"/>
      <w:r w:rsidRPr="005F50CF">
        <w:rPr>
          <w:rFonts w:ascii="Times New Roman" w:hAnsi="Times New Roman" w:cs="Times New Roman"/>
          <w:i/>
          <w:iCs/>
          <w:sz w:val="24"/>
          <w:szCs w:val="24"/>
        </w:rPr>
        <w:t xml:space="preserve"> </w:t>
      </w:r>
      <w:r w:rsidRPr="00D6049F">
        <w:rPr>
          <w:rFonts w:ascii="Times New Roman" w:hAnsi="Times New Roman" w:cs="Times New Roman"/>
          <w:sz w:val="24"/>
          <w:szCs w:val="24"/>
        </w:rPr>
        <w:t xml:space="preserve">y 5 instituciones especializadas que se dedican a realizar tours por varias zonas del país, </w:t>
      </w:r>
      <w:r w:rsidRPr="00D6049F">
        <w:rPr>
          <w:rFonts w:ascii="Times New Roman" w:hAnsi="Times New Roman" w:cs="Times New Roman"/>
          <w:sz w:val="24"/>
          <w:szCs w:val="24"/>
        </w:rPr>
        <w:lastRenderedPageBreak/>
        <w:t>todos ellos distribuidos en: Choco, Mindo, Parque Nacional Yasuní, Reserva Biológica Limoncocha, Reserva de Producción Faunística Cuyabeno y Parque Nacional Galápagos.</w:t>
      </w:r>
    </w:p>
    <w:p w14:paraId="6B158646" w14:textId="77777777" w:rsidR="00D6049F" w:rsidRPr="00D6049F" w:rsidRDefault="00D6049F" w:rsidP="00D6049F">
      <w:pPr>
        <w:spacing w:after="120" w:line="240" w:lineRule="auto"/>
        <w:ind w:firstLine="709"/>
        <w:jc w:val="both"/>
        <w:rPr>
          <w:rFonts w:ascii="Times New Roman" w:hAnsi="Times New Roman" w:cs="Times New Roman"/>
          <w:sz w:val="24"/>
          <w:szCs w:val="24"/>
        </w:rPr>
      </w:pPr>
    </w:p>
    <w:p w14:paraId="33CD19E0" w14:textId="3775FE0A" w:rsidR="00D6049F" w:rsidRDefault="00B126E2" w:rsidP="00B126E2">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B126E2">
        <w:rPr>
          <w:rFonts w:ascii="Times New Roman" w:hAnsi="Times New Roman" w:cs="Times New Roman"/>
          <w:b/>
          <w:bCs/>
          <w:sz w:val="24"/>
          <w:szCs w:val="24"/>
        </w:rPr>
        <w:t xml:space="preserve">Diseño técnico del producto turístico herpetológico </w:t>
      </w:r>
    </w:p>
    <w:p w14:paraId="681EEA36" w14:textId="77777777" w:rsidR="005F50CF" w:rsidRPr="00B126E2" w:rsidRDefault="005F50CF" w:rsidP="005F50CF">
      <w:pPr>
        <w:pStyle w:val="Prrafodelista"/>
        <w:spacing w:after="120" w:line="240" w:lineRule="auto"/>
        <w:ind w:left="360"/>
        <w:jc w:val="both"/>
        <w:rPr>
          <w:rFonts w:ascii="Times New Roman" w:hAnsi="Times New Roman" w:cs="Times New Roman"/>
          <w:b/>
          <w:bCs/>
          <w:sz w:val="24"/>
          <w:szCs w:val="24"/>
        </w:rPr>
      </w:pPr>
    </w:p>
    <w:p w14:paraId="5E667652" w14:textId="3CD06B9B"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i/>
          <w:iCs/>
          <w:sz w:val="24"/>
          <w:szCs w:val="24"/>
        </w:rPr>
      </w:pPr>
      <w:r w:rsidRPr="00D6049F">
        <w:rPr>
          <w:rFonts w:ascii="Times New Roman" w:hAnsi="Times New Roman" w:cs="Times New Roman"/>
          <w:sz w:val="24"/>
          <w:szCs w:val="24"/>
        </w:rPr>
        <w:t xml:space="preserve">Propuesta de mejora: Está conformada por la implementación de señalética informativa, interpretativa y direccional de acuerdo con las necesidades del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Implementación de un centro de exposición permanente y estudio de fotografía. Diseño de una guía de campo bilingüe de anfibios y reptiles. Registro de especies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en la aplicación web </w:t>
      </w:r>
      <w:proofErr w:type="spellStart"/>
      <w:r w:rsidRPr="00D6049F">
        <w:rPr>
          <w:rFonts w:ascii="Times New Roman" w:hAnsi="Times New Roman" w:cs="Times New Roman"/>
          <w:sz w:val="24"/>
          <w:szCs w:val="24"/>
        </w:rPr>
        <w:t>iNaturalist</w:t>
      </w:r>
      <w:proofErr w:type="spellEnd"/>
      <w:r w:rsidRPr="00D6049F">
        <w:rPr>
          <w:rFonts w:ascii="Times New Roman" w:hAnsi="Times New Roman" w:cs="Times New Roman"/>
          <w:sz w:val="24"/>
          <w:szCs w:val="24"/>
        </w:rPr>
        <w:t xml:space="preserve"> como guía virtual y proyecto. Creación de una base digital de cantos de anfibios para monitoreo acústico. Diseño de souvenirs inspirados en anfibios y reptiles. Charla de concientización sobre la importancia y conservación de anfibios y reptiles a la comunidad de </w:t>
      </w:r>
      <w:proofErr w:type="spellStart"/>
      <w:r w:rsidRPr="00D6049F">
        <w:rPr>
          <w:rFonts w:ascii="Times New Roman" w:hAnsi="Times New Roman" w:cs="Times New Roman"/>
          <w:sz w:val="24"/>
          <w:szCs w:val="24"/>
        </w:rPr>
        <w:t>Samasunchi</w:t>
      </w:r>
      <w:proofErr w:type="spellEnd"/>
      <w:r w:rsidRPr="00D6049F">
        <w:rPr>
          <w:rFonts w:ascii="Times New Roman" w:hAnsi="Times New Roman" w:cs="Times New Roman"/>
          <w:sz w:val="24"/>
          <w:szCs w:val="24"/>
        </w:rPr>
        <w:t>. Creación de un banco genético de anfibios de Tamanduá y la mención de factores para tener en cuenta al momento del desarrollo de la actividad de turismo herpetológico.</w:t>
      </w:r>
    </w:p>
    <w:p w14:paraId="1BD620BA" w14:textId="77777777" w:rsidR="00D6049F" w:rsidRPr="00D6049F" w:rsidRDefault="00D6049F" w:rsidP="00D6049F">
      <w:pPr>
        <w:pStyle w:val="Prrafodelista"/>
        <w:spacing w:after="120" w:line="240" w:lineRule="auto"/>
        <w:ind w:left="0" w:firstLine="510"/>
        <w:contextualSpacing w:val="0"/>
        <w:jc w:val="both"/>
        <w:rPr>
          <w:rFonts w:ascii="Times New Roman" w:hAnsi="Times New Roman" w:cs="Times New Roman"/>
          <w:i/>
          <w:iCs/>
          <w:sz w:val="24"/>
          <w:szCs w:val="24"/>
        </w:rPr>
      </w:pPr>
      <w:r w:rsidRPr="00D6049F">
        <w:rPr>
          <w:rFonts w:ascii="Times New Roman" w:hAnsi="Times New Roman" w:cs="Times New Roman"/>
          <w:i/>
          <w:iCs/>
          <w:sz w:val="24"/>
          <w:szCs w:val="24"/>
        </w:rPr>
        <w:t>Diseño de paquete.</w:t>
      </w:r>
    </w:p>
    <w:p w14:paraId="00B2397E" w14:textId="77777777" w:rsidR="00D6049F" w:rsidRPr="00D6049F" w:rsidRDefault="00D6049F" w:rsidP="00D6049F">
      <w:pPr>
        <w:spacing w:after="120" w:line="240" w:lineRule="auto"/>
        <w:jc w:val="both"/>
        <w:rPr>
          <w:rFonts w:ascii="Times New Roman" w:hAnsi="Times New Roman" w:cs="Times New Roman"/>
          <w:sz w:val="24"/>
          <w:szCs w:val="24"/>
          <w:u w:val="single"/>
        </w:rPr>
      </w:pPr>
      <w:r w:rsidRPr="00D6049F">
        <w:rPr>
          <w:rFonts w:ascii="Times New Roman" w:hAnsi="Times New Roman" w:cs="Times New Roman"/>
          <w:sz w:val="24"/>
          <w:szCs w:val="24"/>
          <w:u w:val="single"/>
        </w:rPr>
        <w:t xml:space="preserve">Paquete 1: </w:t>
      </w:r>
      <w:proofErr w:type="spellStart"/>
      <w:r w:rsidRPr="00D6049F">
        <w:rPr>
          <w:rFonts w:ascii="Times New Roman" w:hAnsi="Times New Roman" w:cs="Times New Roman"/>
          <w:sz w:val="24"/>
          <w:szCs w:val="24"/>
          <w:u w:val="single"/>
        </w:rPr>
        <w:t>Jambatu</w:t>
      </w:r>
      <w:proofErr w:type="spellEnd"/>
      <w:r w:rsidRPr="00D6049F">
        <w:rPr>
          <w:rFonts w:ascii="Times New Roman" w:hAnsi="Times New Roman" w:cs="Times New Roman"/>
          <w:sz w:val="24"/>
          <w:szCs w:val="24"/>
          <w:u w:val="single"/>
        </w:rPr>
        <w:t xml:space="preserve"> Wild - </w:t>
      </w:r>
      <w:proofErr w:type="spellStart"/>
      <w:r w:rsidRPr="00D6049F">
        <w:rPr>
          <w:rFonts w:ascii="Times New Roman" w:hAnsi="Times New Roman" w:cs="Times New Roman"/>
          <w:sz w:val="24"/>
          <w:szCs w:val="24"/>
          <w:u w:val="single"/>
        </w:rPr>
        <w:t>Photo</w:t>
      </w:r>
      <w:proofErr w:type="spellEnd"/>
      <w:r w:rsidRPr="00D6049F">
        <w:rPr>
          <w:rFonts w:ascii="Times New Roman" w:hAnsi="Times New Roman" w:cs="Times New Roman"/>
          <w:sz w:val="24"/>
          <w:szCs w:val="24"/>
          <w:u w:val="single"/>
        </w:rPr>
        <w:t xml:space="preserve"> Tour</w:t>
      </w:r>
    </w:p>
    <w:p w14:paraId="505459E9"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1: La aventura comienza con el encuentro al medio día en la ciudad del Puyo, seguido se trasladan en auto a la Comunidad </w:t>
      </w:r>
      <w:proofErr w:type="spellStart"/>
      <w:r w:rsidRPr="00D6049F">
        <w:rPr>
          <w:rFonts w:ascii="Times New Roman" w:hAnsi="Times New Roman" w:cs="Times New Roman"/>
          <w:sz w:val="24"/>
          <w:szCs w:val="24"/>
        </w:rPr>
        <w:t>Samasunchi</w:t>
      </w:r>
      <w:proofErr w:type="spellEnd"/>
      <w:r w:rsidRPr="00D6049F">
        <w:rPr>
          <w:rFonts w:ascii="Times New Roman" w:hAnsi="Times New Roman" w:cs="Times New Roman"/>
          <w:sz w:val="24"/>
          <w:szCs w:val="24"/>
        </w:rPr>
        <w:t xml:space="preserve"> y caminaran hasta llegar al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donde les esperan con una cálida bienvenida y el almuerzo para disfrutar junto a los colibríes. Después recibirán una charla introductoria a la fotografía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y podrán conocer el trabajo de excelentes fotógrafos de vida silvestre en el centro de exposición del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Luego podrán realizar fotografía de aves y paisajes, hasta caer la noche donde cenarán y se hará el recorrido nocturno de fotografía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en la laguna.</w:t>
      </w:r>
    </w:p>
    <w:p w14:paraId="4F0A0FE5"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2: Al siguiente día quienes deseen podrán despertar muy temprano para realizar fotografía de aves, les espera un delicioso desayuno. Después realizarán una caminata por los senderos en busca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diurna y aves, con la intención de recolectarlos y realizar práctica de fotografía en el centro de exposiciones y posteriormente salir a la cascada. Al regreso les espera el almuerzo y muchas actividades culturales únicas, para en la noche cenar y salir a la cascada en busca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w:t>
      </w:r>
    </w:p>
    <w:p w14:paraId="501097BC"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 xml:space="preserve">Día 3: El </w:t>
      </w:r>
      <w:proofErr w:type="spellStart"/>
      <w:r w:rsidRPr="00D6049F">
        <w:rPr>
          <w:rFonts w:ascii="Times New Roman" w:hAnsi="Times New Roman" w:cs="Times New Roman"/>
          <w:sz w:val="24"/>
          <w:szCs w:val="24"/>
        </w:rPr>
        <w:t>ultimo</w:t>
      </w:r>
      <w:proofErr w:type="spellEnd"/>
      <w:r w:rsidRPr="00D6049F">
        <w:rPr>
          <w:rFonts w:ascii="Times New Roman" w:hAnsi="Times New Roman" w:cs="Times New Roman"/>
          <w:sz w:val="24"/>
          <w:szCs w:val="24"/>
        </w:rPr>
        <w:t xml:space="preserve"> día después del desayuno se podrá disfrutar de un tiempo en la canoa tratando de fotografiar a las tortugas para después realizar la última salida fotográfica al río Chonta Yaku y retornar al Puyo.</w:t>
      </w:r>
    </w:p>
    <w:p w14:paraId="2799F571" w14:textId="77777777" w:rsidR="00D6049F" w:rsidRPr="00D6049F" w:rsidRDefault="00D6049F" w:rsidP="00D6049F">
      <w:pPr>
        <w:spacing w:after="120" w:line="240" w:lineRule="auto"/>
        <w:rPr>
          <w:rFonts w:ascii="Times New Roman" w:hAnsi="Times New Roman" w:cs="Times New Roman"/>
          <w:sz w:val="24"/>
          <w:szCs w:val="24"/>
          <w:u w:val="single"/>
        </w:rPr>
      </w:pPr>
      <w:r w:rsidRPr="00D6049F">
        <w:rPr>
          <w:rFonts w:ascii="Times New Roman" w:hAnsi="Times New Roman" w:cs="Times New Roman"/>
          <w:sz w:val="24"/>
          <w:szCs w:val="24"/>
          <w:u w:val="single"/>
        </w:rPr>
        <w:t xml:space="preserve">Paquete 2: </w:t>
      </w:r>
      <w:proofErr w:type="spellStart"/>
      <w:r w:rsidRPr="00D6049F">
        <w:rPr>
          <w:rFonts w:ascii="Times New Roman" w:hAnsi="Times New Roman" w:cs="Times New Roman"/>
          <w:sz w:val="24"/>
          <w:szCs w:val="24"/>
          <w:u w:val="single"/>
        </w:rPr>
        <w:t>Jambatu</w:t>
      </w:r>
      <w:proofErr w:type="spellEnd"/>
      <w:r w:rsidRPr="00D6049F">
        <w:rPr>
          <w:rFonts w:ascii="Times New Roman" w:hAnsi="Times New Roman" w:cs="Times New Roman"/>
          <w:sz w:val="24"/>
          <w:szCs w:val="24"/>
          <w:u w:val="single"/>
        </w:rPr>
        <w:t xml:space="preserve"> Wild - </w:t>
      </w:r>
      <w:proofErr w:type="spellStart"/>
      <w:r w:rsidRPr="00D6049F">
        <w:rPr>
          <w:rFonts w:ascii="Times New Roman" w:hAnsi="Times New Roman" w:cs="Times New Roman"/>
          <w:sz w:val="24"/>
          <w:szCs w:val="24"/>
          <w:u w:val="single"/>
        </w:rPr>
        <w:t>Science</w:t>
      </w:r>
      <w:proofErr w:type="spellEnd"/>
      <w:r w:rsidRPr="00D6049F">
        <w:rPr>
          <w:rFonts w:ascii="Times New Roman" w:hAnsi="Times New Roman" w:cs="Times New Roman"/>
          <w:sz w:val="24"/>
          <w:szCs w:val="24"/>
          <w:u w:val="single"/>
        </w:rPr>
        <w:t xml:space="preserve"> Tour</w:t>
      </w:r>
    </w:p>
    <w:p w14:paraId="5869CA57"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1: El viaje de ciencias empieza con la llegada de los estudiantes a la ciudad del Puyo donde se les guiará hasta llegar a la comunidad </w:t>
      </w:r>
      <w:proofErr w:type="spellStart"/>
      <w:r w:rsidRPr="00D6049F">
        <w:rPr>
          <w:rFonts w:ascii="Times New Roman" w:hAnsi="Times New Roman" w:cs="Times New Roman"/>
          <w:sz w:val="24"/>
          <w:szCs w:val="24"/>
        </w:rPr>
        <w:t>Samasunchi</w:t>
      </w:r>
      <w:proofErr w:type="spellEnd"/>
      <w:r w:rsidRPr="00D6049F">
        <w:rPr>
          <w:rFonts w:ascii="Times New Roman" w:hAnsi="Times New Roman" w:cs="Times New Roman"/>
          <w:sz w:val="24"/>
          <w:szCs w:val="24"/>
        </w:rPr>
        <w:t xml:space="preserve"> y se empezará la caminata hacia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Ya allí, se les hará una bienvenida con un delicioso almuerzo en el restaurante junto a los colibríes. Después recibirán la primera charla del tour sobre la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de Tamandúa y visitarán el centro de exposición para aprender sobre manejo de anfibios y reptiles. Poco después harán una pequeña práctica de observación de aves en el mirador del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con las guías de Tamandúa y cenarán para luego salir a la laguna y tener un primer encuentro con la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w:t>
      </w:r>
    </w:p>
    <w:p w14:paraId="6D8440B9"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2: Hay que despertarse temprano ya que les espera el desayuno y una charla en campo para aprender sobre inventarios, muestreos y trampeos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para después llevar los ejemplares al centro de exposiciones y aprender sobre identificación, anatomía y fotografía. El almuerzo estará listo temprano ya que por la tarde sigue la caminata en búsqueda de especies </w:t>
      </w:r>
      <w:r w:rsidRPr="00D6049F">
        <w:rPr>
          <w:rFonts w:ascii="Times New Roman" w:hAnsi="Times New Roman" w:cs="Times New Roman"/>
          <w:sz w:val="24"/>
          <w:szCs w:val="24"/>
        </w:rPr>
        <w:lastRenderedPageBreak/>
        <w:t xml:space="preserve">hacia la cascada. Más tarde aprenderán sobre plantas nativas y cenarán para otra salida nocturna en la laguna y senderos, aplicando lo aprendido y buscando en especial serpientes. </w:t>
      </w:r>
    </w:p>
    <w:p w14:paraId="05B3E03D"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3: De igual manera, el desayuno les espera temprano para seguir con una charla sobre técnicas de monitoreos de </w:t>
      </w:r>
      <w:proofErr w:type="spellStart"/>
      <w:r w:rsidRPr="00D6049F">
        <w:rPr>
          <w:rFonts w:ascii="Times New Roman" w:hAnsi="Times New Roman" w:cs="Times New Roman"/>
          <w:sz w:val="24"/>
          <w:szCs w:val="24"/>
        </w:rPr>
        <w:t>herpetos</w:t>
      </w:r>
      <w:proofErr w:type="spellEnd"/>
      <w:r w:rsidRPr="00D6049F">
        <w:rPr>
          <w:rFonts w:ascii="Times New Roman" w:hAnsi="Times New Roman" w:cs="Times New Roman"/>
          <w:sz w:val="24"/>
          <w:szCs w:val="24"/>
        </w:rPr>
        <w:t xml:space="preserve"> y monitoreo acústico de anfibios, además para identificar hábitats de especies y observar aves. Más tarde les espera el almuerzo seguido de actividades culturales y más observación de aves, posteriormente cenar y salir a identificar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en la cascada.</w:t>
      </w:r>
    </w:p>
    <w:p w14:paraId="60AE2E58" w14:textId="77777777" w:rsid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Día 4: El </w:t>
      </w:r>
      <w:proofErr w:type="spellStart"/>
      <w:r w:rsidRPr="00D6049F">
        <w:rPr>
          <w:rFonts w:ascii="Times New Roman" w:hAnsi="Times New Roman" w:cs="Times New Roman"/>
          <w:sz w:val="24"/>
          <w:szCs w:val="24"/>
        </w:rPr>
        <w:t>ultimo</w:t>
      </w:r>
      <w:proofErr w:type="spellEnd"/>
      <w:r w:rsidRPr="00D6049F">
        <w:rPr>
          <w:rFonts w:ascii="Times New Roman" w:hAnsi="Times New Roman" w:cs="Times New Roman"/>
          <w:sz w:val="24"/>
          <w:szCs w:val="24"/>
        </w:rPr>
        <w:t xml:space="preserve"> día aprovecharán para recorrer un momento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 xml:space="preserve"> por su cuenta y hacer la última salida hasta el río Chonta Yaku para después retornar a la ciudad del Puyo.</w:t>
      </w:r>
    </w:p>
    <w:p w14:paraId="4E8DCA3E" w14:textId="77777777" w:rsidR="00B126E2" w:rsidRDefault="00B126E2" w:rsidP="00D6049F">
      <w:pPr>
        <w:spacing w:after="120" w:line="240" w:lineRule="auto"/>
        <w:ind w:firstLine="510"/>
        <w:jc w:val="both"/>
        <w:rPr>
          <w:rFonts w:ascii="Times New Roman" w:hAnsi="Times New Roman" w:cs="Times New Roman"/>
          <w:sz w:val="24"/>
          <w:szCs w:val="24"/>
        </w:rPr>
      </w:pPr>
    </w:p>
    <w:p w14:paraId="084DF066" w14:textId="43EE4121" w:rsidR="00B126E2" w:rsidRPr="00D6049F" w:rsidRDefault="00B126E2" w:rsidP="00B126E2">
      <w:pPr>
        <w:spacing w:after="120" w:line="240" w:lineRule="auto"/>
        <w:ind w:firstLine="510"/>
        <w:jc w:val="center"/>
        <w:rPr>
          <w:rFonts w:ascii="Times New Roman" w:hAnsi="Times New Roman" w:cs="Times New Roman"/>
          <w:sz w:val="24"/>
          <w:szCs w:val="24"/>
        </w:rPr>
      </w:pPr>
      <w:r w:rsidRPr="00B126E2">
        <w:rPr>
          <w:rFonts w:ascii="Times New Roman" w:hAnsi="Times New Roman" w:cs="Times New Roman"/>
          <w:b/>
          <w:bCs/>
          <w:sz w:val="24"/>
          <w:szCs w:val="24"/>
        </w:rPr>
        <w:t xml:space="preserve">Figura </w:t>
      </w:r>
      <w:r w:rsidR="005F50CF">
        <w:rPr>
          <w:rFonts w:ascii="Times New Roman" w:hAnsi="Times New Roman" w:cs="Times New Roman"/>
          <w:b/>
          <w:bCs/>
          <w:sz w:val="24"/>
          <w:szCs w:val="24"/>
        </w:rPr>
        <w:t>5</w:t>
      </w:r>
      <w:r w:rsidRPr="00B126E2">
        <w:rPr>
          <w:rFonts w:ascii="Times New Roman" w:hAnsi="Times New Roman" w:cs="Times New Roman"/>
          <w:b/>
          <w:bCs/>
          <w:sz w:val="24"/>
          <w:szCs w:val="24"/>
        </w:rPr>
        <w:t>.</w:t>
      </w:r>
      <w:r w:rsidRPr="00B126E2">
        <w:rPr>
          <w:rFonts w:ascii="Times New Roman" w:hAnsi="Times New Roman" w:cs="Times New Roman"/>
          <w:sz w:val="24"/>
          <w:szCs w:val="24"/>
        </w:rPr>
        <w:t xml:space="preserve">  Marca para producto</w:t>
      </w:r>
    </w:p>
    <w:p w14:paraId="1534C9ED" w14:textId="132F4B5A" w:rsidR="00D6049F" w:rsidRPr="00D6049F" w:rsidRDefault="00D6049F" w:rsidP="00D6049F">
      <w:pPr>
        <w:pStyle w:val="Prrafodelista"/>
        <w:spacing w:after="120" w:line="240" w:lineRule="auto"/>
        <w:ind w:firstLine="709"/>
        <w:contextualSpacing w:val="0"/>
        <w:rPr>
          <w:rFonts w:ascii="Times New Roman" w:hAnsi="Times New Roman" w:cs="Times New Roman"/>
          <w:sz w:val="24"/>
          <w:szCs w:val="24"/>
        </w:rPr>
      </w:pPr>
      <w:r w:rsidRPr="00D6049F">
        <w:rPr>
          <w:rFonts w:ascii="Times New Roman" w:hAnsi="Times New Roman" w:cs="Times New Roman"/>
          <w:sz w:val="24"/>
          <w:szCs w:val="24"/>
        </w:rPr>
        <w:t xml:space="preserve">                                    </w:t>
      </w:r>
    </w:p>
    <w:p w14:paraId="2533486A" w14:textId="2E98D2C0" w:rsidR="00D6049F" w:rsidRPr="00D6049F" w:rsidRDefault="0006610F" w:rsidP="00D6049F">
      <w:pPr>
        <w:pStyle w:val="Prrafodelista"/>
        <w:spacing w:after="120" w:line="240" w:lineRule="auto"/>
        <w:ind w:firstLine="709"/>
        <w:contextualSpacing w:val="0"/>
        <w:jc w:val="both"/>
        <w:rPr>
          <w:rFonts w:ascii="Times New Roman" w:hAnsi="Times New Roman" w:cs="Times New Roman"/>
          <w:sz w:val="24"/>
          <w:szCs w:val="24"/>
        </w:rPr>
      </w:pPr>
      <w:r w:rsidRPr="00D6049F">
        <w:rPr>
          <w:rFonts w:ascii="Times New Roman" w:hAnsi="Times New Roman" w:cs="Times New Roman"/>
          <w:noProof/>
          <w:sz w:val="24"/>
          <w:szCs w:val="24"/>
        </w:rPr>
        <w:drawing>
          <wp:anchor distT="0" distB="0" distL="114300" distR="114300" simplePos="0" relativeHeight="251665408" behindDoc="0" locked="0" layoutInCell="1" allowOverlap="1" wp14:anchorId="4D6ED084" wp14:editId="746BF264">
            <wp:simplePos x="0" y="0"/>
            <wp:positionH relativeFrom="margin">
              <wp:posOffset>1859102</wp:posOffset>
            </wp:positionH>
            <wp:positionV relativeFrom="paragraph">
              <wp:posOffset>40256</wp:posOffset>
            </wp:positionV>
            <wp:extent cx="2162810" cy="1849120"/>
            <wp:effectExtent l="38100" t="38100" r="46990" b="3683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4"/>
                    <pic:cNvPicPr>
                      <a:picLocks noChangeAspect="1" noChangeArrowheads="1"/>
                    </pic:cNvPicPr>
                  </pic:nvPicPr>
                  <pic:blipFill>
                    <a:blip r:embed="rId12" cstate="print">
                      <a:extLst>
                        <a:ext uri="{28A0092B-C50C-407E-A947-70E740481C1C}">
                          <a14:useLocalDpi xmlns:a14="http://schemas.microsoft.com/office/drawing/2010/main" val="0"/>
                        </a:ext>
                      </a:extLst>
                    </a:blip>
                    <a:srcRect b="9573"/>
                    <a:stretch>
                      <a:fillRect/>
                    </a:stretch>
                  </pic:blipFill>
                  <pic:spPr bwMode="auto">
                    <a:xfrm>
                      <a:off x="0" y="0"/>
                      <a:ext cx="2162810" cy="1849120"/>
                    </a:xfrm>
                    <a:prstGeom prst="rect">
                      <a:avLst/>
                    </a:prstGeom>
                    <a:noFill/>
                    <a:ln w="38100" cap="sq" algn="ctr">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3B6DD0A4" w14:textId="268DF265" w:rsidR="00D6049F" w:rsidRPr="00D6049F" w:rsidRDefault="00D6049F" w:rsidP="00D6049F">
      <w:pPr>
        <w:spacing w:after="120" w:line="240" w:lineRule="auto"/>
        <w:jc w:val="both"/>
        <w:rPr>
          <w:rFonts w:ascii="Times New Roman" w:hAnsi="Times New Roman" w:cs="Times New Roman"/>
          <w:sz w:val="24"/>
          <w:szCs w:val="24"/>
        </w:rPr>
      </w:pPr>
    </w:p>
    <w:p w14:paraId="7EE9FE03" w14:textId="47F08CCE" w:rsidR="00D6049F" w:rsidRPr="00D6049F" w:rsidRDefault="00D6049F" w:rsidP="00D6049F">
      <w:pPr>
        <w:spacing w:after="120" w:line="240" w:lineRule="auto"/>
        <w:jc w:val="both"/>
        <w:rPr>
          <w:rFonts w:ascii="Times New Roman" w:hAnsi="Times New Roman" w:cs="Times New Roman"/>
          <w:sz w:val="24"/>
          <w:szCs w:val="24"/>
        </w:rPr>
      </w:pPr>
    </w:p>
    <w:p w14:paraId="71C2C281" w14:textId="77777777" w:rsidR="00D6049F" w:rsidRPr="00D6049F" w:rsidRDefault="00D6049F" w:rsidP="00D6049F">
      <w:pPr>
        <w:pStyle w:val="Prrafodelista"/>
        <w:spacing w:after="120" w:line="240" w:lineRule="auto"/>
        <w:ind w:firstLine="709"/>
        <w:contextualSpacing w:val="0"/>
        <w:jc w:val="both"/>
        <w:rPr>
          <w:rFonts w:ascii="Times New Roman" w:hAnsi="Times New Roman" w:cs="Times New Roman"/>
          <w:sz w:val="24"/>
          <w:szCs w:val="24"/>
        </w:rPr>
      </w:pPr>
    </w:p>
    <w:p w14:paraId="57ACD429" w14:textId="77777777" w:rsidR="00D6049F" w:rsidRPr="00D6049F" w:rsidRDefault="00D6049F" w:rsidP="00D6049F">
      <w:pPr>
        <w:spacing w:after="120" w:line="240" w:lineRule="auto"/>
        <w:jc w:val="both"/>
        <w:rPr>
          <w:rFonts w:ascii="Times New Roman" w:hAnsi="Times New Roman" w:cs="Times New Roman"/>
          <w:sz w:val="24"/>
          <w:szCs w:val="24"/>
        </w:rPr>
      </w:pPr>
    </w:p>
    <w:p w14:paraId="1C540822" w14:textId="77777777" w:rsidR="00D6049F" w:rsidRPr="00D6049F" w:rsidRDefault="00D6049F" w:rsidP="00D6049F">
      <w:pPr>
        <w:spacing w:after="120" w:line="240" w:lineRule="auto"/>
        <w:jc w:val="both"/>
        <w:rPr>
          <w:rFonts w:ascii="Times New Roman" w:hAnsi="Times New Roman" w:cs="Times New Roman"/>
          <w:sz w:val="24"/>
          <w:szCs w:val="24"/>
        </w:rPr>
      </w:pPr>
    </w:p>
    <w:p w14:paraId="5EC8AEA8" w14:textId="77777777" w:rsidR="00D6049F" w:rsidRPr="00D6049F" w:rsidRDefault="00D6049F" w:rsidP="00D6049F">
      <w:pPr>
        <w:spacing w:after="120" w:line="240" w:lineRule="auto"/>
        <w:jc w:val="both"/>
        <w:rPr>
          <w:rFonts w:ascii="Times New Roman" w:hAnsi="Times New Roman" w:cs="Times New Roman"/>
          <w:sz w:val="24"/>
          <w:szCs w:val="24"/>
        </w:rPr>
      </w:pPr>
    </w:p>
    <w:p w14:paraId="40C0C0C0" w14:textId="77777777" w:rsidR="00D6049F" w:rsidRPr="0006610F" w:rsidRDefault="00D6049F" w:rsidP="00D6049F">
      <w:pPr>
        <w:spacing w:after="120" w:line="240" w:lineRule="auto"/>
        <w:jc w:val="both"/>
        <w:rPr>
          <w:rFonts w:ascii="Times New Roman" w:hAnsi="Times New Roman" w:cs="Times New Roman"/>
          <w:sz w:val="28"/>
          <w:szCs w:val="28"/>
        </w:rPr>
      </w:pPr>
    </w:p>
    <w:p w14:paraId="30150D4B" w14:textId="02FA6308" w:rsidR="00D6049F" w:rsidRDefault="00D6049F" w:rsidP="0006610F">
      <w:pPr>
        <w:spacing w:after="120" w:line="240" w:lineRule="auto"/>
        <w:jc w:val="center"/>
        <w:rPr>
          <w:rFonts w:ascii="Times New Roman" w:hAnsi="Times New Roman" w:cs="Times New Roman"/>
          <w:sz w:val="24"/>
          <w:szCs w:val="24"/>
        </w:rPr>
      </w:pPr>
      <w:r w:rsidRPr="0006610F">
        <w:rPr>
          <w:rFonts w:ascii="Times New Roman" w:hAnsi="Times New Roman" w:cs="Times New Roman"/>
          <w:b/>
          <w:bCs/>
          <w:sz w:val="24"/>
          <w:szCs w:val="24"/>
        </w:rPr>
        <w:t>Fuente:</w:t>
      </w:r>
      <w:r w:rsidRPr="0006610F">
        <w:rPr>
          <w:rFonts w:ascii="Times New Roman" w:hAnsi="Times New Roman" w:cs="Times New Roman"/>
          <w:sz w:val="24"/>
          <w:szCs w:val="24"/>
        </w:rPr>
        <w:t xml:space="preserve"> Elaboración propia</w:t>
      </w:r>
    </w:p>
    <w:p w14:paraId="3681C572" w14:textId="77777777" w:rsidR="005F50CF" w:rsidRPr="00D6049F" w:rsidRDefault="005F50CF" w:rsidP="0006610F">
      <w:pPr>
        <w:spacing w:after="120" w:line="240" w:lineRule="auto"/>
        <w:jc w:val="center"/>
        <w:rPr>
          <w:rFonts w:ascii="Times New Roman" w:hAnsi="Times New Roman" w:cs="Times New Roman"/>
          <w:sz w:val="24"/>
          <w:szCs w:val="24"/>
        </w:rPr>
      </w:pPr>
    </w:p>
    <w:p w14:paraId="32ABBE1A" w14:textId="06195220" w:rsidR="00D6049F" w:rsidRPr="005F50CF" w:rsidRDefault="005F50CF" w:rsidP="005F50CF">
      <w:pPr>
        <w:pStyle w:val="Prrafodelista"/>
        <w:numPr>
          <w:ilvl w:val="1"/>
          <w:numId w:val="23"/>
        </w:num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Estrategias de comercialización:</w:t>
      </w:r>
    </w:p>
    <w:p w14:paraId="01A8CCB5" w14:textId="2B808679" w:rsidR="00D6049F" w:rsidRPr="00D6049F" w:rsidRDefault="00D6049F" w:rsidP="00D6049F">
      <w:pPr>
        <w:spacing w:after="120" w:line="240" w:lineRule="auto"/>
        <w:ind w:firstLine="510"/>
        <w:jc w:val="both"/>
        <w:rPr>
          <w:rFonts w:ascii="Times New Roman" w:hAnsi="Times New Roman" w:cs="Times New Roman"/>
          <w:bCs/>
          <w:sz w:val="24"/>
          <w:szCs w:val="24"/>
        </w:rPr>
      </w:pPr>
      <w:r w:rsidRPr="00D6049F">
        <w:rPr>
          <w:rFonts w:ascii="Times New Roman" w:hAnsi="Times New Roman" w:cs="Times New Roman"/>
          <w:sz w:val="24"/>
          <w:szCs w:val="24"/>
        </w:rPr>
        <w:t>L</w:t>
      </w:r>
      <w:r w:rsidRPr="00D6049F">
        <w:rPr>
          <w:rFonts w:ascii="Times New Roman" w:hAnsi="Times New Roman" w:cs="Times New Roman"/>
          <w:bCs/>
          <w:sz w:val="24"/>
          <w:szCs w:val="24"/>
        </w:rPr>
        <w:t xml:space="preserve">as estrategias de penetración en el mercado y de desarrollo de productos o servicios, son las más aptas para la comercialización de este tipo de producto herpetológico, las cuales se pueden dividir en </w:t>
      </w:r>
      <w:proofErr w:type="spellStart"/>
      <w:r w:rsidRPr="00D6049F">
        <w:rPr>
          <w:rFonts w:ascii="Times New Roman" w:hAnsi="Times New Roman" w:cs="Times New Roman"/>
          <w:bCs/>
          <w:sz w:val="24"/>
          <w:szCs w:val="24"/>
        </w:rPr>
        <w:t>subestrategias</w:t>
      </w:r>
      <w:proofErr w:type="spellEnd"/>
      <w:r w:rsidRPr="00D6049F">
        <w:rPr>
          <w:rFonts w:ascii="Times New Roman" w:hAnsi="Times New Roman" w:cs="Times New Roman"/>
          <w:bCs/>
          <w:sz w:val="24"/>
          <w:szCs w:val="24"/>
        </w:rPr>
        <w:t xml:space="preserve">. En este caso, para la penetración en el mercado tenemos:  </w:t>
      </w:r>
    </w:p>
    <w:p w14:paraId="43C1E663" w14:textId="12BC91D6" w:rsidR="00D6049F" w:rsidRDefault="00D6049F" w:rsidP="00D6049F">
      <w:pPr>
        <w:spacing w:after="120" w:line="240" w:lineRule="auto"/>
        <w:ind w:firstLine="510"/>
        <w:jc w:val="both"/>
        <w:rPr>
          <w:rFonts w:ascii="Times New Roman" w:hAnsi="Times New Roman" w:cs="Times New Roman"/>
          <w:bCs/>
          <w:sz w:val="24"/>
          <w:szCs w:val="24"/>
        </w:rPr>
      </w:pPr>
      <w:r w:rsidRPr="00D6049F">
        <w:rPr>
          <w:rFonts w:ascii="Times New Roman" w:hAnsi="Times New Roman" w:cs="Times New Roman"/>
          <w:bCs/>
          <w:sz w:val="24"/>
          <w:szCs w:val="24"/>
        </w:rPr>
        <w:t xml:space="preserve">Precios de penetración: descuentos por temporadas, nuevos segmentos objetivos: fotógrafos de vida silvestre especializados en </w:t>
      </w:r>
      <w:proofErr w:type="spellStart"/>
      <w:r w:rsidRPr="00D6049F">
        <w:rPr>
          <w:rFonts w:ascii="Times New Roman" w:hAnsi="Times New Roman" w:cs="Times New Roman"/>
          <w:bCs/>
          <w:sz w:val="24"/>
          <w:szCs w:val="24"/>
        </w:rPr>
        <w:t>herpetofauna</w:t>
      </w:r>
      <w:proofErr w:type="spellEnd"/>
      <w:r w:rsidRPr="00D6049F">
        <w:rPr>
          <w:rFonts w:ascii="Times New Roman" w:hAnsi="Times New Roman" w:cs="Times New Roman"/>
          <w:bCs/>
          <w:sz w:val="24"/>
          <w:szCs w:val="24"/>
        </w:rPr>
        <w:t xml:space="preserve">, desarrollo de alianzas estratégicas: convenios con universidades para la llegada de estudiantes de carreras de ciencias biológicas, promoción web: creación de OTAS o agencias en línea como </w:t>
      </w:r>
      <w:proofErr w:type="spellStart"/>
      <w:r w:rsidRPr="00D6049F">
        <w:rPr>
          <w:rFonts w:ascii="Times New Roman" w:hAnsi="Times New Roman" w:cs="Times New Roman"/>
          <w:bCs/>
          <w:sz w:val="24"/>
          <w:szCs w:val="24"/>
        </w:rPr>
        <w:t>booking</w:t>
      </w:r>
      <w:proofErr w:type="spellEnd"/>
      <w:r w:rsidRPr="00D6049F">
        <w:rPr>
          <w:rFonts w:ascii="Times New Roman" w:hAnsi="Times New Roman" w:cs="Times New Roman"/>
          <w:bCs/>
          <w:sz w:val="24"/>
          <w:szCs w:val="24"/>
        </w:rPr>
        <w:t xml:space="preserve">, </w:t>
      </w:r>
      <w:proofErr w:type="spellStart"/>
      <w:r w:rsidRPr="00D6049F">
        <w:rPr>
          <w:rFonts w:ascii="Times New Roman" w:hAnsi="Times New Roman" w:cs="Times New Roman"/>
          <w:bCs/>
          <w:sz w:val="24"/>
          <w:szCs w:val="24"/>
        </w:rPr>
        <w:t>tripadvisor</w:t>
      </w:r>
      <w:proofErr w:type="spellEnd"/>
      <w:r w:rsidRPr="00D6049F">
        <w:rPr>
          <w:rFonts w:ascii="Times New Roman" w:hAnsi="Times New Roman" w:cs="Times New Roman"/>
          <w:bCs/>
          <w:sz w:val="24"/>
          <w:szCs w:val="24"/>
        </w:rPr>
        <w:t xml:space="preserve">, Expedia </w:t>
      </w:r>
      <w:proofErr w:type="spellStart"/>
      <w:r w:rsidRPr="00D6049F">
        <w:rPr>
          <w:rFonts w:ascii="Times New Roman" w:hAnsi="Times New Roman" w:cs="Times New Roman"/>
          <w:bCs/>
          <w:sz w:val="24"/>
          <w:szCs w:val="24"/>
        </w:rPr>
        <w:t>Group</w:t>
      </w:r>
      <w:proofErr w:type="spellEnd"/>
      <w:r w:rsidRPr="00D6049F">
        <w:rPr>
          <w:rFonts w:ascii="Times New Roman" w:hAnsi="Times New Roman" w:cs="Times New Roman"/>
          <w:bCs/>
          <w:sz w:val="24"/>
          <w:szCs w:val="24"/>
        </w:rPr>
        <w:t xml:space="preserve">, Airbnb, redes sociales y marketing de </w:t>
      </w:r>
      <w:proofErr w:type="spellStart"/>
      <w:r w:rsidRPr="00D6049F">
        <w:rPr>
          <w:rFonts w:ascii="Times New Roman" w:hAnsi="Times New Roman" w:cs="Times New Roman"/>
          <w:bCs/>
          <w:sz w:val="24"/>
          <w:szCs w:val="24"/>
        </w:rPr>
        <w:t>influencers</w:t>
      </w:r>
      <w:proofErr w:type="spellEnd"/>
      <w:r w:rsidRPr="00D6049F">
        <w:rPr>
          <w:rFonts w:ascii="Times New Roman" w:hAnsi="Times New Roman" w:cs="Times New Roman"/>
          <w:bCs/>
          <w:sz w:val="24"/>
          <w:szCs w:val="24"/>
        </w:rPr>
        <w:t xml:space="preserve">: traer </w:t>
      </w:r>
      <w:proofErr w:type="spellStart"/>
      <w:r w:rsidRPr="00D6049F">
        <w:rPr>
          <w:rFonts w:ascii="Times New Roman" w:hAnsi="Times New Roman" w:cs="Times New Roman"/>
          <w:bCs/>
          <w:sz w:val="24"/>
          <w:szCs w:val="24"/>
        </w:rPr>
        <w:t>influencers</w:t>
      </w:r>
      <w:proofErr w:type="spellEnd"/>
      <w:r w:rsidRPr="00D6049F">
        <w:rPr>
          <w:rFonts w:ascii="Times New Roman" w:hAnsi="Times New Roman" w:cs="Times New Roman"/>
          <w:bCs/>
          <w:sz w:val="24"/>
          <w:szCs w:val="24"/>
        </w:rPr>
        <w:t xml:space="preserve"> de viajes o divulgación científica. Mientras que para las estrategias de desarrollo de productos o servicios existen el lanzamiento de nuevos productos como lo son los paquetes de turismo herpetológico diseñados y posicionamiento de la marca, la cual es la imagen en la (Figura </w:t>
      </w:r>
      <w:r w:rsidR="005F50CF">
        <w:rPr>
          <w:rFonts w:ascii="Times New Roman" w:hAnsi="Times New Roman" w:cs="Times New Roman"/>
          <w:bCs/>
          <w:sz w:val="24"/>
          <w:szCs w:val="24"/>
        </w:rPr>
        <w:t>5</w:t>
      </w:r>
      <w:r w:rsidRPr="00D6049F">
        <w:rPr>
          <w:rFonts w:ascii="Times New Roman" w:hAnsi="Times New Roman" w:cs="Times New Roman"/>
          <w:bCs/>
          <w:sz w:val="24"/>
          <w:szCs w:val="24"/>
        </w:rPr>
        <w:t>).</w:t>
      </w:r>
    </w:p>
    <w:p w14:paraId="33DC2EAB" w14:textId="77777777" w:rsidR="005F50CF" w:rsidRPr="00D6049F" w:rsidRDefault="005F50CF" w:rsidP="00D6049F">
      <w:pPr>
        <w:spacing w:after="120" w:line="240" w:lineRule="auto"/>
        <w:ind w:firstLine="510"/>
        <w:jc w:val="both"/>
        <w:rPr>
          <w:rFonts w:ascii="Times New Roman" w:hAnsi="Times New Roman" w:cs="Times New Roman"/>
          <w:bCs/>
          <w:sz w:val="24"/>
          <w:szCs w:val="24"/>
        </w:rPr>
      </w:pPr>
    </w:p>
    <w:p w14:paraId="00B04B5F" w14:textId="1469FD42" w:rsidR="00D6049F" w:rsidRPr="005F50CF" w:rsidRDefault="005F50CF" w:rsidP="005F50CF">
      <w:pPr>
        <w:pStyle w:val="Prrafodelista"/>
        <w:numPr>
          <w:ilvl w:val="1"/>
          <w:numId w:val="23"/>
        </w:numPr>
        <w:spacing w:after="120" w:line="240" w:lineRule="auto"/>
        <w:jc w:val="both"/>
        <w:rPr>
          <w:rFonts w:ascii="Times New Roman" w:hAnsi="Times New Roman" w:cs="Times New Roman"/>
          <w:b/>
          <w:noProof/>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Determinación de la viabilidad legal y ambiental</w:t>
      </w:r>
    </w:p>
    <w:p w14:paraId="06482D91" w14:textId="77777777" w:rsidR="00D6049F" w:rsidRPr="00D6049F" w:rsidRDefault="00D6049F" w:rsidP="00D6049F">
      <w:pPr>
        <w:spacing w:after="120" w:line="240" w:lineRule="auto"/>
        <w:ind w:firstLine="510"/>
        <w:jc w:val="both"/>
        <w:rPr>
          <w:rFonts w:ascii="Times New Roman" w:hAnsi="Times New Roman" w:cs="Times New Roman"/>
          <w:b/>
          <w:bCs/>
          <w:sz w:val="24"/>
          <w:szCs w:val="24"/>
        </w:rPr>
      </w:pPr>
      <w:r w:rsidRPr="00D6049F">
        <w:rPr>
          <w:rFonts w:ascii="Times New Roman" w:hAnsi="Times New Roman" w:cs="Times New Roman"/>
          <w:sz w:val="24"/>
          <w:szCs w:val="24"/>
        </w:rPr>
        <w:t xml:space="preserve">Viabilidad legal: Se analizó la Constitución de la Republica del Ecuador; convenios y protocolos internacionales: Convenio sobre la Protección de la Flora, Fauna y Bellezas Escénicas Naturales de los Países de América, Convenio sobre Diversidad Biológica, Convenio UNESCO sobre Patrimonio Cultural y Natural de la Humanidad; leyes y códigos: Ley de </w:t>
      </w:r>
      <w:r w:rsidRPr="00D6049F">
        <w:rPr>
          <w:rFonts w:ascii="Times New Roman" w:hAnsi="Times New Roman" w:cs="Times New Roman"/>
          <w:sz w:val="24"/>
          <w:szCs w:val="24"/>
        </w:rPr>
        <w:lastRenderedPageBreak/>
        <w:t>Gestión Ambiental, Ley de Protección de la Biodiversidad de Ecuador, Ley para la Conservación y Uso Sustentable de la Biodiversidad, Ley de la Conservación de Áreas Naturales y Vida Silvestre, Ley de Turismo, Código Orgánico Ambiental, Texto Unificado de Legislación Secundaria Ambiental y decretos y reglamentos: Normativa del Sistema Único de Información Ambiental.</w:t>
      </w:r>
    </w:p>
    <w:p w14:paraId="1A08D40B"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Viabilidad ambiental: Actividades relacionadas al turismo herpetológico que pueden causar Impacto:  Búsqueda de anfibios y reptiles en hábitats, manipulación de anfibios y reptiles, colectar especies de anfibios y reptiles, fotografiar las especies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investigación científica herpetológica, charlas herpetológicas a los turistas y comunidad, construcción de un centro de exposición fotográfica e implementación de señalética.</w:t>
      </w:r>
    </w:p>
    <w:p w14:paraId="5FBB6A17" w14:textId="77777777" w:rsidR="00D6049F" w:rsidRPr="00D6049F" w:rsidRDefault="00D6049F" w:rsidP="00D6049F">
      <w:pPr>
        <w:pStyle w:val="Prrafodelista"/>
        <w:spacing w:after="120" w:line="240" w:lineRule="auto"/>
        <w:ind w:left="0"/>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Componentes pertenecientes a áreas de influencia que pueden ser susceptibles a impactos: </w:t>
      </w:r>
    </w:p>
    <w:p w14:paraId="33E1E8DA"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Suelo: (Compactación y pérdida de hábitat para las especies) </w:t>
      </w:r>
    </w:p>
    <w:p w14:paraId="7CAEBFD8"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Agua: (Contaminación, pérdida de hábitat para las especies y pérdida de caudal)</w:t>
      </w:r>
    </w:p>
    <w:p w14:paraId="5702BAB4"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Flora: (Pérdida de hábitat, estado de flora y biodiversidad de flora) </w:t>
      </w:r>
    </w:p>
    <w:p w14:paraId="1EC16156"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Fauna: (Reducción de población, modificación de hábitos, alejamiento y deterioro) </w:t>
      </w:r>
    </w:p>
    <w:p w14:paraId="7BBFE0D4"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Comunidad local: (Interés en conservación y riesgo de ataque por serpientes)</w:t>
      </w:r>
    </w:p>
    <w:p w14:paraId="0B2114E3"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Turismo: (Aumento de turistas, ingresos económicos y popularidad del sitio) </w:t>
      </w:r>
    </w:p>
    <w:p w14:paraId="0F2B0349" w14:textId="22BCE5F6"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Paisaje: (Degradación paisajística, modificación del entorno, ruido, estado de conservación y generación de desechos)</w:t>
      </w:r>
    </w:p>
    <w:p w14:paraId="0029D18E"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Conservación: (Reducción de riesgo de extinción e interés colectivo)</w:t>
      </w:r>
    </w:p>
    <w:p w14:paraId="5F58D361" w14:textId="77777777" w:rsidR="00D6049F" w:rsidRPr="00D6049F" w:rsidRDefault="00D6049F" w:rsidP="00D6049F">
      <w:pPr>
        <w:pStyle w:val="Prrafodelista"/>
        <w:numPr>
          <w:ilvl w:val="0"/>
          <w:numId w:val="21"/>
        </w:numPr>
        <w:tabs>
          <w:tab w:val="clear" w:pos="720"/>
          <w:tab w:val="num" w:pos="426"/>
        </w:tabs>
        <w:spacing w:after="120" w:line="240" w:lineRule="auto"/>
        <w:ind w:hanging="578"/>
        <w:contextualSpacing w:val="0"/>
        <w:jc w:val="both"/>
        <w:rPr>
          <w:rFonts w:ascii="Times New Roman" w:hAnsi="Times New Roman" w:cs="Times New Roman"/>
          <w:sz w:val="24"/>
          <w:szCs w:val="24"/>
        </w:rPr>
      </w:pPr>
      <w:r w:rsidRPr="00D6049F">
        <w:rPr>
          <w:rFonts w:ascii="Times New Roman" w:hAnsi="Times New Roman" w:cs="Times New Roman"/>
          <w:sz w:val="24"/>
          <w:szCs w:val="24"/>
        </w:rPr>
        <w:t xml:space="preserve">Conocimiento científico: (Generación de información, beneficio a la humanidad y posicionamiento científico de Tamandúa) </w:t>
      </w:r>
    </w:p>
    <w:p w14:paraId="6DB2232D"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Interpretación: Se determinó un total de 3001 puntos, de los cuales 72 son positivos y 53 son negativos, esto significa que la implementación del producto turístico no genera un alto impacto ambiental en las especies y en la zona; al contrario, la implementación de esto se vuelve beneficioso para los mismos y el </w:t>
      </w:r>
      <w:proofErr w:type="spellStart"/>
      <w:r w:rsidRPr="005F50CF">
        <w:rPr>
          <w:rFonts w:ascii="Times New Roman" w:hAnsi="Times New Roman" w:cs="Times New Roman"/>
          <w:i/>
          <w:iCs/>
          <w:sz w:val="24"/>
          <w:szCs w:val="24"/>
        </w:rPr>
        <w:t>lodge</w:t>
      </w:r>
      <w:proofErr w:type="spellEnd"/>
      <w:r w:rsidRPr="00D6049F">
        <w:rPr>
          <w:rFonts w:ascii="Times New Roman" w:hAnsi="Times New Roman" w:cs="Times New Roman"/>
          <w:sz w:val="24"/>
          <w:szCs w:val="24"/>
        </w:rPr>
        <w:t>.</w:t>
      </w:r>
    </w:p>
    <w:p w14:paraId="65FC75FF"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Los componentes que presentan más afectaciones son la flora y la fauna pertenecientes al área de influencia de condiciones biológica con un total de 259 puntos negativos, esto se debe al contacto que se tiene con las especies, su sensibilidad, características morfológicas y ciclo de vida; después le siguen los componentes de agua y suelo con un valor de 53 puntos negativos, la razón es que estos componentes  son los hábitats de la mayoría de especies de </w:t>
      </w:r>
      <w:proofErr w:type="spellStart"/>
      <w:r w:rsidRPr="00D6049F">
        <w:rPr>
          <w:rFonts w:ascii="Times New Roman" w:hAnsi="Times New Roman" w:cs="Times New Roman"/>
          <w:sz w:val="24"/>
          <w:szCs w:val="24"/>
        </w:rPr>
        <w:t>herpetofauna</w:t>
      </w:r>
      <w:proofErr w:type="spellEnd"/>
      <w:r w:rsidRPr="00D6049F">
        <w:rPr>
          <w:rFonts w:ascii="Times New Roman" w:hAnsi="Times New Roman" w:cs="Times New Roman"/>
          <w:sz w:val="24"/>
          <w:szCs w:val="24"/>
        </w:rPr>
        <w:t xml:space="preserve"> y dada sus características, una alteración en su hábitat les generaría un impacto negativo.</w:t>
      </w:r>
    </w:p>
    <w:p w14:paraId="2147B332" w14:textId="77777777" w:rsidR="00D6049F" w:rsidRPr="00D6049F" w:rsidRDefault="00D6049F" w:rsidP="00D6049F">
      <w:pPr>
        <w:spacing w:after="120" w:line="240" w:lineRule="auto"/>
        <w:ind w:firstLine="510"/>
        <w:jc w:val="both"/>
        <w:rPr>
          <w:rFonts w:ascii="Times New Roman" w:hAnsi="Times New Roman" w:cs="Times New Roman"/>
          <w:sz w:val="24"/>
          <w:szCs w:val="24"/>
        </w:rPr>
      </w:pPr>
      <w:r w:rsidRPr="00D6049F">
        <w:rPr>
          <w:rFonts w:ascii="Times New Roman" w:hAnsi="Times New Roman" w:cs="Times New Roman"/>
          <w:sz w:val="24"/>
          <w:szCs w:val="24"/>
        </w:rPr>
        <w:t xml:space="preserve">Mientras que los componentes con más resultados positivos son comunidad local, paisaje, turismo, conservación y conocimiento con un total de 3286 puntos, esto se debe a que el desarrollo de investigación científica contribuye a la conservación de las especies de anfibios y reptiles, además que dichos estudios pueden generar beneficios a la humanidad, aumentar la información de este grupo de especies y el posicionamiento de Tamanduá en el interés científico. Otros factores que contribuyen son las fotografía y las charlas que se genera interés, popularidad y mayor llegada de turistas, con ello trayendo más beneficios económicos para el </w:t>
      </w:r>
      <w:proofErr w:type="spellStart"/>
      <w:r w:rsidRPr="00D6049F">
        <w:rPr>
          <w:rFonts w:ascii="Times New Roman" w:hAnsi="Times New Roman" w:cs="Times New Roman"/>
          <w:sz w:val="24"/>
          <w:szCs w:val="24"/>
        </w:rPr>
        <w:t>lodge</w:t>
      </w:r>
      <w:proofErr w:type="spellEnd"/>
      <w:r w:rsidRPr="00D6049F">
        <w:rPr>
          <w:rFonts w:ascii="Times New Roman" w:hAnsi="Times New Roman" w:cs="Times New Roman"/>
          <w:sz w:val="24"/>
          <w:szCs w:val="24"/>
        </w:rPr>
        <w:t>.</w:t>
      </w:r>
    </w:p>
    <w:p w14:paraId="56B24CCB" w14:textId="77777777" w:rsidR="00D6049F" w:rsidRPr="00D6049F" w:rsidRDefault="00D6049F" w:rsidP="00D6049F">
      <w:pPr>
        <w:spacing w:after="120" w:line="240" w:lineRule="auto"/>
        <w:ind w:firstLine="709"/>
        <w:jc w:val="both"/>
        <w:rPr>
          <w:rFonts w:ascii="Times New Roman" w:hAnsi="Times New Roman" w:cs="Times New Roman"/>
          <w:sz w:val="24"/>
          <w:szCs w:val="24"/>
        </w:rPr>
      </w:pPr>
    </w:p>
    <w:p w14:paraId="1138FA77" w14:textId="7887CFA9" w:rsidR="00D6049F" w:rsidRPr="005F50CF" w:rsidRDefault="005F50CF" w:rsidP="005F50CF">
      <w:pPr>
        <w:pStyle w:val="Prrafodelista"/>
        <w:numPr>
          <w:ilvl w:val="1"/>
          <w:numId w:val="23"/>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6049F" w:rsidRPr="005F50CF">
        <w:rPr>
          <w:rFonts w:ascii="Times New Roman" w:hAnsi="Times New Roman" w:cs="Times New Roman"/>
          <w:b/>
          <w:bCs/>
          <w:sz w:val="24"/>
          <w:szCs w:val="24"/>
        </w:rPr>
        <w:t xml:space="preserve">Determinación de viabilidad económica y financiera </w:t>
      </w:r>
    </w:p>
    <w:p w14:paraId="72A3B6F3" w14:textId="77777777" w:rsidR="005F50CF" w:rsidRPr="00D6049F" w:rsidRDefault="005F50CF" w:rsidP="005F50CF">
      <w:pPr>
        <w:pStyle w:val="Prrafodelista"/>
        <w:spacing w:after="120" w:line="240" w:lineRule="auto"/>
        <w:ind w:left="0"/>
        <w:contextualSpacing w:val="0"/>
        <w:jc w:val="both"/>
        <w:rPr>
          <w:rFonts w:ascii="Times New Roman" w:hAnsi="Times New Roman" w:cs="Times New Roman"/>
          <w:b/>
          <w:bCs/>
          <w:sz w:val="24"/>
          <w:szCs w:val="24"/>
        </w:rPr>
      </w:pPr>
    </w:p>
    <w:p w14:paraId="51ED5E3A"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lastRenderedPageBreak/>
        <w:t>Tabla 2.</w:t>
      </w:r>
      <w:r w:rsidRPr="00D6049F">
        <w:rPr>
          <w:rFonts w:ascii="Times New Roman" w:hAnsi="Times New Roman" w:cs="Times New Roman"/>
          <w:sz w:val="24"/>
          <w:szCs w:val="24"/>
        </w:rPr>
        <w:t xml:space="preserve"> Análisis de inversiones</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412"/>
      </w:tblGrid>
      <w:tr w:rsidR="00D6049F" w:rsidRPr="00D6049F" w14:paraId="38DF22AB" w14:textId="77777777" w:rsidTr="00B17B79">
        <w:trPr>
          <w:trHeight w:val="260"/>
          <w:jc w:val="center"/>
        </w:trPr>
        <w:tc>
          <w:tcPr>
            <w:tcW w:w="5640" w:type="dxa"/>
            <w:shd w:val="clear" w:color="auto" w:fill="auto"/>
            <w:noWrap/>
            <w:hideMark/>
          </w:tcPr>
          <w:p w14:paraId="1A44BD5A"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Tipo de inversiones</w:t>
            </w:r>
          </w:p>
        </w:tc>
        <w:tc>
          <w:tcPr>
            <w:tcW w:w="2412" w:type="dxa"/>
            <w:shd w:val="clear" w:color="auto" w:fill="auto"/>
            <w:noWrap/>
            <w:hideMark/>
          </w:tcPr>
          <w:p w14:paraId="5A20D6D9"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Costo de inversión</w:t>
            </w:r>
          </w:p>
        </w:tc>
      </w:tr>
      <w:tr w:rsidR="00D6049F" w:rsidRPr="00D6049F" w14:paraId="7A8C3B2D" w14:textId="77777777" w:rsidTr="00B17B79">
        <w:trPr>
          <w:trHeight w:val="260"/>
          <w:jc w:val="center"/>
        </w:trPr>
        <w:tc>
          <w:tcPr>
            <w:tcW w:w="5640" w:type="dxa"/>
            <w:shd w:val="clear" w:color="auto" w:fill="auto"/>
            <w:noWrap/>
            <w:hideMark/>
          </w:tcPr>
          <w:p w14:paraId="6341B9CF"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Activo fijo</w:t>
            </w:r>
          </w:p>
        </w:tc>
        <w:tc>
          <w:tcPr>
            <w:tcW w:w="2412" w:type="dxa"/>
            <w:shd w:val="clear" w:color="auto" w:fill="auto"/>
            <w:noWrap/>
            <w:hideMark/>
          </w:tcPr>
          <w:p w14:paraId="6B82232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$ 12.355,36 </w:t>
            </w:r>
          </w:p>
        </w:tc>
      </w:tr>
      <w:tr w:rsidR="00D6049F" w:rsidRPr="00D6049F" w14:paraId="6CC38158" w14:textId="77777777" w:rsidTr="00B17B79">
        <w:trPr>
          <w:trHeight w:val="260"/>
          <w:jc w:val="center"/>
        </w:trPr>
        <w:tc>
          <w:tcPr>
            <w:tcW w:w="5640" w:type="dxa"/>
            <w:shd w:val="clear" w:color="auto" w:fill="auto"/>
            <w:noWrap/>
            <w:hideMark/>
          </w:tcPr>
          <w:p w14:paraId="70C738A3"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Construcciones e implementación señalética</w:t>
            </w:r>
          </w:p>
        </w:tc>
        <w:tc>
          <w:tcPr>
            <w:tcW w:w="2412" w:type="dxa"/>
            <w:shd w:val="clear" w:color="auto" w:fill="auto"/>
            <w:noWrap/>
            <w:hideMark/>
          </w:tcPr>
          <w:p w14:paraId="25D4B8D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$ 8.418,60 </w:t>
            </w:r>
          </w:p>
        </w:tc>
      </w:tr>
      <w:tr w:rsidR="00D6049F" w:rsidRPr="00D6049F" w14:paraId="331C4202" w14:textId="77777777" w:rsidTr="00B17B79">
        <w:trPr>
          <w:trHeight w:val="260"/>
          <w:jc w:val="center"/>
        </w:trPr>
        <w:tc>
          <w:tcPr>
            <w:tcW w:w="5640" w:type="dxa"/>
            <w:shd w:val="clear" w:color="auto" w:fill="auto"/>
            <w:noWrap/>
            <w:hideMark/>
          </w:tcPr>
          <w:p w14:paraId="2345EF2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Maquinaria y equipo </w:t>
            </w:r>
          </w:p>
        </w:tc>
        <w:tc>
          <w:tcPr>
            <w:tcW w:w="2412" w:type="dxa"/>
            <w:shd w:val="clear" w:color="auto" w:fill="auto"/>
            <w:noWrap/>
            <w:hideMark/>
          </w:tcPr>
          <w:p w14:paraId="4CF376A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$ 2.823,00 </w:t>
            </w:r>
          </w:p>
        </w:tc>
      </w:tr>
      <w:tr w:rsidR="00D6049F" w:rsidRPr="00D6049F" w14:paraId="3BDD57FF" w14:textId="77777777" w:rsidTr="00B17B79">
        <w:trPr>
          <w:trHeight w:val="260"/>
          <w:jc w:val="center"/>
        </w:trPr>
        <w:tc>
          <w:tcPr>
            <w:tcW w:w="5640" w:type="dxa"/>
            <w:shd w:val="clear" w:color="auto" w:fill="auto"/>
            <w:noWrap/>
            <w:hideMark/>
          </w:tcPr>
          <w:p w14:paraId="5E1D0FEE"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Muebles y enseres</w:t>
            </w:r>
          </w:p>
        </w:tc>
        <w:tc>
          <w:tcPr>
            <w:tcW w:w="2412" w:type="dxa"/>
            <w:shd w:val="clear" w:color="auto" w:fill="auto"/>
            <w:noWrap/>
            <w:hideMark/>
          </w:tcPr>
          <w:p w14:paraId="1BF9090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$ 1.073,76 </w:t>
            </w:r>
          </w:p>
        </w:tc>
      </w:tr>
      <w:tr w:rsidR="00D6049F" w:rsidRPr="00D6049F" w14:paraId="0D1D9204" w14:textId="77777777" w:rsidTr="00B17B79">
        <w:trPr>
          <w:trHeight w:val="260"/>
          <w:jc w:val="center"/>
        </w:trPr>
        <w:tc>
          <w:tcPr>
            <w:tcW w:w="5640" w:type="dxa"/>
            <w:shd w:val="clear" w:color="auto" w:fill="auto"/>
            <w:noWrap/>
            <w:hideMark/>
          </w:tcPr>
          <w:p w14:paraId="3585996B"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Menaje</w:t>
            </w:r>
          </w:p>
        </w:tc>
        <w:tc>
          <w:tcPr>
            <w:tcW w:w="2412" w:type="dxa"/>
            <w:shd w:val="clear" w:color="auto" w:fill="auto"/>
            <w:noWrap/>
            <w:hideMark/>
          </w:tcPr>
          <w:p w14:paraId="615B78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$ 40,00 </w:t>
            </w:r>
          </w:p>
        </w:tc>
      </w:tr>
      <w:tr w:rsidR="00D6049F" w:rsidRPr="00D6049F" w14:paraId="72B0507F" w14:textId="77777777" w:rsidTr="00B17B79">
        <w:trPr>
          <w:trHeight w:val="260"/>
          <w:jc w:val="center"/>
        </w:trPr>
        <w:tc>
          <w:tcPr>
            <w:tcW w:w="5640" w:type="dxa"/>
            <w:shd w:val="clear" w:color="auto" w:fill="auto"/>
            <w:noWrap/>
            <w:hideMark/>
          </w:tcPr>
          <w:p w14:paraId="4277641E"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Activo diferido</w:t>
            </w:r>
          </w:p>
        </w:tc>
        <w:tc>
          <w:tcPr>
            <w:tcW w:w="2412" w:type="dxa"/>
            <w:shd w:val="clear" w:color="auto" w:fill="auto"/>
            <w:noWrap/>
            <w:hideMark/>
          </w:tcPr>
          <w:p w14:paraId="7948A35E"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$ 1.310,00</w:t>
            </w:r>
          </w:p>
        </w:tc>
      </w:tr>
      <w:tr w:rsidR="00D6049F" w:rsidRPr="00D6049F" w14:paraId="420980B6" w14:textId="77777777" w:rsidTr="00B17B79">
        <w:trPr>
          <w:trHeight w:val="260"/>
          <w:jc w:val="center"/>
        </w:trPr>
        <w:tc>
          <w:tcPr>
            <w:tcW w:w="5640" w:type="dxa"/>
            <w:shd w:val="clear" w:color="auto" w:fill="auto"/>
            <w:noWrap/>
            <w:hideMark/>
          </w:tcPr>
          <w:p w14:paraId="710D0202"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Promoción y publicidad </w:t>
            </w:r>
          </w:p>
        </w:tc>
        <w:tc>
          <w:tcPr>
            <w:tcW w:w="2412" w:type="dxa"/>
            <w:shd w:val="clear" w:color="auto" w:fill="auto"/>
            <w:noWrap/>
            <w:hideMark/>
          </w:tcPr>
          <w:p w14:paraId="1B12F9E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$ 560,00</w:t>
            </w:r>
          </w:p>
        </w:tc>
      </w:tr>
      <w:tr w:rsidR="00D6049F" w:rsidRPr="00D6049F" w14:paraId="0960A701" w14:textId="77777777" w:rsidTr="00B17B79">
        <w:trPr>
          <w:trHeight w:val="260"/>
          <w:jc w:val="center"/>
        </w:trPr>
        <w:tc>
          <w:tcPr>
            <w:tcW w:w="5640" w:type="dxa"/>
            <w:shd w:val="clear" w:color="auto" w:fill="auto"/>
            <w:noWrap/>
            <w:hideMark/>
          </w:tcPr>
          <w:p w14:paraId="019B9AA4"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Capacitaciones </w:t>
            </w:r>
          </w:p>
        </w:tc>
        <w:tc>
          <w:tcPr>
            <w:tcW w:w="2412" w:type="dxa"/>
            <w:shd w:val="clear" w:color="auto" w:fill="auto"/>
            <w:noWrap/>
            <w:hideMark/>
          </w:tcPr>
          <w:p w14:paraId="498834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$ 750,00</w:t>
            </w:r>
          </w:p>
        </w:tc>
      </w:tr>
      <w:tr w:rsidR="00D6049F" w:rsidRPr="00D6049F" w14:paraId="6525B1BC" w14:textId="77777777" w:rsidTr="00B17B79">
        <w:trPr>
          <w:trHeight w:val="260"/>
          <w:jc w:val="center"/>
        </w:trPr>
        <w:tc>
          <w:tcPr>
            <w:tcW w:w="5640" w:type="dxa"/>
            <w:shd w:val="clear" w:color="auto" w:fill="auto"/>
            <w:noWrap/>
            <w:hideMark/>
          </w:tcPr>
          <w:p w14:paraId="5BF39074"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Capital de trabajo</w:t>
            </w:r>
          </w:p>
        </w:tc>
        <w:tc>
          <w:tcPr>
            <w:tcW w:w="2412" w:type="dxa"/>
            <w:shd w:val="clear" w:color="auto" w:fill="auto"/>
            <w:noWrap/>
            <w:hideMark/>
          </w:tcPr>
          <w:p w14:paraId="29F989B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$ 6.000,00 </w:t>
            </w:r>
          </w:p>
        </w:tc>
      </w:tr>
      <w:tr w:rsidR="00D6049F" w:rsidRPr="00D6049F" w14:paraId="0A6856B3" w14:textId="77777777" w:rsidTr="00B17B79">
        <w:trPr>
          <w:trHeight w:val="260"/>
          <w:jc w:val="center"/>
        </w:trPr>
        <w:tc>
          <w:tcPr>
            <w:tcW w:w="5640" w:type="dxa"/>
            <w:shd w:val="clear" w:color="auto" w:fill="auto"/>
            <w:noWrap/>
            <w:hideMark/>
          </w:tcPr>
          <w:p w14:paraId="72205B3A"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Sueldos y salarios</w:t>
            </w:r>
          </w:p>
        </w:tc>
        <w:tc>
          <w:tcPr>
            <w:tcW w:w="2412" w:type="dxa"/>
            <w:shd w:val="clear" w:color="auto" w:fill="auto"/>
            <w:noWrap/>
            <w:hideMark/>
          </w:tcPr>
          <w:p w14:paraId="5E58A96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xml:space="preserve">$ 4.800,00 </w:t>
            </w:r>
          </w:p>
        </w:tc>
      </w:tr>
      <w:tr w:rsidR="00D6049F" w:rsidRPr="00D6049F" w14:paraId="38DD7AB5" w14:textId="77777777" w:rsidTr="00B17B79">
        <w:trPr>
          <w:trHeight w:val="260"/>
          <w:jc w:val="center"/>
        </w:trPr>
        <w:tc>
          <w:tcPr>
            <w:tcW w:w="5640" w:type="dxa"/>
            <w:shd w:val="clear" w:color="auto" w:fill="auto"/>
            <w:noWrap/>
            <w:hideMark/>
          </w:tcPr>
          <w:p w14:paraId="5FD2C8EC"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Mano de obra directa e indirecta</w:t>
            </w:r>
          </w:p>
        </w:tc>
        <w:tc>
          <w:tcPr>
            <w:tcW w:w="2412" w:type="dxa"/>
            <w:shd w:val="clear" w:color="auto" w:fill="auto"/>
            <w:noWrap/>
            <w:hideMark/>
          </w:tcPr>
          <w:p w14:paraId="3472F2E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$ 1.200,00</w:t>
            </w:r>
          </w:p>
        </w:tc>
      </w:tr>
      <w:tr w:rsidR="00D6049F" w:rsidRPr="00D6049F" w14:paraId="5C0A07E9" w14:textId="77777777" w:rsidTr="00B17B79">
        <w:trPr>
          <w:trHeight w:val="260"/>
          <w:jc w:val="center"/>
        </w:trPr>
        <w:tc>
          <w:tcPr>
            <w:tcW w:w="5640" w:type="dxa"/>
            <w:shd w:val="clear" w:color="auto" w:fill="auto"/>
            <w:noWrap/>
            <w:hideMark/>
          </w:tcPr>
          <w:p w14:paraId="23B95616"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TOTAL </w:t>
            </w:r>
          </w:p>
        </w:tc>
        <w:tc>
          <w:tcPr>
            <w:tcW w:w="2412" w:type="dxa"/>
            <w:shd w:val="clear" w:color="auto" w:fill="auto"/>
            <w:noWrap/>
            <w:hideMark/>
          </w:tcPr>
          <w:p w14:paraId="182845C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xml:space="preserve">$ 19.665,36 </w:t>
            </w:r>
          </w:p>
        </w:tc>
      </w:tr>
    </w:tbl>
    <w:p w14:paraId="07DE51F6"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76FAF573" w14:textId="77777777" w:rsidR="00D6049F" w:rsidRPr="00D6049F" w:rsidRDefault="00D6049F" w:rsidP="00D6049F">
      <w:pPr>
        <w:spacing w:after="120" w:line="240" w:lineRule="auto"/>
        <w:jc w:val="center"/>
        <w:rPr>
          <w:rFonts w:ascii="Times New Roman" w:hAnsi="Times New Roman" w:cs="Times New Roman"/>
          <w:b/>
          <w:bCs/>
          <w:sz w:val="24"/>
          <w:szCs w:val="24"/>
        </w:rPr>
      </w:pPr>
    </w:p>
    <w:p w14:paraId="14A727A1"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t>Tabla 3.</w:t>
      </w:r>
      <w:r w:rsidRPr="00D6049F">
        <w:rPr>
          <w:rFonts w:ascii="Times New Roman" w:hAnsi="Times New Roman" w:cs="Times New Roman"/>
          <w:sz w:val="24"/>
          <w:szCs w:val="24"/>
        </w:rPr>
        <w:t xml:space="preserve"> Presupuesto de ingresos</w:t>
      </w:r>
    </w:p>
    <w:tbl>
      <w:tblPr>
        <w:tblW w:w="9550" w:type="dxa"/>
        <w:jc w:val="center"/>
        <w:tblCellMar>
          <w:left w:w="70" w:type="dxa"/>
          <w:right w:w="70" w:type="dxa"/>
        </w:tblCellMar>
        <w:tblLook w:val="04A0" w:firstRow="1" w:lastRow="0" w:firstColumn="1" w:lastColumn="0" w:noHBand="0" w:noVBand="1"/>
      </w:tblPr>
      <w:tblGrid>
        <w:gridCol w:w="1842"/>
        <w:gridCol w:w="1276"/>
        <w:gridCol w:w="1276"/>
        <w:gridCol w:w="1276"/>
        <w:gridCol w:w="1275"/>
        <w:gridCol w:w="1311"/>
        <w:gridCol w:w="1294"/>
      </w:tblGrid>
      <w:tr w:rsidR="00D6049F" w:rsidRPr="00D6049F" w14:paraId="266EF18F" w14:textId="77777777" w:rsidTr="005F50CF">
        <w:trPr>
          <w:trHeight w:val="264"/>
          <w:jc w:val="center"/>
        </w:trPr>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7FFDC"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0F99D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8E0EA6"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D4B09A"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7C38F"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2024</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56626F4"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2025</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4AF14EF5" w14:textId="77777777" w:rsidR="00D6049F" w:rsidRPr="006C3B83" w:rsidRDefault="00D6049F" w:rsidP="00D6049F">
            <w:pPr>
              <w:spacing w:after="120" w:line="240" w:lineRule="auto"/>
              <w:jc w:val="center"/>
              <w:rPr>
                <w:rFonts w:ascii="Times New Roman" w:hAnsi="Times New Roman" w:cs="Times New Roman"/>
                <w:b/>
                <w:bCs/>
                <w:color w:val="000000"/>
              </w:rPr>
            </w:pPr>
            <w:r w:rsidRPr="006C3B83">
              <w:rPr>
                <w:rFonts w:ascii="Times New Roman" w:hAnsi="Times New Roman" w:cs="Times New Roman"/>
                <w:b/>
                <w:bCs/>
                <w:color w:val="000000"/>
              </w:rPr>
              <w:t>totales</w:t>
            </w:r>
          </w:p>
        </w:tc>
      </w:tr>
      <w:tr w:rsidR="00D6049F" w:rsidRPr="00D6049F" w14:paraId="3B79B6EE"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935CBA7" w14:textId="77777777" w:rsidR="00D6049F" w:rsidRPr="006C3B83" w:rsidRDefault="00D6049F" w:rsidP="00D6049F">
            <w:pPr>
              <w:spacing w:after="120" w:line="240" w:lineRule="auto"/>
              <w:rPr>
                <w:rFonts w:ascii="Times New Roman" w:hAnsi="Times New Roman" w:cs="Times New Roman"/>
                <w:b/>
                <w:bCs/>
                <w:color w:val="000000"/>
              </w:rPr>
            </w:pPr>
            <w:proofErr w:type="gramStart"/>
            <w:r w:rsidRPr="006C3B83">
              <w:rPr>
                <w:rFonts w:ascii="Times New Roman" w:hAnsi="Times New Roman" w:cs="Times New Roman"/>
                <w:b/>
                <w:bCs/>
                <w:color w:val="000000"/>
              </w:rPr>
              <w:t>Huéspedes a captar</w:t>
            </w:r>
            <w:proofErr w:type="gramEnd"/>
            <w:r w:rsidRPr="006C3B83">
              <w:rPr>
                <w:rFonts w:ascii="Times New Roman" w:hAnsi="Times New Roman" w:cs="Times New Roman"/>
                <w:b/>
                <w:bCs/>
                <w:color w:val="000000"/>
              </w:rPr>
              <w:t xml:space="preserve"> por producto herpetológico</w:t>
            </w:r>
          </w:p>
        </w:tc>
        <w:tc>
          <w:tcPr>
            <w:tcW w:w="1276" w:type="dxa"/>
            <w:tcBorders>
              <w:top w:val="nil"/>
              <w:left w:val="nil"/>
              <w:bottom w:val="single" w:sz="4" w:space="0" w:color="auto"/>
              <w:right w:val="single" w:sz="4" w:space="0" w:color="auto"/>
            </w:tcBorders>
            <w:shd w:val="clear" w:color="auto" w:fill="auto"/>
            <w:noWrap/>
            <w:vAlign w:val="bottom"/>
            <w:hideMark/>
          </w:tcPr>
          <w:p w14:paraId="6FD26AD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132</w:t>
            </w:r>
          </w:p>
        </w:tc>
        <w:tc>
          <w:tcPr>
            <w:tcW w:w="1276" w:type="dxa"/>
            <w:tcBorders>
              <w:top w:val="nil"/>
              <w:left w:val="nil"/>
              <w:bottom w:val="single" w:sz="4" w:space="0" w:color="auto"/>
              <w:right w:val="single" w:sz="4" w:space="0" w:color="auto"/>
            </w:tcBorders>
            <w:shd w:val="clear" w:color="auto" w:fill="auto"/>
            <w:noWrap/>
            <w:vAlign w:val="bottom"/>
            <w:hideMark/>
          </w:tcPr>
          <w:p w14:paraId="76594AD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151</w:t>
            </w:r>
          </w:p>
        </w:tc>
        <w:tc>
          <w:tcPr>
            <w:tcW w:w="1276" w:type="dxa"/>
            <w:tcBorders>
              <w:top w:val="nil"/>
              <w:left w:val="nil"/>
              <w:bottom w:val="single" w:sz="4" w:space="0" w:color="auto"/>
              <w:right w:val="single" w:sz="4" w:space="0" w:color="auto"/>
            </w:tcBorders>
            <w:shd w:val="clear" w:color="auto" w:fill="auto"/>
            <w:noWrap/>
            <w:vAlign w:val="bottom"/>
            <w:hideMark/>
          </w:tcPr>
          <w:p w14:paraId="5A97FAE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171</w:t>
            </w:r>
          </w:p>
        </w:tc>
        <w:tc>
          <w:tcPr>
            <w:tcW w:w="1275" w:type="dxa"/>
            <w:tcBorders>
              <w:top w:val="nil"/>
              <w:left w:val="nil"/>
              <w:bottom w:val="single" w:sz="4" w:space="0" w:color="auto"/>
              <w:right w:val="single" w:sz="4" w:space="0" w:color="auto"/>
            </w:tcBorders>
            <w:shd w:val="clear" w:color="auto" w:fill="auto"/>
            <w:noWrap/>
            <w:vAlign w:val="bottom"/>
            <w:hideMark/>
          </w:tcPr>
          <w:p w14:paraId="13808A8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195</w:t>
            </w:r>
          </w:p>
        </w:tc>
        <w:tc>
          <w:tcPr>
            <w:tcW w:w="1311" w:type="dxa"/>
            <w:tcBorders>
              <w:top w:val="nil"/>
              <w:left w:val="nil"/>
              <w:bottom w:val="single" w:sz="4" w:space="0" w:color="auto"/>
              <w:right w:val="single" w:sz="4" w:space="0" w:color="auto"/>
            </w:tcBorders>
            <w:shd w:val="clear" w:color="auto" w:fill="auto"/>
            <w:noWrap/>
            <w:vAlign w:val="bottom"/>
            <w:hideMark/>
          </w:tcPr>
          <w:p w14:paraId="454FB33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221</w:t>
            </w:r>
          </w:p>
        </w:tc>
        <w:tc>
          <w:tcPr>
            <w:tcW w:w="1294" w:type="dxa"/>
            <w:tcBorders>
              <w:top w:val="nil"/>
              <w:left w:val="nil"/>
              <w:bottom w:val="single" w:sz="4" w:space="0" w:color="auto"/>
              <w:right w:val="single" w:sz="4" w:space="0" w:color="auto"/>
            </w:tcBorders>
            <w:shd w:val="clear" w:color="auto" w:fill="auto"/>
            <w:noWrap/>
            <w:vAlign w:val="bottom"/>
            <w:hideMark/>
          </w:tcPr>
          <w:p w14:paraId="1D9A173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870</w:t>
            </w:r>
          </w:p>
        </w:tc>
      </w:tr>
      <w:tr w:rsidR="00D6049F" w:rsidRPr="00D6049F" w14:paraId="292B20B9"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76B9E67"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06A8BC6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6" w:type="dxa"/>
            <w:tcBorders>
              <w:top w:val="nil"/>
              <w:left w:val="nil"/>
              <w:bottom w:val="single" w:sz="4" w:space="0" w:color="auto"/>
              <w:right w:val="single" w:sz="4" w:space="0" w:color="auto"/>
            </w:tcBorders>
            <w:shd w:val="clear" w:color="auto" w:fill="auto"/>
            <w:noWrap/>
            <w:vAlign w:val="bottom"/>
            <w:hideMark/>
          </w:tcPr>
          <w:p w14:paraId="124F520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6" w:type="dxa"/>
            <w:tcBorders>
              <w:top w:val="nil"/>
              <w:left w:val="nil"/>
              <w:bottom w:val="single" w:sz="4" w:space="0" w:color="auto"/>
              <w:right w:val="single" w:sz="4" w:space="0" w:color="auto"/>
            </w:tcBorders>
            <w:shd w:val="clear" w:color="auto" w:fill="auto"/>
            <w:noWrap/>
            <w:vAlign w:val="bottom"/>
            <w:hideMark/>
          </w:tcPr>
          <w:p w14:paraId="080A449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75" w:type="dxa"/>
            <w:tcBorders>
              <w:top w:val="nil"/>
              <w:left w:val="nil"/>
              <w:bottom w:val="single" w:sz="4" w:space="0" w:color="auto"/>
              <w:right w:val="single" w:sz="4" w:space="0" w:color="auto"/>
            </w:tcBorders>
            <w:shd w:val="clear" w:color="auto" w:fill="auto"/>
            <w:noWrap/>
            <w:vAlign w:val="bottom"/>
            <w:hideMark/>
          </w:tcPr>
          <w:p w14:paraId="0CF50B6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311" w:type="dxa"/>
            <w:tcBorders>
              <w:top w:val="nil"/>
              <w:left w:val="nil"/>
              <w:bottom w:val="single" w:sz="4" w:space="0" w:color="auto"/>
              <w:right w:val="single" w:sz="4" w:space="0" w:color="auto"/>
            </w:tcBorders>
            <w:shd w:val="clear" w:color="auto" w:fill="auto"/>
            <w:noWrap/>
            <w:vAlign w:val="bottom"/>
            <w:hideMark/>
          </w:tcPr>
          <w:p w14:paraId="2FC22B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$ 185,00</w:t>
            </w:r>
          </w:p>
        </w:tc>
        <w:tc>
          <w:tcPr>
            <w:tcW w:w="1294" w:type="dxa"/>
            <w:tcBorders>
              <w:top w:val="nil"/>
              <w:left w:val="nil"/>
              <w:bottom w:val="single" w:sz="4" w:space="0" w:color="auto"/>
              <w:right w:val="single" w:sz="4" w:space="0" w:color="auto"/>
            </w:tcBorders>
            <w:shd w:val="clear" w:color="auto" w:fill="auto"/>
            <w:noWrap/>
            <w:vAlign w:val="bottom"/>
            <w:hideMark/>
          </w:tcPr>
          <w:p w14:paraId="46FE69B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$ 925,00</w:t>
            </w:r>
          </w:p>
        </w:tc>
      </w:tr>
      <w:tr w:rsidR="00D6049F" w:rsidRPr="00D6049F" w14:paraId="511D2D5A"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693215C" w14:textId="77777777" w:rsidR="00D6049F" w:rsidRPr="006C3B83" w:rsidRDefault="00D6049F" w:rsidP="00D6049F">
            <w:pPr>
              <w:spacing w:after="120" w:line="240" w:lineRule="auto"/>
              <w:rPr>
                <w:rFonts w:ascii="Times New Roman" w:hAnsi="Times New Roman" w:cs="Times New Roman"/>
                <w:b/>
                <w:bCs/>
                <w:color w:val="000000"/>
              </w:rPr>
            </w:pPr>
            <w:proofErr w:type="gramStart"/>
            <w:r w:rsidRPr="006C3B83">
              <w:rPr>
                <w:rFonts w:ascii="Times New Roman" w:hAnsi="Times New Roman" w:cs="Times New Roman"/>
                <w:b/>
                <w:bCs/>
                <w:color w:val="000000"/>
              </w:rPr>
              <w:t>Sub total</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0573C38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$ 24.420,00</w:t>
            </w:r>
          </w:p>
        </w:tc>
        <w:tc>
          <w:tcPr>
            <w:tcW w:w="1276" w:type="dxa"/>
            <w:tcBorders>
              <w:top w:val="nil"/>
              <w:left w:val="nil"/>
              <w:bottom w:val="single" w:sz="4" w:space="0" w:color="auto"/>
              <w:right w:val="single" w:sz="4" w:space="0" w:color="auto"/>
            </w:tcBorders>
            <w:shd w:val="clear" w:color="auto" w:fill="auto"/>
            <w:noWrap/>
            <w:vAlign w:val="bottom"/>
            <w:hideMark/>
          </w:tcPr>
          <w:p w14:paraId="4521DF4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$ 27.935,00</w:t>
            </w:r>
          </w:p>
        </w:tc>
        <w:tc>
          <w:tcPr>
            <w:tcW w:w="1276" w:type="dxa"/>
            <w:tcBorders>
              <w:top w:val="nil"/>
              <w:left w:val="nil"/>
              <w:bottom w:val="single" w:sz="4" w:space="0" w:color="auto"/>
              <w:right w:val="single" w:sz="4" w:space="0" w:color="auto"/>
            </w:tcBorders>
            <w:shd w:val="clear" w:color="auto" w:fill="auto"/>
            <w:noWrap/>
            <w:vAlign w:val="bottom"/>
            <w:hideMark/>
          </w:tcPr>
          <w:p w14:paraId="3F7E6AB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$ 31.635,00</w:t>
            </w:r>
          </w:p>
        </w:tc>
        <w:tc>
          <w:tcPr>
            <w:tcW w:w="1275" w:type="dxa"/>
            <w:tcBorders>
              <w:top w:val="nil"/>
              <w:left w:val="nil"/>
              <w:bottom w:val="single" w:sz="4" w:space="0" w:color="auto"/>
              <w:right w:val="single" w:sz="4" w:space="0" w:color="auto"/>
            </w:tcBorders>
            <w:shd w:val="clear" w:color="auto" w:fill="auto"/>
            <w:noWrap/>
            <w:vAlign w:val="bottom"/>
            <w:hideMark/>
          </w:tcPr>
          <w:p w14:paraId="6FD1183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$ 36.075,00</w:t>
            </w:r>
          </w:p>
        </w:tc>
        <w:tc>
          <w:tcPr>
            <w:tcW w:w="1311" w:type="dxa"/>
            <w:tcBorders>
              <w:top w:val="nil"/>
              <w:left w:val="nil"/>
              <w:bottom w:val="single" w:sz="4" w:space="0" w:color="auto"/>
              <w:right w:val="single" w:sz="4" w:space="0" w:color="auto"/>
            </w:tcBorders>
            <w:shd w:val="clear" w:color="auto" w:fill="auto"/>
            <w:noWrap/>
            <w:vAlign w:val="bottom"/>
            <w:hideMark/>
          </w:tcPr>
          <w:p w14:paraId="4399F99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$ 40.885,00</w:t>
            </w:r>
          </w:p>
        </w:tc>
        <w:tc>
          <w:tcPr>
            <w:tcW w:w="1294" w:type="dxa"/>
            <w:tcBorders>
              <w:top w:val="nil"/>
              <w:left w:val="nil"/>
              <w:bottom w:val="single" w:sz="4" w:space="0" w:color="auto"/>
              <w:right w:val="single" w:sz="4" w:space="0" w:color="auto"/>
            </w:tcBorders>
            <w:shd w:val="clear" w:color="auto" w:fill="auto"/>
            <w:noWrap/>
            <w:vAlign w:val="bottom"/>
            <w:hideMark/>
          </w:tcPr>
          <w:p w14:paraId="05094EB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160950</w:t>
            </w:r>
          </w:p>
        </w:tc>
      </w:tr>
      <w:tr w:rsidR="00D6049F" w:rsidRPr="00D6049F" w14:paraId="42A3D969"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6761A6FE"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Huéspedes que recibe normalmente (proyectado)</w:t>
            </w:r>
          </w:p>
        </w:tc>
        <w:tc>
          <w:tcPr>
            <w:tcW w:w="1276" w:type="dxa"/>
            <w:tcBorders>
              <w:top w:val="nil"/>
              <w:left w:val="nil"/>
              <w:bottom w:val="single" w:sz="4" w:space="0" w:color="auto"/>
              <w:right w:val="single" w:sz="4" w:space="0" w:color="auto"/>
            </w:tcBorders>
            <w:shd w:val="clear" w:color="auto" w:fill="auto"/>
            <w:noWrap/>
            <w:vAlign w:val="bottom"/>
            <w:hideMark/>
          </w:tcPr>
          <w:p w14:paraId="28503B3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74</w:t>
            </w:r>
          </w:p>
        </w:tc>
        <w:tc>
          <w:tcPr>
            <w:tcW w:w="1276" w:type="dxa"/>
            <w:tcBorders>
              <w:top w:val="nil"/>
              <w:left w:val="nil"/>
              <w:bottom w:val="single" w:sz="4" w:space="0" w:color="auto"/>
              <w:right w:val="single" w:sz="4" w:space="0" w:color="auto"/>
            </w:tcBorders>
            <w:shd w:val="clear" w:color="auto" w:fill="auto"/>
            <w:noWrap/>
            <w:vAlign w:val="bottom"/>
            <w:hideMark/>
          </w:tcPr>
          <w:p w14:paraId="28FB5CE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77</w:t>
            </w:r>
          </w:p>
        </w:tc>
        <w:tc>
          <w:tcPr>
            <w:tcW w:w="1276" w:type="dxa"/>
            <w:tcBorders>
              <w:top w:val="nil"/>
              <w:left w:val="nil"/>
              <w:bottom w:val="single" w:sz="4" w:space="0" w:color="auto"/>
              <w:right w:val="single" w:sz="4" w:space="0" w:color="auto"/>
            </w:tcBorders>
            <w:shd w:val="clear" w:color="auto" w:fill="auto"/>
            <w:noWrap/>
            <w:vAlign w:val="bottom"/>
            <w:hideMark/>
          </w:tcPr>
          <w:p w14:paraId="4E27FA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81</w:t>
            </w:r>
          </w:p>
        </w:tc>
        <w:tc>
          <w:tcPr>
            <w:tcW w:w="1275" w:type="dxa"/>
            <w:tcBorders>
              <w:top w:val="nil"/>
              <w:left w:val="nil"/>
              <w:bottom w:val="single" w:sz="4" w:space="0" w:color="auto"/>
              <w:right w:val="single" w:sz="4" w:space="0" w:color="auto"/>
            </w:tcBorders>
            <w:shd w:val="clear" w:color="auto" w:fill="auto"/>
            <w:noWrap/>
            <w:vAlign w:val="bottom"/>
            <w:hideMark/>
          </w:tcPr>
          <w:p w14:paraId="6EB4D47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85</w:t>
            </w:r>
          </w:p>
        </w:tc>
        <w:tc>
          <w:tcPr>
            <w:tcW w:w="1311" w:type="dxa"/>
            <w:tcBorders>
              <w:top w:val="nil"/>
              <w:left w:val="nil"/>
              <w:bottom w:val="single" w:sz="4" w:space="0" w:color="auto"/>
              <w:right w:val="single" w:sz="4" w:space="0" w:color="auto"/>
            </w:tcBorders>
            <w:shd w:val="clear" w:color="auto" w:fill="auto"/>
            <w:noWrap/>
            <w:vAlign w:val="bottom"/>
            <w:hideMark/>
          </w:tcPr>
          <w:p w14:paraId="2A48478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89</w:t>
            </w:r>
          </w:p>
        </w:tc>
        <w:tc>
          <w:tcPr>
            <w:tcW w:w="1294" w:type="dxa"/>
            <w:tcBorders>
              <w:top w:val="nil"/>
              <w:left w:val="nil"/>
              <w:bottom w:val="single" w:sz="4" w:space="0" w:color="auto"/>
              <w:right w:val="single" w:sz="4" w:space="0" w:color="auto"/>
            </w:tcBorders>
            <w:shd w:val="clear" w:color="auto" w:fill="auto"/>
            <w:noWrap/>
            <w:vAlign w:val="bottom"/>
            <w:hideMark/>
          </w:tcPr>
          <w:p w14:paraId="31EBEB0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406</w:t>
            </w:r>
          </w:p>
        </w:tc>
      </w:tr>
      <w:tr w:rsidR="00D6049F" w:rsidRPr="00D6049F" w14:paraId="4C0D9476"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2D86CA2"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63CC545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6" w:type="dxa"/>
            <w:tcBorders>
              <w:top w:val="nil"/>
              <w:left w:val="nil"/>
              <w:bottom w:val="single" w:sz="4" w:space="0" w:color="auto"/>
              <w:right w:val="single" w:sz="4" w:space="0" w:color="auto"/>
            </w:tcBorders>
            <w:shd w:val="clear" w:color="auto" w:fill="auto"/>
            <w:noWrap/>
            <w:vAlign w:val="bottom"/>
            <w:hideMark/>
          </w:tcPr>
          <w:p w14:paraId="30CDB254"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6" w:type="dxa"/>
            <w:tcBorders>
              <w:top w:val="nil"/>
              <w:left w:val="nil"/>
              <w:bottom w:val="single" w:sz="4" w:space="0" w:color="auto"/>
              <w:right w:val="single" w:sz="4" w:space="0" w:color="auto"/>
            </w:tcBorders>
            <w:shd w:val="clear" w:color="auto" w:fill="auto"/>
            <w:noWrap/>
            <w:vAlign w:val="bottom"/>
            <w:hideMark/>
          </w:tcPr>
          <w:p w14:paraId="5E3F16F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75" w:type="dxa"/>
            <w:tcBorders>
              <w:top w:val="nil"/>
              <w:left w:val="nil"/>
              <w:bottom w:val="single" w:sz="4" w:space="0" w:color="auto"/>
              <w:right w:val="single" w:sz="4" w:space="0" w:color="auto"/>
            </w:tcBorders>
            <w:shd w:val="clear" w:color="auto" w:fill="auto"/>
            <w:noWrap/>
            <w:vAlign w:val="bottom"/>
            <w:hideMark/>
          </w:tcPr>
          <w:p w14:paraId="35618C8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311" w:type="dxa"/>
            <w:tcBorders>
              <w:top w:val="nil"/>
              <w:left w:val="nil"/>
              <w:bottom w:val="single" w:sz="4" w:space="0" w:color="auto"/>
              <w:right w:val="single" w:sz="4" w:space="0" w:color="auto"/>
            </w:tcBorders>
            <w:shd w:val="clear" w:color="auto" w:fill="auto"/>
            <w:noWrap/>
            <w:vAlign w:val="bottom"/>
            <w:hideMark/>
          </w:tcPr>
          <w:p w14:paraId="7A59D03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$ 80,00</w:t>
            </w:r>
          </w:p>
        </w:tc>
        <w:tc>
          <w:tcPr>
            <w:tcW w:w="1294" w:type="dxa"/>
            <w:tcBorders>
              <w:top w:val="nil"/>
              <w:left w:val="nil"/>
              <w:bottom w:val="single" w:sz="4" w:space="0" w:color="auto"/>
              <w:right w:val="single" w:sz="4" w:space="0" w:color="auto"/>
            </w:tcBorders>
            <w:shd w:val="clear" w:color="auto" w:fill="auto"/>
            <w:noWrap/>
            <w:vAlign w:val="bottom"/>
            <w:hideMark/>
          </w:tcPr>
          <w:p w14:paraId="6296BE4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400</w:t>
            </w:r>
          </w:p>
        </w:tc>
      </w:tr>
      <w:tr w:rsidR="00D6049F" w:rsidRPr="00D6049F" w14:paraId="1D3CF2A4"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0054C55" w14:textId="77777777" w:rsidR="00D6049F" w:rsidRPr="006C3B83" w:rsidRDefault="00D6049F" w:rsidP="00D6049F">
            <w:pPr>
              <w:spacing w:after="120" w:line="240" w:lineRule="auto"/>
              <w:rPr>
                <w:rFonts w:ascii="Times New Roman" w:hAnsi="Times New Roman" w:cs="Times New Roman"/>
                <w:b/>
                <w:bCs/>
                <w:color w:val="000000"/>
              </w:rPr>
            </w:pPr>
            <w:proofErr w:type="gramStart"/>
            <w:r w:rsidRPr="006C3B83">
              <w:rPr>
                <w:rFonts w:ascii="Times New Roman" w:hAnsi="Times New Roman" w:cs="Times New Roman"/>
                <w:b/>
                <w:bCs/>
                <w:color w:val="000000"/>
              </w:rPr>
              <w:t>Sub total</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264E2E13"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$ 5.920,00</w:t>
            </w:r>
          </w:p>
        </w:tc>
        <w:tc>
          <w:tcPr>
            <w:tcW w:w="1276" w:type="dxa"/>
            <w:tcBorders>
              <w:top w:val="nil"/>
              <w:left w:val="nil"/>
              <w:bottom w:val="single" w:sz="4" w:space="0" w:color="auto"/>
              <w:right w:val="single" w:sz="4" w:space="0" w:color="auto"/>
            </w:tcBorders>
            <w:shd w:val="clear" w:color="auto" w:fill="auto"/>
            <w:noWrap/>
            <w:vAlign w:val="bottom"/>
            <w:hideMark/>
          </w:tcPr>
          <w:p w14:paraId="204A568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$ 6.160,00</w:t>
            </w:r>
          </w:p>
        </w:tc>
        <w:tc>
          <w:tcPr>
            <w:tcW w:w="1276" w:type="dxa"/>
            <w:tcBorders>
              <w:top w:val="nil"/>
              <w:left w:val="nil"/>
              <w:bottom w:val="single" w:sz="4" w:space="0" w:color="auto"/>
              <w:right w:val="single" w:sz="4" w:space="0" w:color="auto"/>
            </w:tcBorders>
            <w:shd w:val="clear" w:color="auto" w:fill="auto"/>
            <w:noWrap/>
            <w:vAlign w:val="bottom"/>
            <w:hideMark/>
          </w:tcPr>
          <w:p w14:paraId="5EE6921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$ 6.480,00</w:t>
            </w:r>
          </w:p>
        </w:tc>
        <w:tc>
          <w:tcPr>
            <w:tcW w:w="1275" w:type="dxa"/>
            <w:tcBorders>
              <w:top w:val="nil"/>
              <w:left w:val="nil"/>
              <w:bottom w:val="single" w:sz="4" w:space="0" w:color="auto"/>
              <w:right w:val="single" w:sz="4" w:space="0" w:color="auto"/>
            </w:tcBorders>
            <w:shd w:val="clear" w:color="auto" w:fill="auto"/>
            <w:noWrap/>
            <w:vAlign w:val="bottom"/>
            <w:hideMark/>
          </w:tcPr>
          <w:p w14:paraId="4E808C9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$ 6.800,00</w:t>
            </w:r>
          </w:p>
        </w:tc>
        <w:tc>
          <w:tcPr>
            <w:tcW w:w="1311" w:type="dxa"/>
            <w:tcBorders>
              <w:top w:val="nil"/>
              <w:left w:val="nil"/>
              <w:bottom w:val="single" w:sz="4" w:space="0" w:color="auto"/>
              <w:right w:val="single" w:sz="4" w:space="0" w:color="auto"/>
            </w:tcBorders>
            <w:shd w:val="clear" w:color="auto" w:fill="auto"/>
            <w:noWrap/>
            <w:vAlign w:val="bottom"/>
            <w:hideMark/>
          </w:tcPr>
          <w:p w14:paraId="349F960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$ 7.120,00</w:t>
            </w:r>
          </w:p>
        </w:tc>
        <w:tc>
          <w:tcPr>
            <w:tcW w:w="1294" w:type="dxa"/>
            <w:tcBorders>
              <w:top w:val="nil"/>
              <w:left w:val="nil"/>
              <w:bottom w:val="single" w:sz="4" w:space="0" w:color="auto"/>
              <w:right w:val="single" w:sz="4" w:space="0" w:color="auto"/>
            </w:tcBorders>
            <w:shd w:val="clear" w:color="auto" w:fill="auto"/>
            <w:noWrap/>
            <w:vAlign w:val="bottom"/>
            <w:hideMark/>
          </w:tcPr>
          <w:p w14:paraId="694BD526"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32480</w:t>
            </w:r>
          </w:p>
        </w:tc>
      </w:tr>
      <w:tr w:rsidR="00D6049F" w:rsidRPr="00D6049F" w14:paraId="72F873F3"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6353D44"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Compra de artesanías</w:t>
            </w:r>
          </w:p>
        </w:tc>
        <w:tc>
          <w:tcPr>
            <w:tcW w:w="1276" w:type="dxa"/>
            <w:tcBorders>
              <w:top w:val="nil"/>
              <w:left w:val="nil"/>
              <w:bottom w:val="single" w:sz="4" w:space="0" w:color="auto"/>
              <w:right w:val="single" w:sz="4" w:space="0" w:color="auto"/>
            </w:tcBorders>
            <w:shd w:val="clear" w:color="auto" w:fill="auto"/>
            <w:noWrap/>
            <w:vAlign w:val="bottom"/>
            <w:hideMark/>
          </w:tcPr>
          <w:p w14:paraId="037C42AF"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14:paraId="5116D30B"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27</w:t>
            </w:r>
          </w:p>
        </w:tc>
        <w:tc>
          <w:tcPr>
            <w:tcW w:w="1276" w:type="dxa"/>
            <w:tcBorders>
              <w:top w:val="nil"/>
              <w:left w:val="nil"/>
              <w:bottom w:val="single" w:sz="4" w:space="0" w:color="auto"/>
              <w:right w:val="single" w:sz="4" w:space="0" w:color="auto"/>
            </w:tcBorders>
            <w:shd w:val="clear" w:color="auto" w:fill="auto"/>
            <w:noWrap/>
            <w:vAlign w:val="bottom"/>
            <w:hideMark/>
          </w:tcPr>
          <w:p w14:paraId="73AB31E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29</w:t>
            </w:r>
          </w:p>
        </w:tc>
        <w:tc>
          <w:tcPr>
            <w:tcW w:w="1275" w:type="dxa"/>
            <w:tcBorders>
              <w:top w:val="nil"/>
              <w:left w:val="nil"/>
              <w:bottom w:val="single" w:sz="4" w:space="0" w:color="auto"/>
              <w:right w:val="single" w:sz="4" w:space="0" w:color="auto"/>
            </w:tcBorders>
            <w:shd w:val="clear" w:color="auto" w:fill="auto"/>
            <w:noWrap/>
            <w:vAlign w:val="bottom"/>
            <w:hideMark/>
          </w:tcPr>
          <w:p w14:paraId="09A71E47"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31</w:t>
            </w:r>
          </w:p>
        </w:tc>
        <w:tc>
          <w:tcPr>
            <w:tcW w:w="1311" w:type="dxa"/>
            <w:tcBorders>
              <w:top w:val="nil"/>
              <w:left w:val="nil"/>
              <w:bottom w:val="single" w:sz="4" w:space="0" w:color="auto"/>
              <w:right w:val="single" w:sz="4" w:space="0" w:color="auto"/>
            </w:tcBorders>
            <w:shd w:val="clear" w:color="auto" w:fill="auto"/>
            <w:noWrap/>
            <w:vAlign w:val="bottom"/>
            <w:hideMark/>
          </w:tcPr>
          <w:p w14:paraId="6B4140D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33</w:t>
            </w:r>
          </w:p>
        </w:tc>
        <w:tc>
          <w:tcPr>
            <w:tcW w:w="1294" w:type="dxa"/>
            <w:tcBorders>
              <w:top w:val="nil"/>
              <w:left w:val="nil"/>
              <w:bottom w:val="single" w:sz="4" w:space="0" w:color="auto"/>
              <w:right w:val="single" w:sz="4" w:space="0" w:color="auto"/>
            </w:tcBorders>
            <w:shd w:val="clear" w:color="auto" w:fill="auto"/>
            <w:noWrap/>
            <w:vAlign w:val="bottom"/>
            <w:hideMark/>
          </w:tcPr>
          <w:p w14:paraId="41624B8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145</w:t>
            </w:r>
          </w:p>
        </w:tc>
      </w:tr>
      <w:tr w:rsidR="00D6049F" w:rsidRPr="00D6049F" w14:paraId="7C09E755" w14:textId="77777777" w:rsidTr="005F50CF">
        <w:trPr>
          <w:trHeight w:val="264"/>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0851F6C"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Precio de mercado </w:t>
            </w:r>
          </w:p>
        </w:tc>
        <w:tc>
          <w:tcPr>
            <w:tcW w:w="1276" w:type="dxa"/>
            <w:tcBorders>
              <w:top w:val="nil"/>
              <w:left w:val="nil"/>
              <w:bottom w:val="single" w:sz="4" w:space="0" w:color="auto"/>
              <w:right w:val="single" w:sz="4" w:space="0" w:color="auto"/>
            </w:tcBorders>
            <w:shd w:val="clear" w:color="auto" w:fill="auto"/>
            <w:noWrap/>
            <w:vAlign w:val="bottom"/>
            <w:hideMark/>
          </w:tcPr>
          <w:p w14:paraId="4E134CA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6" w:type="dxa"/>
            <w:tcBorders>
              <w:top w:val="nil"/>
              <w:left w:val="nil"/>
              <w:bottom w:val="single" w:sz="4" w:space="0" w:color="auto"/>
              <w:right w:val="single" w:sz="4" w:space="0" w:color="auto"/>
            </w:tcBorders>
            <w:shd w:val="clear" w:color="auto" w:fill="auto"/>
            <w:noWrap/>
            <w:vAlign w:val="bottom"/>
            <w:hideMark/>
          </w:tcPr>
          <w:p w14:paraId="5571458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6" w:type="dxa"/>
            <w:tcBorders>
              <w:top w:val="nil"/>
              <w:left w:val="nil"/>
              <w:bottom w:val="single" w:sz="4" w:space="0" w:color="auto"/>
              <w:right w:val="single" w:sz="4" w:space="0" w:color="auto"/>
            </w:tcBorders>
            <w:shd w:val="clear" w:color="auto" w:fill="auto"/>
            <w:noWrap/>
            <w:vAlign w:val="bottom"/>
            <w:hideMark/>
          </w:tcPr>
          <w:p w14:paraId="75859DE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75" w:type="dxa"/>
            <w:tcBorders>
              <w:top w:val="nil"/>
              <w:left w:val="nil"/>
              <w:bottom w:val="single" w:sz="4" w:space="0" w:color="auto"/>
              <w:right w:val="single" w:sz="4" w:space="0" w:color="auto"/>
            </w:tcBorders>
            <w:shd w:val="clear" w:color="auto" w:fill="auto"/>
            <w:noWrap/>
            <w:vAlign w:val="bottom"/>
            <w:hideMark/>
          </w:tcPr>
          <w:p w14:paraId="2208119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311" w:type="dxa"/>
            <w:tcBorders>
              <w:top w:val="nil"/>
              <w:left w:val="nil"/>
              <w:bottom w:val="single" w:sz="4" w:space="0" w:color="auto"/>
              <w:right w:val="single" w:sz="4" w:space="0" w:color="auto"/>
            </w:tcBorders>
            <w:shd w:val="clear" w:color="auto" w:fill="auto"/>
            <w:noWrap/>
            <w:vAlign w:val="bottom"/>
            <w:hideMark/>
          </w:tcPr>
          <w:p w14:paraId="2A97CA2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$ 10,00</w:t>
            </w:r>
          </w:p>
        </w:tc>
        <w:tc>
          <w:tcPr>
            <w:tcW w:w="1294" w:type="dxa"/>
            <w:tcBorders>
              <w:top w:val="nil"/>
              <w:left w:val="nil"/>
              <w:bottom w:val="single" w:sz="4" w:space="0" w:color="auto"/>
              <w:right w:val="single" w:sz="4" w:space="0" w:color="auto"/>
            </w:tcBorders>
            <w:shd w:val="clear" w:color="auto" w:fill="auto"/>
            <w:noWrap/>
            <w:vAlign w:val="bottom"/>
            <w:hideMark/>
          </w:tcPr>
          <w:p w14:paraId="1C336DD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50</w:t>
            </w:r>
          </w:p>
        </w:tc>
      </w:tr>
      <w:tr w:rsidR="00D6049F" w:rsidRPr="00D6049F" w14:paraId="0C4547E0"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22FCAF5A" w14:textId="77777777" w:rsidR="00D6049F" w:rsidRPr="006C3B83" w:rsidRDefault="00D6049F" w:rsidP="00D6049F">
            <w:pPr>
              <w:spacing w:after="120" w:line="240" w:lineRule="auto"/>
              <w:rPr>
                <w:rFonts w:ascii="Times New Roman" w:hAnsi="Times New Roman" w:cs="Times New Roman"/>
                <w:b/>
                <w:bCs/>
                <w:color w:val="000000"/>
              </w:rPr>
            </w:pPr>
            <w:proofErr w:type="gramStart"/>
            <w:r w:rsidRPr="006C3B83">
              <w:rPr>
                <w:rFonts w:ascii="Times New Roman" w:hAnsi="Times New Roman" w:cs="Times New Roman"/>
                <w:b/>
                <w:bCs/>
                <w:color w:val="000000"/>
              </w:rPr>
              <w:t>Sub total</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52DFD2C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$ 250,00</w:t>
            </w:r>
          </w:p>
        </w:tc>
        <w:tc>
          <w:tcPr>
            <w:tcW w:w="1276" w:type="dxa"/>
            <w:tcBorders>
              <w:top w:val="nil"/>
              <w:left w:val="nil"/>
              <w:bottom w:val="single" w:sz="4" w:space="0" w:color="auto"/>
              <w:right w:val="single" w:sz="4" w:space="0" w:color="auto"/>
            </w:tcBorders>
            <w:shd w:val="clear" w:color="auto" w:fill="auto"/>
            <w:noWrap/>
            <w:vAlign w:val="bottom"/>
            <w:hideMark/>
          </w:tcPr>
          <w:p w14:paraId="6FA525C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$ 270,00</w:t>
            </w:r>
          </w:p>
        </w:tc>
        <w:tc>
          <w:tcPr>
            <w:tcW w:w="1276" w:type="dxa"/>
            <w:tcBorders>
              <w:top w:val="nil"/>
              <w:left w:val="nil"/>
              <w:bottom w:val="single" w:sz="4" w:space="0" w:color="auto"/>
              <w:right w:val="single" w:sz="4" w:space="0" w:color="auto"/>
            </w:tcBorders>
            <w:shd w:val="clear" w:color="auto" w:fill="auto"/>
            <w:noWrap/>
            <w:vAlign w:val="bottom"/>
            <w:hideMark/>
          </w:tcPr>
          <w:p w14:paraId="2DA64FA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$ 290,00</w:t>
            </w:r>
          </w:p>
        </w:tc>
        <w:tc>
          <w:tcPr>
            <w:tcW w:w="1275" w:type="dxa"/>
            <w:tcBorders>
              <w:top w:val="nil"/>
              <w:left w:val="nil"/>
              <w:bottom w:val="single" w:sz="4" w:space="0" w:color="auto"/>
              <w:right w:val="single" w:sz="4" w:space="0" w:color="auto"/>
            </w:tcBorders>
            <w:shd w:val="clear" w:color="auto" w:fill="auto"/>
            <w:noWrap/>
            <w:vAlign w:val="bottom"/>
            <w:hideMark/>
          </w:tcPr>
          <w:p w14:paraId="604B95B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$ 310,00</w:t>
            </w:r>
          </w:p>
        </w:tc>
        <w:tc>
          <w:tcPr>
            <w:tcW w:w="1311" w:type="dxa"/>
            <w:tcBorders>
              <w:top w:val="nil"/>
              <w:left w:val="nil"/>
              <w:bottom w:val="single" w:sz="4" w:space="0" w:color="auto"/>
              <w:right w:val="single" w:sz="4" w:space="0" w:color="auto"/>
            </w:tcBorders>
            <w:shd w:val="clear" w:color="auto" w:fill="auto"/>
            <w:noWrap/>
            <w:vAlign w:val="bottom"/>
            <w:hideMark/>
          </w:tcPr>
          <w:p w14:paraId="4EBB363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$ 330,00</w:t>
            </w:r>
          </w:p>
        </w:tc>
        <w:tc>
          <w:tcPr>
            <w:tcW w:w="1294" w:type="dxa"/>
            <w:tcBorders>
              <w:top w:val="nil"/>
              <w:left w:val="nil"/>
              <w:bottom w:val="single" w:sz="4" w:space="0" w:color="auto"/>
              <w:right w:val="single" w:sz="4" w:space="0" w:color="auto"/>
            </w:tcBorders>
            <w:shd w:val="clear" w:color="auto" w:fill="auto"/>
            <w:noWrap/>
            <w:vAlign w:val="bottom"/>
            <w:hideMark/>
          </w:tcPr>
          <w:p w14:paraId="7F1CBB2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1450</w:t>
            </w:r>
          </w:p>
        </w:tc>
      </w:tr>
      <w:tr w:rsidR="00D6049F" w:rsidRPr="00D6049F" w14:paraId="4B07E009" w14:textId="77777777" w:rsidTr="005F50CF">
        <w:trPr>
          <w:trHeight w:val="71"/>
          <w:jc w:val="center"/>
        </w:trPr>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8E31B8A"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TOTAL</w:t>
            </w:r>
          </w:p>
        </w:tc>
        <w:tc>
          <w:tcPr>
            <w:tcW w:w="1276" w:type="dxa"/>
            <w:tcBorders>
              <w:top w:val="nil"/>
              <w:left w:val="nil"/>
              <w:bottom w:val="single" w:sz="4" w:space="0" w:color="auto"/>
              <w:right w:val="single" w:sz="4" w:space="0" w:color="auto"/>
            </w:tcBorders>
            <w:shd w:val="clear" w:color="auto" w:fill="auto"/>
            <w:noWrap/>
            <w:vAlign w:val="bottom"/>
            <w:hideMark/>
          </w:tcPr>
          <w:p w14:paraId="1BA45BB2"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$ 30.590,00</w:t>
            </w:r>
          </w:p>
        </w:tc>
        <w:tc>
          <w:tcPr>
            <w:tcW w:w="1276" w:type="dxa"/>
            <w:tcBorders>
              <w:top w:val="nil"/>
              <w:left w:val="nil"/>
              <w:bottom w:val="single" w:sz="4" w:space="0" w:color="auto"/>
              <w:right w:val="single" w:sz="4" w:space="0" w:color="auto"/>
            </w:tcBorders>
            <w:shd w:val="clear" w:color="auto" w:fill="auto"/>
            <w:noWrap/>
            <w:vAlign w:val="bottom"/>
            <w:hideMark/>
          </w:tcPr>
          <w:p w14:paraId="0B5E77F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$ 34.365,00</w:t>
            </w:r>
          </w:p>
        </w:tc>
        <w:tc>
          <w:tcPr>
            <w:tcW w:w="1276" w:type="dxa"/>
            <w:tcBorders>
              <w:top w:val="nil"/>
              <w:left w:val="nil"/>
              <w:bottom w:val="single" w:sz="4" w:space="0" w:color="auto"/>
              <w:right w:val="single" w:sz="4" w:space="0" w:color="auto"/>
            </w:tcBorders>
            <w:shd w:val="clear" w:color="auto" w:fill="auto"/>
            <w:noWrap/>
            <w:vAlign w:val="bottom"/>
            <w:hideMark/>
          </w:tcPr>
          <w:p w14:paraId="422DBA7D"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$ 38.405,00</w:t>
            </w:r>
          </w:p>
        </w:tc>
        <w:tc>
          <w:tcPr>
            <w:tcW w:w="1275" w:type="dxa"/>
            <w:tcBorders>
              <w:top w:val="nil"/>
              <w:left w:val="nil"/>
              <w:bottom w:val="single" w:sz="4" w:space="0" w:color="auto"/>
              <w:right w:val="single" w:sz="4" w:space="0" w:color="auto"/>
            </w:tcBorders>
            <w:shd w:val="clear" w:color="auto" w:fill="auto"/>
            <w:noWrap/>
            <w:vAlign w:val="bottom"/>
            <w:hideMark/>
          </w:tcPr>
          <w:p w14:paraId="6F58333C"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$ 43.185,00</w:t>
            </w:r>
          </w:p>
        </w:tc>
        <w:tc>
          <w:tcPr>
            <w:tcW w:w="1311" w:type="dxa"/>
            <w:tcBorders>
              <w:top w:val="nil"/>
              <w:left w:val="nil"/>
              <w:bottom w:val="single" w:sz="4" w:space="0" w:color="auto"/>
              <w:right w:val="single" w:sz="4" w:space="0" w:color="auto"/>
            </w:tcBorders>
            <w:shd w:val="clear" w:color="auto" w:fill="auto"/>
            <w:noWrap/>
            <w:vAlign w:val="bottom"/>
            <w:hideMark/>
          </w:tcPr>
          <w:p w14:paraId="25B27F3B"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$ 48.335,00</w:t>
            </w:r>
          </w:p>
        </w:tc>
        <w:tc>
          <w:tcPr>
            <w:tcW w:w="1294" w:type="dxa"/>
            <w:tcBorders>
              <w:top w:val="nil"/>
              <w:left w:val="nil"/>
              <w:bottom w:val="single" w:sz="4" w:space="0" w:color="auto"/>
              <w:right w:val="single" w:sz="4" w:space="0" w:color="auto"/>
            </w:tcBorders>
            <w:shd w:val="clear" w:color="auto" w:fill="auto"/>
            <w:noWrap/>
            <w:vAlign w:val="bottom"/>
            <w:hideMark/>
          </w:tcPr>
          <w:p w14:paraId="4BC7CCC8"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$ 194.880,00</w:t>
            </w:r>
          </w:p>
        </w:tc>
      </w:tr>
    </w:tbl>
    <w:p w14:paraId="082A88C6" w14:textId="77777777" w:rsid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lastRenderedPageBreak/>
        <w:t>Fuente:</w:t>
      </w:r>
      <w:r w:rsidRPr="00D6049F">
        <w:rPr>
          <w:rFonts w:ascii="Times New Roman" w:hAnsi="Times New Roman" w:cs="Times New Roman"/>
          <w:sz w:val="24"/>
          <w:szCs w:val="24"/>
        </w:rPr>
        <w:t xml:space="preserve"> Elaboración propia</w:t>
      </w:r>
    </w:p>
    <w:p w14:paraId="785859ED" w14:textId="77777777" w:rsidR="005F50CF" w:rsidRPr="00D6049F" w:rsidRDefault="005F50CF" w:rsidP="00D6049F">
      <w:pPr>
        <w:spacing w:after="120" w:line="240" w:lineRule="auto"/>
        <w:jc w:val="center"/>
        <w:rPr>
          <w:rFonts w:ascii="Times New Roman" w:hAnsi="Times New Roman" w:cs="Times New Roman"/>
          <w:sz w:val="24"/>
          <w:szCs w:val="24"/>
        </w:rPr>
      </w:pPr>
    </w:p>
    <w:p w14:paraId="62CDBCB0" w14:textId="77777777" w:rsidR="00D6049F" w:rsidRPr="00D6049F" w:rsidRDefault="00D6049F" w:rsidP="00D6049F">
      <w:pPr>
        <w:spacing w:after="120" w:line="240" w:lineRule="auto"/>
        <w:jc w:val="center"/>
        <w:rPr>
          <w:rFonts w:ascii="Times New Roman" w:hAnsi="Times New Roman" w:cs="Times New Roman"/>
          <w:b/>
          <w:bCs/>
          <w:sz w:val="24"/>
          <w:szCs w:val="24"/>
        </w:rPr>
      </w:pPr>
    </w:p>
    <w:p w14:paraId="09CCA4F3" w14:textId="77777777" w:rsidR="00D6049F" w:rsidRPr="00D6049F" w:rsidRDefault="00D6049F" w:rsidP="00D6049F">
      <w:pPr>
        <w:pStyle w:val="Prrafodelista"/>
        <w:spacing w:after="120" w:line="240" w:lineRule="auto"/>
        <w:ind w:left="0"/>
        <w:contextualSpacing w:val="0"/>
        <w:jc w:val="center"/>
        <w:rPr>
          <w:rFonts w:ascii="Times New Roman" w:hAnsi="Times New Roman" w:cs="Times New Roman"/>
          <w:b/>
          <w:bCs/>
          <w:sz w:val="24"/>
          <w:szCs w:val="24"/>
        </w:rPr>
      </w:pPr>
      <w:r w:rsidRPr="00D6049F">
        <w:rPr>
          <w:rFonts w:ascii="Times New Roman" w:hAnsi="Times New Roman" w:cs="Times New Roman"/>
          <w:b/>
          <w:bCs/>
          <w:sz w:val="24"/>
          <w:szCs w:val="24"/>
        </w:rPr>
        <w:t>Tabla 4.</w:t>
      </w:r>
      <w:r w:rsidRPr="00D6049F">
        <w:rPr>
          <w:rFonts w:ascii="Times New Roman" w:hAnsi="Times New Roman" w:cs="Times New Roman"/>
          <w:sz w:val="24"/>
          <w:szCs w:val="24"/>
        </w:rPr>
        <w:t xml:space="preserve"> Flujo de caja</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560"/>
        <w:gridCol w:w="1371"/>
        <w:gridCol w:w="1418"/>
        <w:gridCol w:w="1321"/>
        <w:gridCol w:w="1261"/>
        <w:gridCol w:w="1371"/>
      </w:tblGrid>
      <w:tr w:rsidR="00D6049F" w:rsidRPr="00D6049F" w14:paraId="373C0E41" w14:textId="77777777" w:rsidTr="005F50CF">
        <w:trPr>
          <w:trHeight w:val="221"/>
          <w:jc w:val="center"/>
        </w:trPr>
        <w:tc>
          <w:tcPr>
            <w:tcW w:w="1417" w:type="dxa"/>
            <w:shd w:val="clear" w:color="auto" w:fill="auto"/>
            <w:noWrap/>
            <w:hideMark/>
          </w:tcPr>
          <w:p w14:paraId="0AE0BF2B"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Denominación</w:t>
            </w:r>
          </w:p>
        </w:tc>
        <w:tc>
          <w:tcPr>
            <w:tcW w:w="1560" w:type="dxa"/>
            <w:shd w:val="clear" w:color="auto" w:fill="auto"/>
            <w:noWrap/>
            <w:hideMark/>
          </w:tcPr>
          <w:p w14:paraId="6B1293A2"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2020</w:t>
            </w:r>
          </w:p>
        </w:tc>
        <w:tc>
          <w:tcPr>
            <w:tcW w:w="1371" w:type="dxa"/>
            <w:shd w:val="clear" w:color="auto" w:fill="auto"/>
            <w:noWrap/>
            <w:hideMark/>
          </w:tcPr>
          <w:p w14:paraId="42B6A4D6"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2021</w:t>
            </w:r>
          </w:p>
        </w:tc>
        <w:tc>
          <w:tcPr>
            <w:tcW w:w="1418" w:type="dxa"/>
            <w:shd w:val="clear" w:color="auto" w:fill="auto"/>
            <w:noWrap/>
            <w:hideMark/>
          </w:tcPr>
          <w:p w14:paraId="73DE90A9"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2022</w:t>
            </w:r>
          </w:p>
        </w:tc>
        <w:tc>
          <w:tcPr>
            <w:tcW w:w="1321" w:type="dxa"/>
            <w:shd w:val="clear" w:color="auto" w:fill="auto"/>
            <w:noWrap/>
            <w:hideMark/>
          </w:tcPr>
          <w:p w14:paraId="3C60AB51"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2023</w:t>
            </w:r>
          </w:p>
        </w:tc>
        <w:tc>
          <w:tcPr>
            <w:tcW w:w="1261" w:type="dxa"/>
            <w:shd w:val="clear" w:color="auto" w:fill="auto"/>
            <w:noWrap/>
            <w:hideMark/>
          </w:tcPr>
          <w:p w14:paraId="63990915"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2024</w:t>
            </w:r>
          </w:p>
        </w:tc>
        <w:tc>
          <w:tcPr>
            <w:tcW w:w="1371" w:type="dxa"/>
            <w:shd w:val="clear" w:color="auto" w:fill="auto"/>
            <w:noWrap/>
            <w:hideMark/>
          </w:tcPr>
          <w:p w14:paraId="00FE4F7D" w14:textId="77777777" w:rsidR="00D6049F" w:rsidRPr="006C3B83" w:rsidRDefault="00D6049F" w:rsidP="00D6049F">
            <w:pPr>
              <w:spacing w:after="120" w:line="240" w:lineRule="auto"/>
              <w:jc w:val="right"/>
              <w:rPr>
                <w:rFonts w:ascii="Times New Roman" w:hAnsi="Times New Roman" w:cs="Times New Roman"/>
                <w:b/>
                <w:bCs/>
                <w:color w:val="000000"/>
              </w:rPr>
            </w:pPr>
            <w:r w:rsidRPr="006C3B83">
              <w:rPr>
                <w:rFonts w:ascii="Times New Roman" w:hAnsi="Times New Roman" w:cs="Times New Roman"/>
                <w:b/>
                <w:bCs/>
                <w:color w:val="000000"/>
              </w:rPr>
              <w:t>2025</w:t>
            </w:r>
          </w:p>
        </w:tc>
      </w:tr>
      <w:tr w:rsidR="00D6049F" w:rsidRPr="00D6049F" w14:paraId="2FDFEFF0" w14:textId="77777777" w:rsidTr="005F50CF">
        <w:trPr>
          <w:trHeight w:val="221"/>
          <w:jc w:val="center"/>
        </w:trPr>
        <w:tc>
          <w:tcPr>
            <w:tcW w:w="1417" w:type="dxa"/>
            <w:shd w:val="clear" w:color="auto" w:fill="auto"/>
            <w:noWrap/>
            <w:hideMark/>
          </w:tcPr>
          <w:p w14:paraId="15FBB506"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xml:space="preserve">Inversiones </w:t>
            </w:r>
          </w:p>
        </w:tc>
        <w:tc>
          <w:tcPr>
            <w:tcW w:w="1560" w:type="dxa"/>
            <w:shd w:val="clear" w:color="auto" w:fill="auto"/>
            <w:noWrap/>
            <w:hideMark/>
          </w:tcPr>
          <w:p w14:paraId="745C6B36" w14:textId="77777777" w:rsidR="00D6049F" w:rsidRPr="006C3B83" w:rsidRDefault="00D6049F" w:rsidP="00D6049F">
            <w:pPr>
              <w:spacing w:after="120" w:line="240" w:lineRule="auto"/>
              <w:jc w:val="right"/>
              <w:rPr>
                <w:rFonts w:ascii="Times New Roman" w:hAnsi="Times New Roman" w:cs="Times New Roman"/>
              </w:rPr>
            </w:pPr>
            <w:r w:rsidRPr="005F50CF">
              <w:rPr>
                <w:rFonts w:ascii="Times New Roman" w:hAnsi="Times New Roman" w:cs="Times New Roman"/>
              </w:rPr>
              <w:t>($ 19.665,36)</w:t>
            </w:r>
          </w:p>
        </w:tc>
        <w:tc>
          <w:tcPr>
            <w:tcW w:w="1371" w:type="dxa"/>
            <w:shd w:val="clear" w:color="auto" w:fill="auto"/>
            <w:noWrap/>
            <w:hideMark/>
          </w:tcPr>
          <w:p w14:paraId="1889F42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418" w:type="dxa"/>
            <w:shd w:val="clear" w:color="auto" w:fill="auto"/>
            <w:noWrap/>
            <w:hideMark/>
          </w:tcPr>
          <w:p w14:paraId="7F672CB0"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21" w:type="dxa"/>
            <w:shd w:val="clear" w:color="auto" w:fill="auto"/>
            <w:noWrap/>
            <w:hideMark/>
          </w:tcPr>
          <w:p w14:paraId="342A5D9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261" w:type="dxa"/>
            <w:shd w:val="clear" w:color="auto" w:fill="auto"/>
            <w:noWrap/>
            <w:hideMark/>
          </w:tcPr>
          <w:p w14:paraId="5854407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333914CE"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r>
      <w:tr w:rsidR="00D6049F" w:rsidRPr="00D6049F" w14:paraId="351D0A89" w14:textId="77777777" w:rsidTr="005F50CF">
        <w:trPr>
          <w:trHeight w:val="221"/>
          <w:jc w:val="center"/>
        </w:trPr>
        <w:tc>
          <w:tcPr>
            <w:tcW w:w="1417" w:type="dxa"/>
            <w:shd w:val="clear" w:color="auto" w:fill="auto"/>
            <w:noWrap/>
            <w:hideMark/>
          </w:tcPr>
          <w:p w14:paraId="3D04A081"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Depreciaciones</w:t>
            </w:r>
          </w:p>
        </w:tc>
        <w:tc>
          <w:tcPr>
            <w:tcW w:w="1560" w:type="dxa"/>
            <w:shd w:val="clear" w:color="auto" w:fill="auto"/>
            <w:noWrap/>
            <w:hideMark/>
          </w:tcPr>
          <w:p w14:paraId="758E584A"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70DE108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418" w:type="dxa"/>
            <w:shd w:val="clear" w:color="auto" w:fill="auto"/>
            <w:noWrap/>
            <w:hideMark/>
          </w:tcPr>
          <w:p w14:paraId="122C2E5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321" w:type="dxa"/>
            <w:shd w:val="clear" w:color="auto" w:fill="auto"/>
            <w:noWrap/>
            <w:hideMark/>
          </w:tcPr>
          <w:p w14:paraId="43FB3EE3"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261" w:type="dxa"/>
            <w:shd w:val="clear" w:color="auto" w:fill="auto"/>
            <w:noWrap/>
            <w:hideMark/>
          </w:tcPr>
          <w:p w14:paraId="18A85E8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c>
          <w:tcPr>
            <w:tcW w:w="1371" w:type="dxa"/>
            <w:shd w:val="clear" w:color="auto" w:fill="auto"/>
            <w:noWrap/>
            <w:hideMark/>
          </w:tcPr>
          <w:p w14:paraId="0E3F7FF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$ 1.244,87</w:t>
            </w:r>
          </w:p>
        </w:tc>
      </w:tr>
      <w:tr w:rsidR="00D6049F" w:rsidRPr="00D6049F" w14:paraId="56C8B35B" w14:textId="77777777" w:rsidTr="005F50CF">
        <w:trPr>
          <w:trHeight w:val="221"/>
          <w:jc w:val="center"/>
        </w:trPr>
        <w:tc>
          <w:tcPr>
            <w:tcW w:w="1417" w:type="dxa"/>
            <w:shd w:val="clear" w:color="auto" w:fill="auto"/>
            <w:noWrap/>
            <w:hideMark/>
          </w:tcPr>
          <w:p w14:paraId="362A0183"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Utilidad neta</w:t>
            </w:r>
          </w:p>
        </w:tc>
        <w:tc>
          <w:tcPr>
            <w:tcW w:w="1560" w:type="dxa"/>
            <w:shd w:val="clear" w:color="auto" w:fill="auto"/>
            <w:noWrap/>
            <w:hideMark/>
          </w:tcPr>
          <w:p w14:paraId="0488CCF8" w14:textId="77777777" w:rsidR="00D6049F" w:rsidRPr="006C3B83" w:rsidRDefault="00D6049F" w:rsidP="00D6049F">
            <w:pPr>
              <w:spacing w:after="120" w:line="240" w:lineRule="auto"/>
              <w:rPr>
                <w:rFonts w:ascii="Times New Roman" w:hAnsi="Times New Roman" w:cs="Times New Roman"/>
                <w:color w:val="000000"/>
              </w:rPr>
            </w:pPr>
            <w:r w:rsidRPr="006C3B83">
              <w:rPr>
                <w:rFonts w:ascii="Times New Roman" w:hAnsi="Times New Roman" w:cs="Times New Roman"/>
                <w:color w:val="000000"/>
              </w:rPr>
              <w:t> </w:t>
            </w:r>
          </w:p>
        </w:tc>
        <w:tc>
          <w:tcPr>
            <w:tcW w:w="1371" w:type="dxa"/>
            <w:shd w:val="clear" w:color="auto" w:fill="auto"/>
            <w:noWrap/>
            <w:hideMark/>
          </w:tcPr>
          <w:p w14:paraId="0F2BF96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$ 13.465,20</w:t>
            </w:r>
          </w:p>
        </w:tc>
        <w:tc>
          <w:tcPr>
            <w:tcW w:w="1418" w:type="dxa"/>
            <w:shd w:val="clear" w:color="auto" w:fill="auto"/>
            <w:noWrap/>
            <w:hideMark/>
          </w:tcPr>
          <w:p w14:paraId="250C67F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$ 15.889,68</w:t>
            </w:r>
          </w:p>
        </w:tc>
        <w:tc>
          <w:tcPr>
            <w:tcW w:w="1321" w:type="dxa"/>
            <w:shd w:val="clear" w:color="auto" w:fill="auto"/>
            <w:noWrap/>
            <w:hideMark/>
          </w:tcPr>
          <w:p w14:paraId="67FD76B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$ 18.477,72</w:t>
            </w:r>
          </w:p>
        </w:tc>
        <w:tc>
          <w:tcPr>
            <w:tcW w:w="1261" w:type="dxa"/>
            <w:shd w:val="clear" w:color="auto" w:fill="auto"/>
            <w:noWrap/>
            <w:hideMark/>
          </w:tcPr>
          <w:p w14:paraId="01C08B0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$ 21.360,56</w:t>
            </w:r>
          </w:p>
        </w:tc>
        <w:tc>
          <w:tcPr>
            <w:tcW w:w="1371" w:type="dxa"/>
            <w:shd w:val="clear" w:color="auto" w:fill="auto"/>
            <w:noWrap/>
            <w:hideMark/>
          </w:tcPr>
          <w:p w14:paraId="52A31E28"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$ 24.473,51</w:t>
            </w:r>
          </w:p>
        </w:tc>
      </w:tr>
      <w:tr w:rsidR="00D6049F" w:rsidRPr="00D6049F" w14:paraId="61D213EE" w14:textId="77777777" w:rsidTr="005F50CF">
        <w:trPr>
          <w:trHeight w:val="221"/>
          <w:jc w:val="center"/>
        </w:trPr>
        <w:tc>
          <w:tcPr>
            <w:tcW w:w="1417" w:type="dxa"/>
            <w:shd w:val="clear" w:color="auto" w:fill="auto"/>
            <w:noWrap/>
            <w:hideMark/>
          </w:tcPr>
          <w:p w14:paraId="6C959E32"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b/>
                <w:bCs/>
                <w:color w:val="000000"/>
              </w:rPr>
              <w:t xml:space="preserve">Flujo de caja </w:t>
            </w:r>
          </w:p>
        </w:tc>
        <w:tc>
          <w:tcPr>
            <w:tcW w:w="1560" w:type="dxa"/>
            <w:shd w:val="clear" w:color="auto" w:fill="auto"/>
            <w:noWrap/>
            <w:hideMark/>
          </w:tcPr>
          <w:p w14:paraId="42E2D2D5"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-$ 19.665,36</w:t>
            </w:r>
          </w:p>
        </w:tc>
        <w:tc>
          <w:tcPr>
            <w:tcW w:w="1371" w:type="dxa"/>
            <w:shd w:val="clear" w:color="auto" w:fill="auto"/>
            <w:noWrap/>
            <w:hideMark/>
          </w:tcPr>
          <w:p w14:paraId="12BF1A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$ 14.710,07</w:t>
            </w:r>
          </w:p>
        </w:tc>
        <w:tc>
          <w:tcPr>
            <w:tcW w:w="1418" w:type="dxa"/>
            <w:shd w:val="clear" w:color="auto" w:fill="auto"/>
            <w:noWrap/>
            <w:hideMark/>
          </w:tcPr>
          <w:p w14:paraId="485B5622"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$ 17.134,55</w:t>
            </w:r>
          </w:p>
        </w:tc>
        <w:tc>
          <w:tcPr>
            <w:tcW w:w="1321" w:type="dxa"/>
            <w:shd w:val="clear" w:color="auto" w:fill="auto"/>
            <w:noWrap/>
            <w:hideMark/>
          </w:tcPr>
          <w:p w14:paraId="73043BE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$ 19.722,59</w:t>
            </w:r>
          </w:p>
        </w:tc>
        <w:tc>
          <w:tcPr>
            <w:tcW w:w="1261" w:type="dxa"/>
            <w:shd w:val="clear" w:color="auto" w:fill="auto"/>
            <w:noWrap/>
            <w:hideMark/>
          </w:tcPr>
          <w:p w14:paraId="047A054D"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$ 22.605,43</w:t>
            </w:r>
          </w:p>
        </w:tc>
        <w:tc>
          <w:tcPr>
            <w:tcW w:w="1371" w:type="dxa"/>
            <w:shd w:val="clear" w:color="auto" w:fill="auto"/>
            <w:noWrap/>
            <w:hideMark/>
          </w:tcPr>
          <w:p w14:paraId="582A177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$ 25.718,38</w:t>
            </w:r>
          </w:p>
        </w:tc>
      </w:tr>
      <w:tr w:rsidR="00D6049F" w:rsidRPr="00D6049F" w14:paraId="190D2449" w14:textId="77777777" w:rsidTr="005F50CF">
        <w:trPr>
          <w:trHeight w:val="221"/>
          <w:jc w:val="center"/>
        </w:trPr>
        <w:tc>
          <w:tcPr>
            <w:tcW w:w="1417" w:type="dxa"/>
            <w:shd w:val="clear" w:color="auto" w:fill="auto"/>
            <w:noWrap/>
            <w:vAlign w:val="bottom"/>
          </w:tcPr>
          <w:p w14:paraId="53536F0C"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color w:val="000000"/>
              </w:rPr>
              <w:t>Factor de actualización</w:t>
            </w:r>
          </w:p>
        </w:tc>
        <w:tc>
          <w:tcPr>
            <w:tcW w:w="1560" w:type="dxa"/>
            <w:shd w:val="clear" w:color="auto" w:fill="auto"/>
            <w:noWrap/>
            <w:vAlign w:val="bottom"/>
          </w:tcPr>
          <w:p w14:paraId="42D7F42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1</w:t>
            </w:r>
          </w:p>
        </w:tc>
        <w:tc>
          <w:tcPr>
            <w:tcW w:w="1371" w:type="dxa"/>
            <w:shd w:val="clear" w:color="auto" w:fill="auto"/>
            <w:noWrap/>
            <w:vAlign w:val="bottom"/>
          </w:tcPr>
          <w:p w14:paraId="71BF53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0,943396226</w:t>
            </w:r>
          </w:p>
        </w:tc>
        <w:tc>
          <w:tcPr>
            <w:tcW w:w="1418" w:type="dxa"/>
            <w:shd w:val="clear" w:color="auto" w:fill="auto"/>
            <w:noWrap/>
            <w:vAlign w:val="bottom"/>
          </w:tcPr>
          <w:p w14:paraId="5401263E"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0,88999644</w:t>
            </w:r>
          </w:p>
        </w:tc>
        <w:tc>
          <w:tcPr>
            <w:tcW w:w="1321" w:type="dxa"/>
            <w:shd w:val="clear" w:color="auto" w:fill="auto"/>
            <w:noWrap/>
            <w:vAlign w:val="bottom"/>
          </w:tcPr>
          <w:p w14:paraId="4B24F429"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0,8396193</w:t>
            </w:r>
          </w:p>
        </w:tc>
        <w:tc>
          <w:tcPr>
            <w:tcW w:w="1261" w:type="dxa"/>
            <w:shd w:val="clear" w:color="auto" w:fill="auto"/>
            <w:noWrap/>
            <w:vAlign w:val="bottom"/>
          </w:tcPr>
          <w:p w14:paraId="63B7A85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0,83961928</w:t>
            </w:r>
          </w:p>
        </w:tc>
        <w:tc>
          <w:tcPr>
            <w:tcW w:w="1371" w:type="dxa"/>
            <w:shd w:val="clear" w:color="auto" w:fill="auto"/>
            <w:noWrap/>
            <w:vAlign w:val="bottom"/>
          </w:tcPr>
          <w:p w14:paraId="17C26E46"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0,839619283</w:t>
            </w:r>
          </w:p>
        </w:tc>
      </w:tr>
      <w:tr w:rsidR="00D6049F" w:rsidRPr="00D6049F" w14:paraId="12189169" w14:textId="77777777" w:rsidTr="005F50CF">
        <w:trPr>
          <w:trHeight w:val="221"/>
          <w:jc w:val="center"/>
        </w:trPr>
        <w:tc>
          <w:tcPr>
            <w:tcW w:w="1417" w:type="dxa"/>
            <w:shd w:val="clear" w:color="auto" w:fill="auto"/>
            <w:noWrap/>
            <w:vAlign w:val="bottom"/>
          </w:tcPr>
          <w:p w14:paraId="2835C87B" w14:textId="77777777" w:rsidR="00D6049F" w:rsidRPr="006C3B83" w:rsidRDefault="00D6049F" w:rsidP="00D6049F">
            <w:pPr>
              <w:spacing w:after="120" w:line="240" w:lineRule="auto"/>
              <w:rPr>
                <w:rFonts w:ascii="Times New Roman" w:hAnsi="Times New Roman" w:cs="Times New Roman"/>
                <w:b/>
                <w:bCs/>
                <w:color w:val="000000"/>
              </w:rPr>
            </w:pPr>
            <w:r w:rsidRPr="006C3B83">
              <w:rPr>
                <w:rFonts w:ascii="Times New Roman" w:hAnsi="Times New Roman" w:cs="Times New Roman"/>
                <w:color w:val="000000"/>
              </w:rPr>
              <w:t>Flujo de caja actualizado</w:t>
            </w:r>
          </w:p>
        </w:tc>
        <w:tc>
          <w:tcPr>
            <w:tcW w:w="1560" w:type="dxa"/>
            <w:shd w:val="clear" w:color="auto" w:fill="auto"/>
            <w:noWrap/>
            <w:vAlign w:val="bottom"/>
          </w:tcPr>
          <w:p w14:paraId="3258E6DC"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-$ 19.665,36</w:t>
            </w:r>
          </w:p>
        </w:tc>
        <w:tc>
          <w:tcPr>
            <w:tcW w:w="1371" w:type="dxa"/>
            <w:shd w:val="clear" w:color="auto" w:fill="auto"/>
            <w:noWrap/>
            <w:vAlign w:val="bottom"/>
          </w:tcPr>
          <w:p w14:paraId="179D470A"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$ 13.877,43</w:t>
            </w:r>
          </w:p>
        </w:tc>
        <w:tc>
          <w:tcPr>
            <w:tcW w:w="1418" w:type="dxa"/>
            <w:shd w:val="clear" w:color="auto" w:fill="auto"/>
            <w:noWrap/>
            <w:vAlign w:val="bottom"/>
          </w:tcPr>
          <w:p w14:paraId="07BAF83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$ 15.249,69</w:t>
            </w:r>
          </w:p>
        </w:tc>
        <w:tc>
          <w:tcPr>
            <w:tcW w:w="1321" w:type="dxa"/>
            <w:shd w:val="clear" w:color="auto" w:fill="auto"/>
            <w:noWrap/>
            <w:vAlign w:val="bottom"/>
          </w:tcPr>
          <w:p w14:paraId="2AD0341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$ 16.559,47</w:t>
            </w:r>
          </w:p>
        </w:tc>
        <w:tc>
          <w:tcPr>
            <w:tcW w:w="1261" w:type="dxa"/>
            <w:shd w:val="clear" w:color="auto" w:fill="auto"/>
            <w:noWrap/>
            <w:vAlign w:val="bottom"/>
          </w:tcPr>
          <w:p w14:paraId="106A0F80"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$ 18.979,95</w:t>
            </w:r>
          </w:p>
        </w:tc>
        <w:tc>
          <w:tcPr>
            <w:tcW w:w="1371" w:type="dxa"/>
            <w:shd w:val="clear" w:color="auto" w:fill="auto"/>
            <w:noWrap/>
            <w:vAlign w:val="bottom"/>
          </w:tcPr>
          <w:p w14:paraId="4FE15221" w14:textId="77777777" w:rsidR="00D6049F" w:rsidRPr="006C3B83" w:rsidRDefault="00D6049F" w:rsidP="00D6049F">
            <w:pPr>
              <w:spacing w:after="120" w:line="240" w:lineRule="auto"/>
              <w:jc w:val="right"/>
              <w:rPr>
                <w:rFonts w:ascii="Times New Roman" w:hAnsi="Times New Roman" w:cs="Times New Roman"/>
                <w:color w:val="000000"/>
              </w:rPr>
            </w:pPr>
            <w:r w:rsidRPr="006C3B83">
              <w:rPr>
                <w:rFonts w:ascii="Times New Roman" w:hAnsi="Times New Roman" w:cs="Times New Roman"/>
                <w:color w:val="000000"/>
              </w:rPr>
              <w:t>$ 21.593,65</w:t>
            </w:r>
          </w:p>
        </w:tc>
      </w:tr>
    </w:tbl>
    <w:p w14:paraId="538F1F51"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34B14CC7" w14:textId="16FADE68" w:rsidR="00D6049F" w:rsidRDefault="00D6049F" w:rsidP="00D6049F">
      <w:pPr>
        <w:spacing w:after="120" w:line="240" w:lineRule="auto"/>
        <w:jc w:val="center"/>
        <w:rPr>
          <w:rFonts w:ascii="Times New Roman" w:hAnsi="Times New Roman" w:cs="Times New Roman"/>
          <w:sz w:val="24"/>
          <w:szCs w:val="24"/>
        </w:rPr>
      </w:pPr>
    </w:p>
    <w:p w14:paraId="3132FF38" w14:textId="77777777" w:rsidR="00EE6E36" w:rsidRPr="00D6049F" w:rsidRDefault="00EE6E36" w:rsidP="00D6049F">
      <w:pPr>
        <w:spacing w:after="120" w:line="240" w:lineRule="auto"/>
        <w:jc w:val="center"/>
        <w:rPr>
          <w:rFonts w:ascii="Times New Roman" w:hAnsi="Times New Roman" w:cs="Times New Roman"/>
          <w:sz w:val="24"/>
          <w:szCs w:val="24"/>
        </w:rPr>
      </w:pPr>
    </w:p>
    <w:p w14:paraId="10DB4CC8" w14:textId="77777777" w:rsidR="00D6049F" w:rsidRPr="00D6049F" w:rsidRDefault="00D6049F" w:rsidP="00D6049F">
      <w:pPr>
        <w:spacing w:after="120" w:line="240" w:lineRule="auto"/>
        <w:ind w:firstLine="709"/>
        <w:jc w:val="center"/>
        <w:rPr>
          <w:rFonts w:ascii="Times New Roman" w:hAnsi="Times New Roman" w:cs="Times New Roman"/>
          <w:sz w:val="24"/>
          <w:szCs w:val="24"/>
        </w:rPr>
      </w:pPr>
      <w:r w:rsidRPr="00D6049F">
        <w:rPr>
          <w:rFonts w:ascii="Times New Roman" w:hAnsi="Times New Roman" w:cs="Times New Roman"/>
          <w:b/>
          <w:bCs/>
          <w:sz w:val="24"/>
          <w:szCs w:val="24"/>
        </w:rPr>
        <w:t>Tabla 4.</w:t>
      </w:r>
      <w:r w:rsidRPr="00D6049F">
        <w:rPr>
          <w:rFonts w:ascii="Times New Roman" w:hAnsi="Times New Roman" w:cs="Times New Roman"/>
          <w:sz w:val="24"/>
          <w:szCs w:val="24"/>
        </w:rPr>
        <w:t xml:space="preserve"> Análisis financiero</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417"/>
        <w:gridCol w:w="4382"/>
      </w:tblGrid>
      <w:tr w:rsidR="00D6049F" w:rsidRPr="00D6049F" w14:paraId="7D940954" w14:textId="77777777" w:rsidTr="00B17B79">
        <w:trPr>
          <w:trHeight w:val="177"/>
          <w:jc w:val="center"/>
        </w:trPr>
        <w:tc>
          <w:tcPr>
            <w:tcW w:w="2689" w:type="dxa"/>
            <w:shd w:val="clear" w:color="auto" w:fill="auto"/>
          </w:tcPr>
          <w:p w14:paraId="481D4A01" w14:textId="77777777" w:rsidR="00D6049F" w:rsidRPr="006C3B83" w:rsidRDefault="00D6049F" w:rsidP="00D6049F">
            <w:pPr>
              <w:spacing w:after="120" w:line="240" w:lineRule="auto"/>
              <w:ind w:firstLine="709"/>
              <w:jc w:val="both"/>
              <w:rPr>
                <w:rFonts w:ascii="Times New Roman" w:eastAsia="Calibri" w:hAnsi="Times New Roman" w:cs="Times New Roman"/>
                <w:b/>
                <w:bCs/>
              </w:rPr>
            </w:pPr>
            <w:r w:rsidRPr="006C3B83">
              <w:rPr>
                <w:rFonts w:ascii="Times New Roman" w:eastAsia="Calibri" w:hAnsi="Times New Roman" w:cs="Times New Roman"/>
                <w:b/>
                <w:bCs/>
              </w:rPr>
              <w:t>INDICADOR</w:t>
            </w:r>
          </w:p>
        </w:tc>
        <w:tc>
          <w:tcPr>
            <w:tcW w:w="1845" w:type="dxa"/>
            <w:shd w:val="clear" w:color="auto" w:fill="auto"/>
          </w:tcPr>
          <w:p w14:paraId="26ACEECB" w14:textId="77777777" w:rsidR="00D6049F" w:rsidRPr="006C3B83" w:rsidRDefault="00D6049F" w:rsidP="00D6049F">
            <w:pPr>
              <w:spacing w:after="120" w:line="240" w:lineRule="auto"/>
              <w:ind w:firstLine="709"/>
              <w:jc w:val="center"/>
              <w:rPr>
                <w:rFonts w:ascii="Times New Roman" w:eastAsia="Calibri" w:hAnsi="Times New Roman" w:cs="Times New Roman"/>
                <w:b/>
                <w:bCs/>
              </w:rPr>
            </w:pPr>
            <w:r w:rsidRPr="006C3B83">
              <w:rPr>
                <w:rFonts w:ascii="Times New Roman" w:eastAsia="Calibri" w:hAnsi="Times New Roman" w:cs="Times New Roman"/>
                <w:b/>
                <w:bCs/>
              </w:rPr>
              <w:t>RESULTADOS</w:t>
            </w:r>
          </w:p>
        </w:tc>
        <w:tc>
          <w:tcPr>
            <w:tcW w:w="4875" w:type="dxa"/>
            <w:shd w:val="clear" w:color="auto" w:fill="auto"/>
          </w:tcPr>
          <w:p w14:paraId="5351A0D6" w14:textId="77777777" w:rsidR="00D6049F" w:rsidRPr="006C3B83" w:rsidRDefault="00D6049F" w:rsidP="00D6049F">
            <w:pPr>
              <w:spacing w:after="120" w:line="240" w:lineRule="auto"/>
              <w:ind w:firstLine="709"/>
              <w:jc w:val="center"/>
              <w:rPr>
                <w:rFonts w:ascii="Times New Roman" w:eastAsia="Calibri" w:hAnsi="Times New Roman" w:cs="Times New Roman"/>
                <w:b/>
                <w:bCs/>
              </w:rPr>
            </w:pPr>
            <w:r w:rsidRPr="006C3B83">
              <w:rPr>
                <w:rFonts w:ascii="Times New Roman" w:eastAsia="Calibri" w:hAnsi="Times New Roman" w:cs="Times New Roman"/>
                <w:b/>
                <w:bCs/>
              </w:rPr>
              <w:t>ANÁLISIS</w:t>
            </w:r>
          </w:p>
        </w:tc>
      </w:tr>
      <w:tr w:rsidR="00D6049F" w:rsidRPr="00D6049F" w14:paraId="25217946" w14:textId="77777777" w:rsidTr="00B17B79">
        <w:trPr>
          <w:trHeight w:val="166"/>
          <w:jc w:val="center"/>
        </w:trPr>
        <w:tc>
          <w:tcPr>
            <w:tcW w:w="2689" w:type="dxa"/>
            <w:shd w:val="clear" w:color="auto" w:fill="auto"/>
          </w:tcPr>
          <w:p w14:paraId="3336E8AE" w14:textId="77777777" w:rsidR="00D6049F" w:rsidRPr="006C3B83" w:rsidRDefault="00D6049F" w:rsidP="00D6049F">
            <w:pPr>
              <w:spacing w:after="120" w:line="240" w:lineRule="auto"/>
              <w:ind w:firstLine="709"/>
              <w:jc w:val="both"/>
              <w:rPr>
                <w:rFonts w:ascii="Times New Roman" w:eastAsia="Calibri" w:hAnsi="Times New Roman" w:cs="Times New Roman"/>
                <w:b/>
                <w:bCs/>
              </w:rPr>
            </w:pPr>
            <w:r w:rsidRPr="006C3B83">
              <w:rPr>
                <w:rFonts w:ascii="Times New Roman" w:eastAsia="Calibri" w:hAnsi="Times New Roman" w:cs="Times New Roman"/>
                <w:b/>
                <w:bCs/>
              </w:rPr>
              <w:t>Inversión</w:t>
            </w:r>
          </w:p>
        </w:tc>
        <w:tc>
          <w:tcPr>
            <w:tcW w:w="1845" w:type="dxa"/>
            <w:shd w:val="clear" w:color="auto" w:fill="auto"/>
          </w:tcPr>
          <w:p w14:paraId="5C893D24"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hAnsi="Times New Roman" w:cs="Times New Roman"/>
                <w:color w:val="000000"/>
              </w:rPr>
              <w:t>$ 19.665,36</w:t>
            </w:r>
          </w:p>
        </w:tc>
        <w:tc>
          <w:tcPr>
            <w:tcW w:w="4875" w:type="dxa"/>
            <w:shd w:val="clear" w:color="auto" w:fill="auto"/>
          </w:tcPr>
          <w:p w14:paraId="17FB776E" w14:textId="77777777" w:rsidR="00D6049F" w:rsidRPr="006C3B83" w:rsidRDefault="00D6049F" w:rsidP="00D6049F">
            <w:pPr>
              <w:spacing w:after="120" w:line="240" w:lineRule="auto"/>
              <w:ind w:firstLine="709"/>
              <w:jc w:val="both"/>
              <w:rPr>
                <w:rFonts w:ascii="Times New Roman" w:eastAsia="Calibri" w:hAnsi="Times New Roman" w:cs="Times New Roman"/>
              </w:rPr>
            </w:pPr>
          </w:p>
        </w:tc>
      </w:tr>
      <w:tr w:rsidR="00D6049F" w:rsidRPr="00D6049F" w14:paraId="08D5D733" w14:textId="77777777" w:rsidTr="00B17B79">
        <w:trPr>
          <w:trHeight w:val="370"/>
          <w:jc w:val="center"/>
        </w:trPr>
        <w:tc>
          <w:tcPr>
            <w:tcW w:w="2689" w:type="dxa"/>
            <w:shd w:val="clear" w:color="auto" w:fill="auto"/>
          </w:tcPr>
          <w:p w14:paraId="103642C2"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Período de recuperación de capital</w:t>
            </w:r>
          </w:p>
        </w:tc>
        <w:tc>
          <w:tcPr>
            <w:tcW w:w="1845" w:type="dxa"/>
            <w:shd w:val="clear" w:color="auto" w:fill="auto"/>
          </w:tcPr>
          <w:p w14:paraId="0CABB52B"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2 año</w:t>
            </w:r>
          </w:p>
        </w:tc>
        <w:tc>
          <w:tcPr>
            <w:tcW w:w="4875" w:type="dxa"/>
            <w:shd w:val="clear" w:color="auto" w:fill="auto"/>
          </w:tcPr>
          <w:p w14:paraId="3251D7F0"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Se estima la recuperación del capital dentro de dos años</w:t>
            </w:r>
          </w:p>
        </w:tc>
      </w:tr>
      <w:tr w:rsidR="00D6049F" w:rsidRPr="00D6049F" w14:paraId="3971F392" w14:textId="77777777" w:rsidTr="00B17B79">
        <w:trPr>
          <w:trHeight w:val="1391"/>
          <w:jc w:val="center"/>
        </w:trPr>
        <w:tc>
          <w:tcPr>
            <w:tcW w:w="2689" w:type="dxa"/>
            <w:shd w:val="clear" w:color="auto" w:fill="auto"/>
          </w:tcPr>
          <w:p w14:paraId="0EAD7E2C"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Relación beneficio costo</w:t>
            </w:r>
          </w:p>
        </w:tc>
        <w:tc>
          <w:tcPr>
            <w:tcW w:w="1845" w:type="dxa"/>
            <w:shd w:val="clear" w:color="auto" w:fill="auto"/>
          </w:tcPr>
          <w:p w14:paraId="30CE0BC4"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$2,32</w:t>
            </w:r>
          </w:p>
        </w:tc>
        <w:tc>
          <w:tcPr>
            <w:tcW w:w="4875" w:type="dxa"/>
            <w:shd w:val="clear" w:color="auto" w:fill="auto"/>
          </w:tcPr>
          <w:p w14:paraId="6BA6375E"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Como la relación beneficio costo es mayor a 1, podemos afirmar que nuestro proyecto es rentable en los próximos cinco años.</w:t>
            </w:r>
          </w:p>
          <w:p w14:paraId="62A6F0D5"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La interpretación nos dice que por cada dólar invertido se obtiene $2,32 de recuperación.</w:t>
            </w:r>
          </w:p>
        </w:tc>
      </w:tr>
      <w:tr w:rsidR="00D6049F" w:rsidRPr="00D6049F" w14:paraId="5134874C" w14:textId="77777777" w:rsidTr="00B17B79">
        <w:trPr>
          <w:trHeight w:val="279"/>
          <w:jc w:val="center"/>
        </w:trPr>
        <w:tc>
          <w:tcPr>
            <w:tcW w:w="2689" w:type="dxa"/>
            <w:shd w:val="clear" w:color="auto" w:fill="auto"/>
          </w:tcPr>
          <w:p w14:paraId="6399F9DC"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 xml:space="preserve">Valor actual neto </w:t>
            </w:r>
          </w:p>
        </w:tc>
        <w:tc>
          <w:tcPr>
            <w:tcW w:w="1845" w:type="dxa"/>
            <w:shd w:val="clear" w:color="auto" w:fill="auto"/>
          </w:tcPr>
          <w:p w14:paraId="25135440"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63.145,11</w:t>
            </w:r>
          </w:p>
        </w:tc>
        <w:tc>
          <w:tcPr>
            <w:tcW w:w="4875" w:type="dxa"/>
            <w:shd w:val="clear" w:color="auto" w:fill="auto"/>
          </w:tcPr>
          <w:p w14:paraId="7193E13B"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El VAN es positivo por lo tanto el proyecto es viable</w:t>
            </w:r>
          </w:p>
        </w:tc>
      </w:tr>
      <w:tr w:rsidR="00D6049F" w:rsidRPr="00D6049F" w14:paraId="2965CD4C" w14:textId="77777777" w:rsidTr="00B17B79">
        <w:trPr>
          <w:trHeight w:val="420"/>
          <w:jc w:val="center"/>
        </w:trPr>
        <w:tc>
          <w:tcPr>
            <w:tcW w:w="2689" w:type="dxa"/>
            <w:shd w:val="clear" w:color="auto" w:fill="auto"/>
          </w:tcPr>
          <w:p w14:paraId="673759FB"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b/>
                <w:bCs/>
              </w:rPr>
              <w:t xml:space="preserve">Tasa interna de retorno </w:t>
            </w:r>
          </w:p>
        </w:tc>
        <w:tc>
          <w:tcPr>
            <w:tcW w:w="1845" w:type="dxa"/>
            <w:shd w:val="clear" w:color="auto" w:fill="auto"/>
          </w:tcPr>
          <w:p w14:paraId="5183D730" w14:textId="77777777" w:rsidR="00D6049F" w:rsidRPr="006C3B83" w:rsidRDefault="00D6049F" w:rsidP="00D6049F">
            <w:pPr>
              <w:spacing w:after="120" w:line="240" w:lineRule="auto"/>
              <w:ind w:firstLine="709"/>
              <w:jc w:val="center"/>
              <w:rPr>
                <w:rFonts w:ascii="Times New Roman" w:eastAsia="Calibri" w:hAnsi="Times New Roman" w:cs="Times New Roman"/>
              </w:rPr>
            </w:pPr>
            <w:r w:rsidRPr="006C3B83">
              <w:rPr>
                <w:rFonts w:ascii="Times New Roman" w:eastAsia="Calibri" w:hAnsi="Times New Roman" w:cs="Times New Roman"/>
              </w:rPr>
              <w:t>83%</w:t>
            </w:r>
          </w:p>
        </w:tc>
        <w:tc>
          <w:tcPr>
            <w:tcW w:w="4875" w:type="dxa"/>
            <w:shd w:val="clear" w:color="auto" w:fill="auto"/>
          </w:tcPr>
          <w:p w14:paraId="49E32095" w14:textId="77777777" w:rsidR="00D6049F" w:rsidRPr="006C3B83" w:rsidRDefault="00D6049F" w:rsidP="00D6049F">
            <w:pPr>
              <w:spacing w:after="120" w:line="240" w:lineRule="auto"/>
              <w:jc w:val="both"/>
              <w:rPr>
                <w:rFonts w:ascii="Times New Roman" w:eastAsia="Calibri" w:hAnsi="Times New Roman" w:cs="Times New Roman"/>
              </w:rPr>
            </w:pPr>
            <w:r w:rsidRPr="006C3B83">
              <w:rPr>
                <w:rFonts w:ascii="Times New Roman" w:eastAsia="Calibri" w:hAnsi="Times New Roman" w:cs="Times New Roman"/>
              </w:rPr>
              <w:t>La TIR esta entre el rango aceptable para la inversión pública siendo económicamente rentable.</w:t>
            </w:r>
          </w:p>
        </w:tc>
      </w:tr>
    </w:tbl>
    <w:p w14:paraId="418195EE" w14:textId="77777777" w:rsidR="00D6049F" w:rsidRPr="00D6049F" w:rsidRDefault="00D6049F" w:rsidP="00D6049F">
      <w:pPr>
        <w:spacing w:after="120" w:line="240" w:lineRule="auto"/>
        <w:jc w:val="center"/>
        <w:rPr>
          <w:rFonts w:ascii="Times New Roman" w:hAnsi="Times New Roman" w:cs="Times New Roman"/>
          <w:sz w:val="24"/>
          <w:szCs w:val="24"/>
        </w:rPr>
      </w:pPr>
      <w:r w:rsidRPr="00D6049F">
        <w:rPr>
          <w:rFonts w:ascii="Times New Roman" w:hAnsi="Times New Roman" w:cs="Times New Roman"/>
          <w:b/>
          <w:bCs/>
          <w:sz w:val="24"/>
          <w:szCs w:val="24"/>
        </w:rPr>
        <w:t>Fuente:</w:t>
      </w:r>
      <w:r w:rsidRPr="00D6049F">
        <w:rPr>
          <w:rFonts w:ascii="Times New Roman" w:hAnsi="Times New Roman" w:cs="Times New Roman"/>
          <w:sz w:val="24"/>
          <w:szCs w:val="24"/>
        </w:rPr>
        <w:t xml:space="preserve"> Elaboración propia</w:t>
      </w:r>
    </w:p>
    <w:p w14:paraId="2361A394" w14:textId="77777777" w:rsidR="00D6049F" w:rsidRPr="00D6049F" w:rsidRDefault="00D6049F" w:rsidP="00AD6FDF">
      <w:pPr>
        <w:pStyle w:val="Prrafodelista"/>
        <w:spacing w:after="120" w:line="240" w:lineRule="auto"/>
        <w:ind w:left="0"/>
        <w:rPr>
          <w:rFonts w:ascii="Times New Roman" w:hAnsi="Times New Roman" w:cs="Times New Roman"/>
          <w:b/>
          <w:bCs/>
          <w:sz w:val="24"/>
          <w:szCs w:val="24"/>
        </w:rPr>
      </w:pPr>
    </w:p>
    <w:p w14:paraId="73CD2F9E" w14:textId="77777777" w:rsidR="00D6049F" w:rsidRPr="00D6049F" w:rsidRDefault="00D6049F" w:rsidP="00AD6FDF">
      <w:pPr>
        <w:pStyle w:val="Prrafodelista"/>
        <w:spacing w:after="120" w:line="240" w:lineRule="auto"/>
        <w:ind w:left="0"/>
        <w:rPr>
          <w:rFonts w:ascii="Times New Roman" w:hAnsi="Times New Roman" w:cs="Times New Roman"/>
          <w:b/>
          <w:bCs/>
          <w:sz w:val="24"/>
          <w:szCs w:val="24"/>
        </w:rPr>
      </w:pPr>
    </w:p>
    <w:p w14:paraId="5720E79B" w14:textId="03C34B5D" w:rsidR="005F50CF" w:rsidRPr="005F50CF" w:rsidRDefault="005F50CF" w:rsidP="005F50CF">
      <w:pPr>
        <w:pStyle w:val="Prrafodelista"/>
        <w:numPr>
          <w:ilvl w:val="0"/>
          <w:numId w:val="23"/>
        </w:numPr>
        <w:spacing w:after="120" w:line="240" w:lineRule="auto"/>
        <w:jc w:val="both"/>
        <w:rPr>
          <w:rFonts w:ascii="Times New Roman" w:hAnsi="Times New Roman" w:cs="Times New Roman"/>
          <w:b/>
          <w:bCs/>
          <w:sz w:val="24"/>
          <w:szCs w:val="24"/>
        </w:rPr>
      </w:pPr>
      <w:r w:rsidRPr="005F50CF">
        <w:rPr>
          <w:rFonts w:ascii="Times New Roman" w:hAnsi="Times New Roman" w:cs="Times New Roman"/>
          <w:b/>
          <w:bCs/>
          <w:sz w:val="24"/>
          <w:szCs w:val="24"/>
        </w:rPr>
        <w:t>Discusión y conclusiones</w:t>
      </w:r>
    </w:p>
    <w:p w14:paraId="29EDDB95" w14:textId="0D7831F3" w:rsidR="00AD6FDF" w:rsidRPr="005F50CF" w:rsidRDefault="00AD6FDF" w:rsidP="005F50CF">
      <w:pPr>
        <w:spacing w:after="120" w:line="240" w:lineRule="auto"/>
        <w:ind w:firstLine="360"/>
        <w:jc w:val="both"/>
        <w:rPr>
          <w:rFonts w:ascii="Times New Roman" w:hAnsi="Times New Roman" w:cs="Times New Roman"/>
          <w:sz w:val="24"/>
          <w:szCs w:val="24"/>
        </w:rPr>
      </w:pPr>
      <w:r w:rsidRPr="005F50CF">
        <w:rPr>
          <w:rFonts w:ascii="Times New Roman" w:hAnsi="Times New Roman" w:cs="Times New Roman"/>
          <w:sz w:val="24"/>
          <w:szCs w:val="24"/>
        </w:rPr>
        <w:t xml:space="preserve">Ecuador forma parte del Proyecto Conservación de Anfibios y Uso Sostenible de sus Recursos Genéticos (PARG) del Programa de las Naciones Unidas para el Desarrollo, bajo esa condición allí se proponen estrategias para su conservación y aprovechamiento de estos. Conociendo la delicada situación actual del estado de conservación en que se encuentran los anfibios y de igual manera la falta de actualización de datos sobre los reptiles, en dicho proyecto se diseñó un plan estratégico para la conservación de anfibios, en el que dos de los cinco </w:t>
      </w:r>
      <w:r w:rsidRPr="005F50CF">
        <w:rPr>
          <w:rFonts w:ascii="Times New Roman" w:hAnsi="Times New Roman" w:cs="Times New Roman"/>
          <w:sz w:val="24"/>
          <w:szCs w:val="24"/>
        </w:rPr>
        <w:lastRenderedPageBreak/>
        <w:t>lineamientos se refieren a la generación de información y monitoreo de estas especies a largo plazo; y generación de un cambio en la actitud de la sociedad en relación con los anfibios y reptiles. Por ello se vuelve necesario el diseño de este tipo de productos turísticos enfocados en aprovechar el potencial herpetológico de un sitio, no solo para atraer turistas y aumentar ingresos, al contrario, como este estudio que puede ser replicado en otros lugares para fomentar la conservación e investigación de anfibios y reptiles a través del turismo.</w:t>
      </w:r>
    </w:p>
    <w:p w14:paraId="17F26BFB"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 xml:space="preserve">Tamandúa Reserva &amp; </w:t>
      </w:r>
      <w:proofErr w:type="spellStart"/>
      <w:r w:rsidRPr="00AD6FDF">
        <w:rPr>
          <w:rFonts w:ascii="Times New Roman" w:hAnsi="Times New Roman" w:cs="Times New Roman"/>
          <w:sz w:val="24"/>
          <w:szCs w:val="24"/>
        </w:rPr>
        <w:t>Ecolodge</w:t>
      </w:r>
      <w:proofErr w:type="spellEnd"/>
      <w:r w:rsidRPr="00AD6FDF">
        <w:rPr>
          <w:rFonts w:ascii="Times New Roman" w:hAnsi="Times New Roman" w:cs="Times New Roman"/>
          <w:sz w:val="24"/>
          <w:szCs w:val="24"/>
        </w:rPr>
        <w:t xml:space="preserve"> se destaca como un sitio natural en la Amazonía de Pastaza, enfocado a la conservación, turismo e investigación de la flora y fauna en sus 60 has de bosque primario, donde se asienta el </w:t>
      </w:r>
      <w:proofErr w:type="spellStart"/>
      <w:r w:rsidRPr="006B706D">
        <w:rPr>
          <w:rFonts w:ascii="Times New Roman" w:hAnsi="Times New Roman" w:cs="Times New Roman"/>
          <w:i/>
          <w:iCs/>
          <w:sz w:val="24"/>
          <w:szCs w:val="24"/>
        </w:rPr>
        <w:t>lodge</w:t>
      </w:r>
      <w:proofErr w:type="spellEnd"/>
      <w:r w:rsidRPr="00AD6FDF">
        <w:rPr>
          <w:rFonts w:ascii="Times New Roman" w:hAnsi="Times New Roman" w:cs="Times New Roman"/>
          <w:sz w:val="24"/>
          <w:szCs w:val="24"/>
        </w:rPr>
        <w:t xml:space="preserve"> y la reserva que no solo han servido de destino para fotógrafos y naturalistas, sino también hábitat para liberar especies de fauna rescatada. </w:t>
      </w:r>
    </w:p>
    <w:p w14:paraId="4A253235"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 xml:space="preserve">El sitio cuenta con una importante variedad de 15 atractivos turísticos, 6 atractivos naturales y 9 manifestaciones culturales, de los cuales 14 de ellos se encuentran en categoría II ya que son parte de la oferta actual del </w:t>
      </w:r>
      <w:proofErr w:type="spellStart"/>
      <w:r w:rsidRPr="00AD6FDF">
        <w:rPr>
          <w:rFonts w:ascii="Times New Roman" w:hAnsi="Times New Roman" w:cs="Times New Roman"/>
          <w:sz w:val="24"/>
          <w:szCs w:val="24"/>
        </w:rPr>
        <w:t>lodge</w:t>
      </w:r>
      <w:proofErr w:type="spellEnd"/>
      <w:r w:rsidRPr="00AD6FDF">
        <w:rPr>
          <w:rFonts w:ascii="Times New Roman" w:hAnsi="Times New Roman" w:cs="Times New Roman"/>
          <w:sz w:val="24"/>
          <w:szCs w:val="24"/>
        </w:rPr>
        <w:t xml:space="preserve"> y solo uno en categoría I. La biodiversidad herpetológica es muy alta según los resultados de los índices, por ello en ese espacio se logró inventariar 104 especies, divididos en 67 especies de anuros, 2 especies de caudatas, 25 especies de serpientes, 7 especies de saurios, 2 especies de </w:t>
      </w:r>
      <w:proofErr w:type="spellStart"/>
      <w:r w:rsidRPr="00AD6FDF">
        <w:rPr>
          <w:rFonts w:ascii="Times New Roman" w:hAnsi="Times New Roman" w:cs="Times New Roman"/>
          <w:sz w:val="24"/>
          <w:szCs w:val="24"/>
        </w:rPr>
        <w:t>testudias</w:t>
      </w:r>
      <w:proofErr w:type="spellEnd"/>
      <w:r w:rsidRPr="00AD6FDF">
        <w:rPr>
          <w:rFonts w:ascii="Times New Roman" w:hAnsi="Times New Roman" w:cs="Times New Roman"/>
          <w:sz w:val="24"/>
          <w:szCs w:val="24"/>
        </w:rPr>
        <w:t xml:space="preserve"> y una especie de </w:t>
      </w:r>
      <w:proofErr w:type="spellStart"/>
      <w:r w:rsidRPr="00AD6FDF">
        <w:rPr>
          <w:rFonts w:ascii="Times New Roman" w:hAnsi="Times New Roman" w:cs="Times New Roman"/>
          <w:sz w:val="24"/>
          <w:szCs w:val="24"/>
        </w:rPr>
        <w:t>crocodylia</w:t>
      </w:r>
      <w:proofErr w:type="spellEnd"/>
      <w:r w:rsidRPr="00AD6FDF">
        <w:rPr>
          <w:rFonts w:ascii="Times New Roman" w:hAnsi="Times New Roman" w:cs="Times New Roman"/>
          <w:sz w:val="24"/>
          <w:szCs w:val="24"/>
        </w:rPr>
        <w:t>, que pertenecen a 20 familias entre anfibios y reptiles.</w:t>
      </w:r>
    </w:p>
    <w:p w14:paraId="1003F3AC"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 xml:space="preserve">Existe una amplia aceptación por los fotógrafos de naturaleza en conocer Tamandúa y realizar fotografía de anfibios y reptiles, de igual manera la aceptación de 9 docentes de biología, de los cuales muchos son destacados herpetólogos, presentan un gran interés en realizar prácticas de campo con sus estudiantes enfocadas a turismo científico e investigación con </w:t>
      </w:r>
      <w:proofErr w:type="spellStart"/>
      <w:r w:rsidRPr="00AD6FDF">
        <w:rPr>
          <w:rFonts w:ascii="Times New Roman" w:hAnsi="Times New Roman" w:cs="Times New Roman"/>
          <w:sz w:val="24"/>
          <w:szCs w:val="24"/>
        </w:rPr>
        <w:t>herpetofauna</w:t>
      </w:r>
      <w:proofErr w:type="spellEnd"/>
      <w:r w:rsidRPr="00AD6FDF">
        <w:rPr>
          <w:rFonts w:ascii="Times New Roman" w:hAnsi="Times New Roman" w:cs="Times New Roman"/>
          <w:sz w:val="24"/>
          <w:szCs w:val="24"/>
        </w:rPr>
        <w:t>. Dicho esto, se realizó una propuesta de implementación de mejoras y el diseño de un paquete turístico enfocada a cada segmento de mercado propuesto, como lo es el turismo fotográfico y el turismo científico, aprovechando la planta turística existente, atractivos, servicios y actividades.</w:t>
      </w:r>
    </w:p>
    <w:p w14:paraId="02A7CDDA"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 xml:space="preserve">Para determinar el impacto que puede causar este producto, se sustentó en la normativa legal vigente en el Ecuador y en acuerdos internacionales relacionados a la conservación de la naturaleza y el manejo de la vida silvestre, además al realizar la matriz de impactos ambientales dio como resultado 72 impactos son positivos y 53 impactos son negativos, esto significa que la implementación del producto turístico no genera un alto impacto ambiental y al contrario trae beneficios a las especies y a </w:t>
      </w:r>
      <w:proofErr w:type="spellStart"/>
      <w:r w:rsidRPr="00AD6FDF">
        <w:rPr>
          <w:rFonts w:ascii="Times New Roman" w:hAnsi="Times New Roman" w:cs="Times New Roman"/>
          <w:sz w:val="24"/>
          <w:szCs w:val="24"/>
        </w:rPr>
        <w:t>lodge</w:t>
      </w:r>
      <w:proofErr w:type="spellEnd"/>
      <w:r w:rsidRPr="00AD6FDF">
        <w:rPr>
          <w:rFonts w:ascii="Times New Roman" w:hAnsi="Times New Roman" w:cs="Times New Roman"/>
          <w:sz w:val="24"/>
          <w:szCs w:val="24"/>
        </w:rPr>
        <w:t>.</w:t>
      </w:r>
    </w:p>
    <w:p w14:paraId="7A90D8CB" w14:textId="77777777" w:rsidR="00AD6FDF" w:rsidRPr="00AD6FDF" w:rsidRDefault="00AD6FDF" w:rsidP="00AD6FDF">
      <w:pPr>
        <w:spacing w:after="120" w:line="240" w:lineRule="auto"/>
        <w:ind w:firstLine="510"/>
        <w:jc w:val="both"/>
        <w:rPr>
          <w:rFonts w:ascii="Times New Roman" w:hAnsi="Times New Roman" w:cs="Times New Roman"/>
          <w:sz w:val="24"/>
          <w:szCs w:val="24"/>
        </w:rPr>
      </w:pPr>
      <w:r w:rsidRPr="00AD6FDF">
        <w:rPr>
          <w:rFonts w:ascii="Times New Roman" w:hAnsi="Times New Roman" w:cs="Times New Roman"/>
          <w:sz w:val="24"/>
          <w:szCs w:val="24"/>
        </w:rPr>
        <w:t>La evaluación financiera determina que el producto es económicamente rentable puesto que el VAN da como resultado $$63.145,11, la recuperación de capital se dará en el segundo año, el TIR alcanza el 83% y la relación beneficio costo es del 2,32 por cada dólar invertido.</w:t>
      </w:r>
    </w:p>
    <w:p w14:paraId="21D9D139" w14:textId="78BC5A2D" w:rsidR="00AD6FDF" w:rsidRDefault="00AD6FDF" w:rsidP="00AD6FDF">
      <w:pPr>
        <w:spacing w:before="100" w:after="100" w:line="360" w:lineRule="auto"/>
        <w:ind w:firstLine="709"/>
        <w:jc w:val="both"/>
        <w:rPr>
          <w:rFonts w:ascii="Times New Roman" w:hAnsi="Times New Roman" w:cs="Times New Roman"/>
          <w:sz w:val="24"/>
          <w:szCs w:val="24"/>
        </w:rPr>
      </w:pPr>
    </w:p>
    <w:p w14:paraId="3C3C2A49" w14:textId="2E25466E" w:rsidR="00AD6FDF" w:rsidRPr="00AD6FDF" w:rsidRDefault="00AD6FDF" w:rsidP="00AD6FDF">
      <w:pPr>
        <w:spacing w:line="360" w:lineRule="auto"/>
        <w:jc w:val="both"/>
        <w:rPr>
          <w:rFonts w:ascii="Times New Roman" w:hAnsi="Times New Roman" w:cs="Times New Roman"/>
          <w:b/>
          <w:iCs/>
          <w:sz w:val="24"/>
          <w:szCs w:val="24"/>
          <w:lang w:val="es-ES_tradnl"/>
        </w:rPr>
      </w:pPr>
      <w:r w:rsidRPr="00AD6FDF">
        <w:rPr>
          <w:rFonts w:ascii="Times New Roman" w:hAnsi="Times New Roman" w:cs="Times New Roman"/>
          <w:b/>
          <w:iCs/>
          <w:sz w:val="24"/>
          <w:szCs w:val="24"/>
          <w:lang w:val="es-ES_tradnl"/>
        </w:rPr>
        <w:t>R</w:t>
      </w:r>
      <w:r w:rsidR="006B706D">
        <w:rPr>
          <w:rFonts w:ascii="Times New Roman" w:hAnsi="Times New Roman" w:cs="Times New Roman"/>
          <w:b/>
          <w:iCs/>
          <w:sz w:val="24"/>
          <w:szCs w:val="24"/>
          <w:lang w:val="es-ES_tradnl"/>
        </w:rPr>
        <w:t>eferencias bibliográficas</w:t>
      </w:r>
    </w:p>
    <w:p w14:paraId="6B2EFD4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Almendras, A., Ferrari, S., &amp; Diez, P. (2017). Evaluación de la Avifauna Para Uso Ecoturístico en Humedales del Sur de Santa Cruz. </w:t>
      </w:r>
      <w:r w:rsidRPr="00AD6FDF">
        <w:rPr>
          <w:rFonts w:ascii="Times New Roman" w:hAnsi="Times New Roman" w:cs="Times New Roman"/>
          <w:i/>
          <w:iCs/>
          <w:noProof/>
          <w:sz w:val="24"/>
          <w:szCs w:val="24"/>
        </w:rPr>
        <w:t>SECYT, 9(1)</w:t>
      </w:r>
      <w:r w:rsidRPr="00AD6FDF">
        <w:rPr>
          <w:rFonts w:ascii="Times New Roman" w:hAnsi="Times New Roman" w:cs="Times New Roman"/>
          <w:noProof/>
          <w:sz w:val="24"/>
          <w:szCs w:val="24"/>
        </w:rPr>
        <w:t>, 78-95.</w:t>
      </w:r>
    </w:p>
    <w:p w14:paraId="04B8311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López, M., &amp; Sol, M. (2019). Las especies en peligro de extinción y los mecanismos para la recuperación y conservación de la biodiversidad: un estudio sobre la viabilidad de los mecanismos y las trabas burocráticas. </w:t>
      </w:r>
      <w:r w:rsidRPr="00AD6FDF">
        <w:rPr>
          <w:rFonts w:ascii="Times New Roman" w:hAnsi="Times New Roman" w:cs="Times New Roman"/>
          <w:i/>
          <w:iCs/>
          <w:noProof/>
          <w:sz w:val="24"/>
          <w:szCs w:val="24"/>
        </w:rPr>
        <w:t>Revista de Investigacion y Ciencias Juridicas, 1(23)</w:t>
      </w:r>
      <w:r w:rsidRPr="00AD6FDF">
        <w:rPr>
          <w:rFonts w:ascii="Times New Roman" w:hAnsi="Times New Roman" w:cs="Times New Roman"/>
          <w:noProof/>
          <w:sz w:val="24"/>
          <w:szCs w:val="24"/>
        </w:rPr>
        <w:t>, 297-324.</w:t>
      </w:r>
    </w:p>
    <w:p w14:paraId="2940092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Turismo del Ecuador. (2017). </w:t>
      </w:r>
      <w:r w:rsidRPr="00AD6FDF">
        <w:rPr>
          <w:rFonts w:ascii="Times New Roman" w:hAnsi="Times New Roman" w:cs="Times New Roman"/>
          <w:i/>
          <w:iCs/>
          <w:noProof/>
          <w:sz w:val="24"/>
          <w:szCs w:val="24"/>
        </w:rPr>
        <w:t>Guía metodológica para la jerarquización de atractivos y generación de espacios turísticos del Ecuador</w:t>
      </w:r>
      <w:r w:rsidRPr="00AD6FDF">
        <w:rPr>
          <w:rFonts w:ascii="Times New Roman" w:hAnsi="Times New Roman" w:cs="Times New Roman"/>
          <w:noProof/>
          <w:sz w:val="24"/>
          <w:szCs w:val="24"/>
        </w:rPr>
        <w:t xml:space="preserve">. Recuperado el 12 de agosto </w:t>
      </w:r>
      <w:r w:rsidRPr="00AD6FDF">
        <w:rPr>
          <w:rFonts w:ascii="Times New Roman" w:hAnsi="Times New Roman" w:cs="Times New Roman"/>
          <w:noProof/>
          <w:sz w:val="24"/>
          <w:szCs w:val="24"/>
        </w:rPr>
        <w:lastRenderedPageBreak/>
        <w:t>de 2020, de Ministerio de Turismo del Ecuador: https://servicios.turismo.gob.ec/descargas/InventarioAtractivosTuristicos/Parte1_GuiaMetodologicaInventarioGeneracionEspacioTuristico2017_2daEd.pdf</w:t>
      </w:r>
    </w:p>
    <w:p w14:paraId="18AC408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Angulo, A., Rueda, J. V., Rodríguez, J. V., &amp; Enrique La Marca, E. (2006). </w:t>
      </w:r>
      <w:r w:rsidRPr="00AD6FDF">
        <w:rPr>
          <w:rFonts w:ascii="Times New Roman" w:hAnsi="Times New Roman" w:cs="Times New Roman"/>
          <w:i/>
          <w:iCs/>
          <w:noProof/>
          <w:sz w:val="24"/>
          <w:szCs w:val="24"/>
        </w:rPr>
        <w:t>Técnicas de Inventario y Monitoreo para los Anfibios de la Región Tropical Andina.</w:t>
      </w:r>
      <w:r w:rsidRPr="00AD6FDF">
        <w:rPr>
          <w:rFonts w:ascii="Times New Roman" w:hAnsi="Times New Roman" w:cs="Times New Roman"/>
          <w:noProof/>
          <w:sz w:val="24"/>
          <w:szCs w:val="24"/>
        </w:rPr>
        <w:t xml:space="preserve"> </w:t>
      </w:r>
      <w:r w:rsidRPr="00AD6FDF">
        <w:rPr>
          <w:rFonts w:ascii="Times New Roman" w:hAnsi="Times New Roman" w:cs="Times New Roman"/>
          <w:noProof/>
          <w:sz w:val="24"/>
          <w:szCs w:val="24"/>
          <w:lang w:val="en-US"/>
        </w:rPr>
        <w:t>Bogota: Conservación Internacional.</w:t>
      </w:r>
    </w:p>
    <w:p w14:paraId="2333BA8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lang w:val="en-US"/>
        </w:rPr>
        <w:t xml:space="preserve">Ballantyne, R., Packer, J., &amp; Hughes, K. (2009). Tourists’ support for conservation messages and sustainable management practices in wildlife tourism experiences. </w:t>
      </w:r>
      <w:r w:rsidRPr="00AD6FDF">
        <w:rPr>
          <w:rFonts w:ascii="Times New Roman" w:hAnsi="Times New Roman" w:cs="Times New Roman"/>
          <w:i/>
          <w:iCs/>
          <w:noProof/>
          <w:sz w:val="24"/>
          <w:szCs w:val="24"/>
        </w:rPr>
        <w:t>Tourism Management, 30(1)</w:t>
      </w:r>
      <w:r w:rsidRPr="00AD6FDF">
        <w:rPr>
          <w:rFonts w:ascii="Times New Roman" w:hAnsi="Times New Roman" w:cs="Times New Roman"/>
          <w:noProof/>
          <w:sz w:val="24"/>
          <w:szCs w:val="24"/>
        </w:rPr>
        <w:t>, 658–664.</w:t>
      </w:r>
    </w:p>
    <w:p w14:paraId="1287BE3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Bourlon, F., &amp; Mao, P. (2011). Las Formas de Turismo Cientifico en Aysen Chile. </w:t>
      </w:r>
      <w:r w:rsidRPr="00AD6FDF">
        <w:rPr>
          <w:rFonts w:ascii="Times New Roman" w:hAnsi="Times New Roman" w:cs="Times New Roman"/>
          <w:i/>
          <w:iCs/>
          <w:noProof/>
          <w:sz w:val="24"/>
          <w:szCs w:val="24"/>
          <w:lang w:val="en-US"/>
        </w:rPr>
        <w:t>Gestion Turistica, 15(01)</w:t>
      </w:r>
      <w:r w:rsidRPr="00AD6FDF">
        <w:rPr>
          <w:rFonts w:ascii="Times New Roman" w:hAnsi="Times New Roman" w:cs="Times New Roman"/>
          <w:noProof/>
          <w:sz w:val="24"/>
          <w:szCs w:val="24"/>
          <w:lang w:val="en-US"/>
        </w:rPr>
        <w:t>, 74-98.</w:t>
      </w:r>
    </w:p>
    <w:p w14:paraId="7C97F58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Brockington, D., &amp; Duffy, R. (2010). Capitalism and conservation: The production and reproduction of biodiversity conservation. </w:t>
      </w:r>
      <w:r w:rsidRPr="00AD6FDF">
        <w:rPr>
          <w:rFonts w:ascii="Times New Roman" w:hAnsi="Times New Roman" w:cs="Times New Roman"/>
          <w:i/>
          <w:iCs/>
          <w:noProof/>
          <w:sz w:val="24"/>
          <w:szCs w:val="24"/>
          <w:lang w:val="en-US"/>
        </w:rPr>
        <w:t>Antipode, 42(3)</w:t>
      </w:r>
      <w:r w:rsidRPr="00AD6FDF">
        <w:rPr>
          <w:rFonts w:ascii="Times New Roman" w:hAnsi="Times New Roman" w:cs="Times New Roman"/>
          <w:noProof/>
          <w:sz w:val="24"/>
          <w:szCs w:val="24"/>
          <w:lang w:val="en-US"/>
        </w:rPr>
        <w:t>, 469–484.</w:t>
      </w:r>
    </w:p>
    <w:p w14:paraId="6CB4125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Buckley, R. (2009). Parks and Tourism. </w:t>
      </w:r>
      <w:r w:rsidRPr="00AD6FDF">
        <w:rPr>
          <w:rFonts w:ascii="Times New Roman" w:hAnsi="Times New Roman" w:cs="Times New Roman"/>
          <w:i/>
          <w:iCs/>
          <w:noProof/>
          <w:sz w:val="24"/>
          <w:szCs w:val="24"/>
          <w:lang w:val="en-US"/>
        </w:rPr>
        <w:t>PLOS BIOLOGY, 7 (6)</w:t>
      </w:r>
      <w:r w:rsidRPr="00AD6FDF">
        <w:rPr>
          <w:rFonts w:ascii="Times New Roman" w:hAnsi="Times New Roman" w:cs="Times New Roman"/>
          <w:noProof/>
          <w:sz w:val="24"/>
          <w:szCs w:val="24"/>
          <w:lang w:val="en-US"/>
        </w:rPr>
        <w:t>, e1000143.</w:t>
      </w:r>
    </w:p>
    <w:p w14:paraId="532F7D13"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Buckley, R., &amp; Castley, G. (2012). Models of wildlife tourism. </w:t>
      </w:r>
      <w:r w:rsidRPr="00AD6FDF">
        <w:rPr>
          <w:rFonts w:ascii="Times New Roman" w:hAnsi="Times New Roman" w:cs="Times New Roman"/>
          <w:i/>
          <w:iCs/>
          <w:noProof/>
          <w:sz w:val="24"/>
          <w:szCs w:val="24"/>
          <w:lang w:val="en-US"/>
        </w:rPr>
        <w:t>Biological Conservation, 152</w:t>
      </w:r>
      <w:r w:rsidRPr="00AD6FDF">
        <w:rPr>
          <w:rFonts w:ascii="Times New Roman" w:hAnsi="Times New Roman" w:cs="Times New Roman"/>
          <w:noProof/>
          <w:sz w:val="24"/>
          <w:szCs w:val="24"/>
          <w:lang w:val="en-US"/>
        </w:rPr>
        <w:t>, 295.</w:t>
      </w:r>
    </w:p>
    <w:p w14:paraId="5FDE1F0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Cong, L., Wu, B., Morrison, A., Shu, H., &amp; Wang, M. (2014). Analysis of wildlife tourism experiences with endangered species: An exploratory study of encounters with giant pandas in Chengdu, China. </w:t>
      </w:r>
      <w:r w:rsidRPr="00AD6FDF">
        <w:rPr>
          <w:rFonts w:ascii="Times New Roman" w:hAnsi="Times New Roman" w:cs="Times New Roman"/>
          <w:i/>
          <w:iCs/>
          <w:noProof/>
          <w:sz w:val="24"/>
          <w:szCs w:val="24"/>
          <w:lang w:val="en-US"/>
        </w:rPr>
        <w:t>Tourism Management, 40(1)</w:t>
      </w:r>
      <w:r w:rsidRPr="00AD6FDF">
        <w:rPr>
          <w:rFonts w:ascii="Times New Roman" w:hAnsi="Times New Roman" w:cs="Times New Roman"/>
          <w:noProof/>
          <w:sz w:val="24"/>
          <w:szCs w:val="24"/>
          <w:lang w:val="en-US"/>
        </w:rPr>
        <w:t>, 300-310.</w:t>
      </w:r>
    </w:p>
    <w:p w14:paraId="67599401" w14:textId="77777777" w:rsidR="00AD6FDF" w:rsidRPr="001F35F6"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CRC Sustainable Tourism. (2001). </w:t>
      </w:r>
      <w:r w:rsidRPr="00AD6FDF">
        <w:rPr>
          <w:rFonts w:ascii="Times New Roman" w:hAnsi="Times New Roman" w:cs="Times New Roman"/>
          <w:i/>
          <w:iCs/>
          <w:noProof/>
          <w:sz w:val="24"/>
          <w:szCs w:val="24"/>
          <w:lang w:val="en-US"/>
        </w:rPr>
        <w:t>Positive effects of wildlife tourism on wildlife</w:t>
      </w:r>
      <w:r w:rsidRPr="00AD6FDF">
        <w:rPr>
          <w:rFonts w:ascii="Times New Roman" w:hAnsi="Times New Roman" w:cs="Times New Roman"/>
          <w:noProof/>
          <w:sz w:val="24"/>
          <w:szCs w:val="24"/>
          <w:lang w:val="en-US"/>
        </w:rPr>
        <w:t xml:space="preserve">. </w:t>
      </w:r>
      <w:r w:rsidRPr="001F35F6">
        <w:rPr>
          <w:rFonts w:ascii="Times New Roman" w:hAnsi="Times New Roman" w:cs="Times New Roman"/>
          <w:noProof/>
          <w:sz w:val="24"/>
          <w:szCs w:val="24"/>
          <w:lang w:val="en-US"/>
        </w:rPr>
        <w:t>Recuperado el 20 de abril de 2020, de PATA Pacific, Asia Travel Association: https://sustain.pata.org/wp-content/uploads/2014/12/WT6_Higginbottom-Positive.pdf</w:t>
      </w:r>
    </w:p>
    <w:p w14:paraId="728FCE3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Curtin, S. (2008). Nature, Wild Animals and Tourism: An Experiential View. </w:t>
      </w:r>
      <w:r w:rsidRPr="00AD6FDF">
        <w:rPr>
          <w:rFonts w:ascii="Times New Roman" w:hAnsi="Times New Roman" w:cs="Times New Roman"/>
          <w:i/>
          <w:iCs/>
          <w:noProof/>
          <w:sz w:val="24"/>
          <w:szCs w:val="24"/>
          <w:lang w:val="en-US"/>
        </w:rPr>
        <w:t>Journal of Ecotourism, 4(1)</w:t>
      </w:r>
      <w:r w:rsidRPr="00AD6FDF">
        <w:rPr>
          <w:rFonts w:ascii="Times New Roman" w:hAnsi="Times New Roman" w:cs="Times New Roman"/>
          <w:noProof/>
          <w:sz w:val="24"/>
          <w:szCs w:val="24"/>
          <w:lang w:val="en-US"/>
        </w:rPr>
        <w:t>, 1-15.</w:t>
      </w:r>
    </w:p>
    <w:p w14:paraId="11E7FF3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Curtin, S. (2010). Curtin, S. (2010). Managing the wildlife tourism experience: The importance of tour leaders international. </w:t>
      </w:r>
      <w:r w:rsidRPr="00AD6FDF">
        <w:rPr>
          <w:rFonts w:ascii="Times New Roman" w:hAnsi="Times New Roman" w:cs="Times New Roman"/>
          <w:i/>
          <w:iCs/>
          <w:noProof/>
          <w:sz w:val="24"/>
          <w:szCs w:val="24"/>
          <w:lang w:val="en-US"/>
        </w:rPr>
        <w:t>International Journal of Tourism Research, 12 (3)</w:t>
      </w:r>
      <w:r w:rsidRPr="00AD6FDF">
        <w:rPr>
          <w:rFonts w:ascii="Times New Roman" w:hAnsi="Times New Roman" w:cs="Times New Roman"/>
          <w:noProof/>
          <w:sz w:val="24"/>
          <w:szCs w:val="24"/>
          <w:lang w:val="en-US"/>
        </w:rPr>
        <w:t>, 219-236.</w:t>
      </w:r>
    </w:p>
    <w:p w14:paraId="0C376B0E"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D’Cruze, N., Niehaus, C., Balaskas, M., Vieto, R., Carder, G., Richardson, V., Macdonald, D. (2018). Wildlife tourism in Latin America: taxonomy and conservation status. </w:t>
      </w:r>
      <w:r w:rsidRPr="00AD6FDF">
        <w:rPr>
          <w:rFonts w:ascii="Times New Roman" w:hAnsi="Times New Roman" w:cs="Times New Roman"/>
          <w:i/>
          <w:iCs/>
          <w:noProof/>
          <w:sz w:val="24"/>
          <w:szCs w:val="24"/>
          <w:lang w:val="en-US"/>
        </w:rPr>
        <w:t>Journal of Sustainable Tourism, 26(9)</w:t>
      </w:r>
      <w:r w:rsidRPr="00AD6FDF">
        <w:rPr>
          <w:rFonts w:ascii="Times New Roman" w:hAnsi="Times New Roman" w:cs="Times New Roman"/>
          <w:noProof/>
          <w:sz w:val="24"/>
          <w:szCs w:val="24"/>
          <w:lang w:val="en-US"/>
        </w:rPr>
        <w:t>, 1562-176.</w:t>
      </w:r>
    </w:p>
    <w:p w14:paraId="4512ABC9"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lang w:val="es-EC"/>
        </w:rPr>
        <w:t xml:space="preserve">Duque, R. I., &amp; Ochoa, F. A. (2007). </w:t>
      </w:r>
      <w:r w:rsidRPr="00AD6FDF">
        <w:rPr>
          <w:rFonts w:ascii="Times New Roman" w:hAnsi="Times New Roman" w:cs="Times New Roman"/>
          <w:i/>
          <w:iCs/>
          <w:noProof/>
          <w:sz w:val="24"/>
          <w:szCs w:val="24"/>
        </w:rPr>
        <w:t>Guía para la elaboración de un plan de negocios con enfoque hacia la sostenibilidad.</w:t>
      </w:r>
      <w:r w:rsidRPr="00AD6FDF">
        <w:rPr>
          <w:rFonts w:ascii="Times New Roman" w:hAnsi="Times New Roman" w:cs="Times New Roman"/>
          <w:noProof/>
          <w:sz w:val="24"/>
          <w:szCs w:val="24"/>
        </w:rPr>
        <w:t xml:space="preserve"> Bogota: Instituto Humboldt.</w:t>
      </w:r>
    </w:p>
    <w:p w14:paraId="7855249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Echegaray, J., &amp; Hernando, A. (2004). </w:t>
      </w:r>
      <w:r w:rsidRPr="00AD6FDF">
        <w:rPr>
          <w:rFonts w:ascii="Times New Roman" w:hAnsi="Times New Roman" w:cs="Times New Roman"/>
          <w:i/>
          <w:iCs/>
          <w:noProof/>
          <w:sz w:val="24"/>
          <w:szCs w:val="24"/>
        </w:rPr>
        <w:t>Amenazas de los Anfibios</w:t>
      </w:r>
      <w:r w:rsidRPr="00AD6FDF">
        <w:rPr>
          <w:rFonts w:ascii="Times New Roman" w:hAnsi="Times New Roman" w:cs="Times New Roman"/>
          <w:noProof/>
          <w:sz w:val="24"/>
          <w:szCs w:val="24"/>
        </w:rPr>
        <w:t>. Recuperado el 24 de agosto de 2020, de Eukara: http://www.euskara.euskadi.eus/contenidos/boletin_revista/sustrai_67/eu_agripes/adjuntos/67_p50-52.pdf</w:t>
      </w:r>
    </w:p>
    <w:p w14:paraId="7569CE9B"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Escobar, P. (2015). Propuesta para la Implementación de la Observación y Fotografía de anfibios y reptiles como una Actividad Innovadora para la Hostería Selva Virgen.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Tecnologia Equinoccial.</w:t>
      </w:r>
    </w:p>
    <w:p w14:paraId="77280605"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GAD San José. (2015). </w:t>
      </w:r>
      <w:r w:rsidRPr="00AD6FDF">
        <w:rPr>
          <w:rFonts w:ascii="Times New Roman" w:hAnsi="Times New Roman" w:cs="Times New Roman"/>
          <w:i/>
          <w:iCs/>
          <w:noProof/>
          <w:sz w:val="24"/>
          <w:szCs w:val="24"/>
        </w:rPr>
        <w:t>Actualizacion del Plan de Desarrollo y Ordenamiento Territorial de la Parroquia San José</w:t>
      </w:r>
      <w:r w:rsidRPr="00AD6FDF">
        <w:rPr>
          <w:rFonts w:ascii="Times New Roman" w:hAnsi="Times New Roman" w:cs="Times New Roman"/>
          <w:noProof/>
          <w:sz w:val="24"/>
          <w:szCs w:val="24"/>
        </w:rPr>
        <w:t>. Recuperado el 14 de julio de 2020, de Gobierno Autono Desentralizado de la Parroquia San José: http://app.sni.gob.ec/sni-link/sni/PORTAL_SNI/data_sigad_plus/sigadplusdocumentofinal/1660013310001_P</w:t>
      </w:r>
      <w:r w:rsidRPr="00AD6FDF">
        <w:rPr>
          <w:rFonts w:ascii="Times New Roman" w:hAnsi="Times New Roman" w:cs="Times New Roman"/>
          <w:noProof/>
          <w:sz w:val="24"/>
          <w:szCs w:val="24"/>
        </w:rPr>
        <w:lastRenderedPageBreak/>
        <w:t>D%20Y%20OT%20PARROQUIA%20SAN%20JOSE%202015_30-10-2015_21-37-00.pdf</w:t>
      </w:r>
    </w:p>
    <w:p w14:paraId="557BD57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Hernandez, D. (2012). Análisis de la oferta turística y de visitación de herpetofauna en Ecuador.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Tecnologica equinoccial.</w:t>
      </w:r>
    </w:p>
    <w:p w14:paraId="0AB831F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Hernandez, D. (2013). Diseño de una Metodologia Turistica para Observacion de Herpetofauna en Sitios Naturales: caso Estacion Biologica Jatun Sacha. </w:t>
      </w:r>
      <w:r w:rsidRPr="00AD6FDF">
        <w:rPr>
          <w:rFonts w:ascii="Times New Roman" w:hAnsi="Times New Roman" w:cs="Times New Roman"/>
          <w:i/>
          <w:iCs/>
          <w:noProof/>
          <w:sz w:val="24"/>
          <w:szCs w:val="24"/>
        </w:rPr>
        <w:t>(Tesis de grado).</w:t>
      </w:r>
      <w:r w:rsidRPr="00AD6FDF">
        <w:rPr>
          <w:rFonts w:ascii="Times New Roman" w:hAnsi="Times New Roman" w:cs="Times New Roman"/>
          <w:noProof/>
          <w:sz w:val="24"/>
          <w:szCs w:val="24"/>
        </w:rPr>
        <w:t xml:space="preserve"> Universidad Tecnologica Equinoccial.</w:t>
      </w:r>
    </w:p>
    <w:p w14:paraId="5762538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Larm, M., Elmhagen, B., Granquist, S., Brundin, E., &amp; Angerbjörn, A. (2017). </w:t>
      </w:r>
      <w:r w:rsidRPr="00AD6FDF">
        <w:rPr>
          <w:rFonts w:ascii="Times New Roman" w:hAnsi="Times New Roman" w:cs="Times New Roman"/>
          <w:noProof/>
          <w:sz w:val="24"/>
          <w:szCs w:val="24"/>
          <w:lang w:val="en-US"/>
        </w:rPr>
        <w:t xml:space="preserve">The role of wildlife tourism in conservation of The role of wildlife tourism in conservation for conservation of the Arctic fox in Sweden. </w:t>
      </w:r>
      <w:r w:rsidRPr="00AD6FDF">
        <w:rPr>
          <w:rFonts w:ascii="Times New Roman" w:hAnsi="Times New Roman" w:cs="Times New Roman"/>
          <w:i/>
          <w:iCs/>
          <w:noProof/>
          <w:sz w:val="24"/>
          <w:szCs w:val="24"/>
        </w:rPr>
        <w:t>Human Dimensions of Wildlife, 23(3)</w:t>
      </w:r>
      <w:r w:rsidRPr="00AD6FDF">
        <w:rPr>
          <w:rFonts w:ascii="Times New Roman" w:hAnsi="Times New Roman" w:cs="Times New Roman"/>
          <w:noProof/>
          <w:sz w:val="24"/>
          <w:szCs w:val="24"/>
        </w:rPr>
        <w:t>, 257-272.</w:t>
      </w:r>
    </w:p>
    <w:p w14:paraId="722B711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Martinez, V. (2017). El turismo de naturaleza un producto turistico sostenible. </w:t>
      </w:r>
      <w:r w:rsidRPr="00AD6FDF">
        <w:rPr>
          <w:rFonts w:ascii="Times New Roman" w:hAnsi="Times New Roman" w:cs="Times New Roman"/>
          <w:i/>
          <w:iCs/>
          <w:noProof/>
          <w:sz w:val="24"/>
          <w:szCs w:val="24"/>
        </w:rPr>
        <w:t>ARBOR Ciencia, Pensamiento y Cultura, 193 (785)</w:t>
      </w:r>
      <w:r w:rsidRPr="00AD6FDF">
        <w:rPr>
          <w:rFonts w:ascii="Times New Roman" w:hAnsi="Times New Roman" w:cs="Times New Roman"/>
          <w:noProof/>
          <w:sz w:val="24"/>
          <w:szCs w:val="24"/>
        </w:rPr>
        <w:t>, 1-14.</w:t>
      </w:r>
    </w:p>
    <w:p w14:paraId="079E02F5"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Martínez, V., &amp; Blanco, R. (2013). Hacia una gestión sostenible de las actividades turísticas en los espacios rurales y naturales. </w:t>
      </w:r>
      <w:r w:rsidRPr="00AD6FDF">
        <w:rPr>
          <w:rFonts w:ascii="Times New Roman" w:hAnsi="Times New Roman" w:cs="Times New Roman"/>
          <w:i/>
          <w:iCs/>
          <w:noProof/>
          <w:sz w:val="24"/>
          <w:szCs w:val="24"/>
        </w:rPr>
        <w:t>Revista Internacional de Organizaciones, 10(1)</w:t>
      </w:r>
      <w:r w:rsidRPr="00AD6FDF">
        <w:rPr>
          <w:rFonts w:ascii="Times New Roman" w:hAnsi="Times New Roman" w:cs="Times New Roman"/>
          <w:noProof/>
          <w:sz w:val="24"/>
          <w:szCs w:val="24"/>
        </w:rPr>
        <w:t>, 131–155.</w:t>
      </w:r>
    </w:p>
    <w:p w14:paraId="53E419B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Ecuador. (2017). </w:t>
      </w:r>
      <w:r w:rsidRPr="00AD6FDF">
        <w:rPr>
          <w:rFonts w:ascii="Times New Roman" w:hAnsi="Times New Roman" w:cs="Times New Roman"/>
          <w:i/>
          <w:iCs/>
          <w:noProof/>
          <w:sz w:val="24"/>
          <w:szCs w:val="24"/>
        </w:rPr>
        <w:t>Guía para la identificación de especies de fauna silvestre sujetas al tráfico y comercio ilegal de carne de monte - Recomendaciones para su manejo emergente</w:t>
      </w:r>
      <w:r w:rsidRPr="00AD6FDF">
        <w:rPr>
          <w:rFonts w:ascii="Times New Roman" w:hAnsi="Times New Roman" w:cs="Times New Roman"/>
          <w:noProof/>
          <w:sz w:val="24"/>
          <w:szCs w:val="24"/>
        </w:rPr>
        <w:t>. Recuperado el 23 de abril de 2020, de Ministerio de Ambiente del Ecuador: http://maetransparente.ambiente.gob.ec/documentacion/Biodiversidad/Gu%C3%ADas/Gu%C3%ADa%20para%20identificaci%C3%B3n%20de%20especies%20sujetas%20a%20tr%C3%A1fico.pdf</w:t>
      </w:r>
    </w:p>
    <w:p w14:paraId="70BA66FA"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Ecuador. (2020). </w:t>
      </w:r>
      <w:r w:rsidRPr="00AD6FDF">
        <w:rPr>
          <w:rFonts w:ascii="Times New Roman" w:hAnsi="Times New Roman" w:cs="Times New Roman"/>
          <w:i/>
          <w:iCs/>
          <w:noProof/>
          <w:sz w:val="24"/>
          <w:szCs w:val="24"/>
        </w:rPr>
        <w:t>Lista roja de anfibios del Ecuador</w:t>
      </w:r>
      <w:r w:rsidRPr="00AD6FDF">
        <w:rPr>
          <w:rFonts w:ascii="Times New Roman" w:hAnsi="Times New Roman" w:cs="Times New Roman"/>
          <w:noProof/>
          <w:sz w:val="24"/>
          <w:szCs w:val="24"/>
        </w:rPr>
        <w:t>. Recuperado el 15 de enero de 2021, de Ministerio de Ambiente del Ecuador: https://www.ambiente.gob.ec/wp-content/uploads/downloads/2020/08/infografia-anfibios.pdf</w:t>
      </w:r>
    </w:p>
    <w:p w14:paraId="3A0D703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Ministerio de Ambiente del Peru. (2015). </w:t>
      </w:r>
      <w:r w:rsidRPr="00AD6FDF">
        <w:rPr>
          <w:rFonts w:ascii="Times New Roman" w:hAnsi="Times New Roman" w:cs="Times New Roman"/>
          <w:i/>
          <w:iCs/>
          <w:noProof/>
          <w:sz w:val="24"/>
          <w:szCs w:val="24"/>
        </w:rPr>
        <w:t>Guía de inventario de la fauna</w:t>
      </w:r>
      <w:r w:rsidRPr="00AD6FDF">
        <w:rPr>
          <w:rFonts w:ascii="Times New Roman" w:hAnsi="Times New Roman" w:cs="Times New Roman"/>
          <w:noProof/>
          <w:sz w:val="24"/>
          <w:szCs w:val="24"/>
        </w:rPr>
        <w:t>. Recuperado el 24 de junio de 2020, de Ministerio de Ambiente del Peru: https://cdn.www.gob.pe/uploads/document/file/12074/06_gua-a-de-fauna-silvestre.pdf</w:t>
      </w:r>
    </w:p>
    <w:p w14:paraId="3095ECE1"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Moreno, U. (2019). Ecoturismo y turismo cientifico: concervacion de la biodiversidad y resoluacion de problemas locales en Chalan , Montes de Maria. </w:t>
      </w:r>
      <w:r w:rsidRPr="00AD6FDF">
        <w:rPr>
          <w:rFonts w:ascii="Times New Roman" w:hAnsi="Times New Roman" w:cs="Times New Roman"/>
          <w:i/>
          <w:iCs/>
          <w:noProof/>
          <w:sz w:val="24"/>
          <w:szCs w:val="24"/>
        </w:rPr>
        <w:t>(Tesis de posgrado).</w:t>
      </w:r>
      <w:r w:rsidRPr="00AD6FDF">
        <w:rPr>
          <w:rFonts w:ascii="Times New Roman" w:hAnsi="Times New Roman" w:cs="Times New Roman"/>
          <w:noProof/>
          <w:sz w:val="24"/>
          <w:szCs w:val="24"/>
        </w:rPr>
        <w:t xml:space="preserve"> Universidad Oberta de Catalunya.</w:t>
      </w:r>
    </w:p>
    <w:p w14:paraId="02AD4EDB"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Morrison, C., Simpkins, C., Castley, G., &amp; Buckley, R. (2012). </w:t>
      </w:r>
      <w:r w:rsidRPr="00AD6FDF">
        <w:rPr>
          <w:rFonts w:ascii="Times New Roman" w:hAnsi="Times New Roman" w:cs="Times New Roman"/>
          <w:noProof/>
          <w:sz w:val="24"/>
          <w:szCs w:val="24"/>
          <w:lang w:val="en-US"/>
        </w:rPr>
        <w:t xml:space="preserve">Tourism and the Conservation of Critically Endangered. </w:t>
      </w:r>
      <w:r w:rsidRPr="00AD6FDF">
        <w:rPr>
          <w:rFonts w:ascii="Times New Roman" w:hAnsi="Times New Roman" w:cs="Times New Roman"/>
          <w:i/>
          <w:iCs/>
          <w:noProof/>
          <w:sz w:val="24"/>
          <w:szCs w:val="24"/>
        </w:rPr>
        <w:t>PLOS ONE, 7(9)</w:t>
      </w:r>
      <w:r w:rsidRPr="00AD6FDF">
        <w:rPr>
          <w:rFonts w:ascii="Times New Roman" w:hAnsi="Times New Roman" w:cs="Times New Roman"/>
          <w:noProof/>
          <w:sz w:val="24"/>
          <w:szCs w:val="24"/>
        </w:rPr>
        <w:t>, 1-9.</w:t>
      </w:r>
    </w:p>
    <w:p w14:paraId="4DB6D63D"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National Geographic. (2020). </w:t>
      </w:r>
      <w:r w:rsidRPr="00AD6FDF">
        <w:rPr>
          <w:rFonts w:ascii="Times New Roman" w:hAnsi="Times New Roman" w:cs="Times New Roman"/>
          <w:i/>
          <w:iCs/>
          <w:noProof/>
          <w:sz w:val="24"/>
          <w:szCs w:val="24"/>
        </w:rPr>
        <w:t>Animales en peligro de extinción, una lista que crece cada año</w:t>
      </w:r>
      <w:r w:rsidRPr="00AD6FDF">
        <w:rPr>
          <w:rFonts w:ascii="Times New Roman" w:hAnsi="Times New Roman" w:cs="Times New Roman"/>
          <w:noProof/>
          <w:sz w:val="24"/>
          <w:szCs w:val="24"/>
        </w:rPr>
        <w:t>. Recuperado el 18 de abril de 2020, de National Geographic: https://www.nationalgeographic.com.es/naturaleza/animales-peligro-extincion-lista-que-crece-cada-ano_15217</w:t>
      </w:r>
    </w:p>
    <w:p w14:paraId="7A45C23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Rainforest Alliance. (2013). </w:t>
      </w:r>
      <w:r w:rsidRPr="00AD6FDF">
        <w:rPr>
          <w:rFonts w:ascii="Times New Roman" w:hAnsi="Times New Roman" w:cs="Times New Roman"/>
          <w:i/>
          <w:iCs/>
          <w:noProof/>
          <w:sz w:val="24"/>
          <w:szCs w:val="24"/>
        </w:rPr>
        <w:t>Guía de Buenas Prácticas de Turismo Sostenible para Comunidades de Latinoamerica.</w:t>
      </w:r>
      <w:r w:rsidRPr="00AD6FDF">
        <w:rPr>
          <w:rFonts w:ascii="Times New Roman" w:hAnsi="Times New Roman" w:cs="Times New Roman"/>
          <w:noProof/>
          <w:sz w:val="24"/>
          <w:szCs w:val="24"/>
        </w:rPr>
        <w:t xml:space="preserve"> Recuperado el 21 de julio de 2020, de Rainforest Alliance: https://www.rainforest-alliance.org/lang/sites/default/files/publication/pdf/gbp_latinoamerica.pdf</w:t>
      </w:r>
    </w:p>
    <w:p w14:paraId="6138C9F0"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lastRenderedPageBreak/>
        <w:t xml:space="preserve">Red Internacional de Turismo Cientifico. (2019). </w:t>
      </w:r>
      <w:r w:rsidRPr="00AD6FDF">
        <w:rPr>
          <w:rFonts w:ascii="Times New Roman" w:hAnsi="Times New Roman" w:cs="Times New Roman"/>
          <w:i/>
          <w:iCs/>
          <w:noProof/>
          <w:sz w:val="24"/>
          <w:szCs w:val="24"/>
        </w:rPr>
        <w:t>Scientific Tourism Network</w:t>
      </w:r>
      <w:r w:rsidRPr="00AD6FDF">
        <w:rPr>
          <w:rFonts w:ascii="Times New Roman" w:hAnsi="Times New Roman" w:cs="Times New Roman"/>
          <w:noProof/>
          <w:sz w:val="24"/>
          <w:szCs w:val="24"/>
        </w:rPr>
        <w:t>. Recuperado el 8 de mayo de 2020, de Red Internacional de Turismo Cientifico: https://scientific-tourism.org/about-us/</w:t>
      </w:r>
    </w:p>
    <w:p w14:paraId="5AA7F61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Ron, S., Merino-Viteri, A., &amp; Ortiz, D. (2020). </w:t>
      </w:r>
      <w:r w:rsidRPr="00AD6FDF">
        <w:rPr>
          <w:rFonts w:ascii="Times New Roman" w:hAnsi="Times New Roman" w:cs="Times New Roman"/>
          <w:i/>
          <w:iCs/>
          <w:noProof/>
          <w:sz w:val="24"/>
          <w:szCs w:val="24"/>
        </w:rPr>
        <w:t>Anfibios del Ecuador</w:t>
      </w:r>
      <w:r w:rsidRPr="00AD6FDF">
        <w:rPr>
          <w:rFonts w:ascii="Times New Roman" w:hAnsi="Times New Roman" w:cs="Times New Roman"/>
          <w:noProof/>
          <w:sz w:val="24"/>
          <w:szCs w:val="24"/>
        </w:rPr>
        <w:t>. Recuperado el 18 de abril de 2020, de Museo de Zoología, Pontificia Universidad Católica del Ecuador: https://bioweb.bio/faunaweb/amphibiaweb</w:t>
      </w:r>
    </w:p>
    <w:p w14:paraId="7898E4DC"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rPr>
      </w:pPr>
      <w:r w:rsidRPr="00AD6FDF">
        <w:rPr>
          <w:rFonts w:ascii="Times New Roman" w:hAnsi="Times New Roman" w:cs="Times New Roman"/>
          <w:noProof/>
          <w:sz w:val="24"/>
          <w:szCs w:val="24"/>
        </w:rPr>
        <w:t xml:space="preserve">Torres, C. O., Pazmiño, O. G., &amp; Salazar, V. D. (2020). </w:t>
      </w:r>
      <w:r w:rsidRPr="00AD6FDF">
        <w:rPr>
          <w:rFonts w:ascii="Times New Roman" w:hAnsi="Times New Roman" w:cs="Times New Roman"/>
          <w:i/>
          <w:iCs/>
          <w:noProof/>
          <w:sz w:val="24"/>
          <w:szCs w:val="24"/>
        </w:rPr>
        <w:t>Reptiles del Ecuador</w:t>
      </w:r>
      <w:r w:rsidRPr="00AD6FDF">
        <w:rPr>
          <w:rFonts w:ascii="Times New Roman" w:hAnsi="Times New Roman" w:cs="Times New Roman"/>
          <w:noProof/>
          <w:sz w:val="24"/>
          <w:szCs w:val="24"/>
        </w:rPr>
        <w:t>. Recuperado el 20 de abril de 2020, de Museo de Zoología, Pontificia Universidad Católica del Ecuador: https://bioweb.bio/faunaweb.html</w:t>
      </w:r>
    </w:p>
    <w:p w14:paraId="1C90CC94"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rPr>
        <w:t xml:space="preserve">Valencia-Aguilar, A., Cortés-Gómez, A., &amp; Ruiz-Agudelo, C. (2013). </w:t>
      </w:r>
      <w:r w:rsidRPr="00AD6FDF">
        <w:rPr>
          <w:rFonts w:ascii="Times New Roman" w:hAnsi="Times New Roman" w:cs="Times New Roman"/>
          <w:noProof/>
          <w:sz w:val="24"/>
          <w:szCs w:val="24"/>
          <w:lang w:val="en-US"/>
        </w:rPr>
        <w:t xml:space="preserve">Ecosystem services provided by amphibians and reptiles in Neotropical ecosystems. </w:t>
      </w:r>
      <w:r w:rsidRPr="00AD6FDF">
        <w:rPr>
          <w:rFonts w:ascii="Times New Roman" w:hAnsi="Times New Roman" w:cs="Times New Roman"/>
          <w:i/>
          <w:iCs/>
          <w:noProof/>
          <w:sz w:val="24"/>
          <w:szCs w:val="24"/>
          <w:lang w:val="en-US"/>
        </w:rPr>
        <w:t>International Journal of Biodiversity Science, Ecosystem Services &amp; Management, 9(3)</w:t>
      </w:r>
      <w:r w:rsidRPr="00AD6FDF">
        <w:rPr>
          <w:rFonts w:ascii="Times New Roman" w:hAnsi="Times New Roman" w:cs="Times New Roman"/>
          <w:noProof/>
          <w:sz w:val="24"/>
          <w:szCs w:val="24"/>
          <w:lang w:val="en-US"/>
        </w:rPr>
        <w:t>, 257-272.</w:t>
      </w:r>
    </w:p>
    <w:p w14:paraId="7A04F898" w14:textId="77777777" w:rsidR="00AD6FDF" w:rsidRPr="00AD6FDF" w:rsidRDefault="00AD6FDF" w:rsidP="006B706D">
      <w:pPr>
        <w:pStyle w:val="Bibliografa"/>
        <w:spacing w:before="100" w:after="100" w:line="240" w:lineRule="auto"/>
        <w:ind w:left="720" w:hanging="720"/>
        <w:jc w:val="both"/>
        <w:rPr>
          <w:rFonts w:ascii="Times New Roman" w:hAnsi="Times New Roman" w:cs="Times New Roman"/>
          <w:noProof/>
          <w:sz w:val="24"/>
          <w:szCs w:val="24"/>
          <w:lang w:val="en-US"/>
        </w:rPr>
      </w:pPr>
      <w:r w:rsidRPr="00AD6FDF">
        <w:rPr>
          <w:rFonts w:ascii="Times New Roman" w:hAnsi="Times New Roman" w:cs="Times New Roman"/>
          <w:noProof/>
          <w:sz w:val="24"/>
          <w:szCs w:val="24"/>
          <w:lang w:val="en-US"/>
        </w:rPr>
        <w:t xml:space="preserve">Velasco, S. (2015). </w:t>
      </w:r>
      <w:r w:rsidRPr="00AD6FDF">
        <w:rPr>
          <w:rFonts w:ascii="Times New Roman" w:hAnsi="Times New Roman" w:cs="Times New Roman"/>
          <w:noProof/>
          <w:sz w:val="24"/>
          <w:szCs w:val="24"/>
        </w:rPr>
        <w:t xml:space="preserve">Identificación de sitios estratégicos para el avistamiento de anfibios como atractivo turístico en la ruta hacia el volcán Sumaco, parroquia Cotundo, cantón Archidona, provincia Del Napo. </w:t>
      </w:r>
      <w:r w:rsidRPr="00AD6FDF">
        <w:rPr>
          <w:rFonts w:ascii="Times New Roman" w:hAnsi="Times New Roman" w:cs="Times New Roman"/>
          <w:i/>
          <w:iCs/>
          <w:noProof/>
          <w:sz w:val="24"/>
          <w:szCs w:val="24"/>
          <w:lang w:val="en-US"/>
        </w:rPr>
        <w:t>(Tesis de grado).</w:t>
      </w:r>
      <w:r w:rsidRPr="00AD6FDF">
        <w:rPr>
          <w:rFonts w:ascii="Times New Roman" w:hAnsi="Times New Roman" w:cs="Times New Roman"/>
          <w:noProof/>
          <w:sz w:val="24"/>
          <w:szCs w:val="24"/>
          <w:lang w:val="en-US"/>
        </w:rPr>
        <w:t xml:space="preserve"> Universidad Central del Ecuador. </w:t>
      </w:r>
    </w:p>
    <w:p w14:paraId="21A8ABD9" w14:textId="723CFAF0" w:rsidR="00D6049F" w:rsidRPr="00916707" w:rsidRDefault="00AD6FDF" w:rsidP="006B706D">
      <w:pPr>
        <w:pStyle w:val="Bibliografa"/>
        <w:spacing w:before="100" w:after="100" w:line="240" w:lineRule="auto"/>
        <w:ind w:left="720" w:hanging="720"/>
        <w:jc w:val="both"/>
        <w:rPr>
          <w:rFonts w:ascii="Verdana" w:hAnsi="Verdana" w:cs="Calibri"/>
          <w:b/>
          <w:bCs/>
          <w:sz w:val="20"/>
          <w:szCs w:val="20"/>
        </w:rPr>
      </w:pPr>
      <w:r w:rsidRPr="00AD6FDF">
        <w:rPr>
          <w:rFonts w:ascii="Times New Roman" w:hAnsi="Times New Roman" w:cs="Times New Roman"/>
          <w:noProof/>
          <w:sz w:val="24"/>
          <w:szCs w:val="24"/>
          <w:lang w:val="en-US"/>
        </w:rPr>
        <w:t xml:space="preserve">Working Group on Environmental Auditing. (2013). </w:t>
      </w:r>
      <w:r w:rsidRPr="00AD6FDF">
        <w:rPr>
          <w:rFonts w:ascii="Times New Roman" w:hAnsi="Times New Roman" w:cs="Times New Roman"/>
          <w:i/>
          <w:iCs/>
          <w:noProof/>
          <w:sz w:val="24"/>
          <w:szCs w:val="24"/>
          <w:lang w:val="en-US"/>
        </w:rPr>
        <w:t>Impact of Tourism on Wildlife Conservation</w:t>
      </w:r>
      <w:r w:rsidRPr="00AD6FDF">
        <w:rPr>
          <w:rFonts w:ascii="Times New Roman" w:hAnsi="Times New Roman" w:cs="Times New Roman"/>
          <w:noProof/>
          <w:sz w:val="24"/>
          <w:szCs w:val="24"/>
          <w:lang w:val="en-US"/>
        </w:rPr>
        <w:t xml:space="preserve">. </w:t>
      </w:r>
      <w:r w:rsidRPr="00AD6FDF">
        <w:rPr>
          <w:rFonts w:ascii="Times New Roman" w:hAnsi="Times New Roman" w:cs="Times New Roman"/>
          <w:noProof/>
          <w:sz w:val="24"/>
          <w:szCs w:val="24"/>
        </w:rPr>
        <w:t>Recuperado el 12 de enero del 2021, de INTOSAI: http://iced.cag.gov.in</w:t>
      </w:r>
      <w:r w:rsidRPr="00916707">
        <w:rPr>
          <w:rFonts w:ascii="Verdana" w:hAnsi="Verdana" w:cs="Calibri"/>
          <w:noProof/>
          <w:sz w:val="20"/>
          <w:szCs w:val="20"/>
        </w:rPr>
        <w:t>/wp-content/uploads/2014/02/2013_wgea_Wild-Life_view.pdf</w:t>
      </w:r>
    </w:p>
    <w:p w14:paraId="62E66C08" w14:textId="1BABA30B" w:rsidR="00026DAC" w:rsidRPr="00026DAC" w:rsidRDefault="00026DAC" w:rsidP="002E47F3">
      <w:pPr>
        <w:pStyle w:val="5TextocomnIIGG"/>
        <w:spacing w:after="120"/>
        <w:ind w:firstLine="567"/>
      </w:pPr>
    </w:p>
    <w:sectPr w:rsidR="00026DAC" w:rsidRPr="00026DAC" w:rsidSect="00E4199A">
      <w:headerReference w:type="default" r:id="rId13"/>
      <w:footerReference w:type="default" r:id="rId14"/>
      <w:headerReference w:type="firs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3CED" w14:textId="77777777" w:rsidR="00E31ED1" w:rsidRDefault="00E31ED1" w:rsidP="002061AB">
      <w:pPr>
        <w:spacing w:after="0" w:line="240" w:lineRule="auto"/>
      </w:pPr>
      <w:r>
        <w:separator/>
      </w:r>
    </w:p>
  </w:endnote>
  <w:endnote w:type="continuationSeparator" w:id="0">
    <w:p w14:paraId="7B9A6EB0" w14:textId="77777777" w:rsidR="00E31ED1" w:rsidRDefault="00E31ED1"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70DB" w14:textId="77777777" w:rsidR="00D849DA" w:rsidRDefault="00D849DA" w:rsidP="00D849DA">
    <w:pPr>
      <w:tabs>
        <w:tab w:val="center" w:pos="4252"/>
        <w:tab w:val="right" w:pos="8504"/>
      </w:tabs>
      <w:jc w:val="center"/>
      <w:rPr>
        <w:rFonts w:ascii="Times New Roman" w:eastAsia="Calibri" w:hAnsi="Times New Roman" w:cs="Times New Roman"/>
        <w:b/>
        <w:bCs/>
        <w:color w:val="C00000"/>
        <w:sz w:val="18"/>
        <w:szCs w:val="18"/>
        <w:lang w:val="en-GB"/>
      </w:rPr>
    </w:pPr>
  </w:p>
  <w:p w14:paraId="2A785E30" w14:textId="1C479C63" w:rsidR="00D849DA" w:rsidRPr="00D849DA" w:rsidRDefault="00D849DA" w:rsidP="00D849DA">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D849DA">
      <w:rPr>
        <w:rFonts w:ascii="Times New Roman" w:eastAsia="Calibri" w:hAnsi="Times New Roman" w:cs="Times New Roman"/>
        <w:b/>
        <w:bCs/>
        <w:color w:val="C00000"/>
        <w:sz w:val="18"/>
        <w:szCs w:val="18"/>
        <w:lang w:val="en-GB"/>
      </w:rPr>
      <w:t>Revista</w:t>
    </w:r>
    <w:proofErr w:type="spellEnd"/>
    <w:r w:rsidRPr="00D849DA">
      <w:rPr>
        <w:rFonts w:ascii="Times New Roman" w:eastAsia="Calibri" w:hAnsi="Times New Roman" w:cs="Times New Roman"/>
        <w:b/>
        <w:bCs/>
        <w:color w:val="C00000"/>
        <w:sz w:val="18"/>
        <w:szCs w:val="18"/>
        <w:lang w:val="en-GB"/>
      </w:rPr>
      <w:t xml:space="preserve"> Internacional de Turismo, </w:t>
    </w:r>
    <w:proofErr w:type="spellStart"/>
    <w:r w:rsidRPr="00D849DA">
      <w:rPr>
        <w:rFonts w:ascii="Times New Roman" w:eastAsia="Calibri" w:hAnsi="Times New Roman" w:cs="Times New Roman"/>
        <w:b/>
        <w:bCs/>
        <w:color w:val="C00000"/>
        <w:sz w:val="18"/>
        <w:szCs w:val="18"/>
        <w:lang w:val="en-GB"/>
      </w:rPr>
      <w:t>Empresa</w:t>
    </w:r>
    <w:proofErr w:type="spellEnd"/>
    <w:r w:rsidRPr="00D849DA">
      <w:rPr>
        <w:rFonts w:ascii="Times New Roman" w:eastAsia="Calibri" w:hAnsi="Times New Roman" w:cs="Times New Roman"/>
        <w:b/>
        <w:bCs/>
        <w:color w:val="C00000"/>
        <w:sz w:val="18"/>
        <w:szCs w:val="18"/>
        <w:lang w:val="en-GB"/>
      </w:rPr>
      <w:t xml:space="preserve"> y </w:t>
    </w:r>
    <w:proofErr w:type="spellStart"/>
    <w:r w:rsidRPr="00D849DA">
      <w:rPr>
        <w:rFonts w:ascii="Times New Roman" w:eastAsia="Calibri" w:hAnsi="Times New Roman" w:cs="Times New Roman"/>
        <w:b/>
        <w:bCs/>
        <w:color w:val="C00000"/>
        <w:sz w:val="18"/>
        <w:szCs w:val="18"/>
        <w:lang w:val="en-GB"/>
      </w:rPr>
      <w:t>Territorio</w:t>
    </w:r>
    <w:proofErr w:type="spellEnd"/>
    <w:r w:rsidRPr="00D849DA">
      <w:rPr>
        <w:rFonts w:ascii="Times New Roman" w:eastAsia="Calibri" w:hAnsi="Times New Roman" w:cs="Times New Roman"/>
        <w:b/>
        <w:bCs/>
        <w:color w:val="C00000"/>
        <w:sz w:val="18"/>
        <w:szCs w:val="18"/>
        <w:lang w:val="en-GB"/>
      </w:rPr>
      <w:t xml:space="preserve">, vol. 8, nº 2, 2024, pp. </w:t>
    </w:r>
    <w:r>
      <w:rPr>
        <w:rFonts w:ascii="Times New Roman" w:eastAsia="Calibri" w:hAnsi="Times New Roman" w:cs="Times New Roman"/>
        <w:b/>
        <w:bCs/>
        <w:color w:val="C00000"/>
        <w:sz w:val="18"/>
        <w:szCs w:val="18"/>
        <w:lang w:val="en-GB"/>
      </w:rPr>
      <w:t>220</w:t>
    </w:r>
    <w:r w:rsidRPr="00D849DA">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239</w:t>
    </w:r>
    <w:r w:rsidRPr="00D849DA">
      <w:rPr>
        <w:rFonts w:ascii="Times New Roman" w:eastAsia="Calibri" w:hAnsi="Times New Roman" w:cs="Times New Roman"/>
        <w:b/>
        <w:bCs/>
        <w:color w:val="C00000"/>
        <w:sz w:val="18"/>
        <w:szCs w:val="18"/>
        <w:lang w:val="en-GB"/>
      </w:rPr>
      <w:t xml:space="preserve">.  </w:t>
    </w:r>
  </w:p>
  <w:p w14:paraId="1A33EC75" w14:textId="242B83A5" w:rsidR="002061AB" w:rsidRDefault="00D849DA" w:rsidP="00D849DA">
    <w:pPr>
      <w:tabs>
        <w:tab w:val="center" w:pos="4252"/>
        <w:tab w:val="right" w:pos="8504"/>
      </w:tabs>
      <w:spacing w:after="0" w:line="240" w:lineRule="auto"/>
      <w:jc w:val="center"/>
    </w:pPr>
    <w:r w:rsidRPr="00D849DA">
      <w:rPr>
        <w:rFonts w:ascii="Times New Roman" w:eastAsia="Calibri" w:hAnsi="Times New Roman" w:cs="Times New Roman"/>
        <w:sz w:val="18"/>
        <w:szCs w:val="18"/>
        <w:lang w:val="en-GB"/>
      </w:rPr>
      <w:t>https://www.uco.es/ucopress/ojs/index.php/riturem/index</w:t>
    </w:r>
    <w:r w:rsidRPr="00D849DA">
      <w:rPr>
        <w:rFonts w:ascii="Times New Roman" w:eastAsia="Calibri" w:hAnsi="Times New Roman" w:cs="Times New Roman"/>
        <w:sz w:val="20"/>
        <w:szCs w:val="20"/>
      </w:rPr>
      <w:fldChar w:fldCharType="begin"/>
    </w:r>
    <w:r w:rsidRPr="00D849DA">
      <w:rPr>
        <w:rFonts w:ascii="Times New Roman" w:eastAsia="Calibri" w:hAnsi="Times New Roman" w:cs="Times New Roman"/>
        <w:sz w:val="20"/>
        <w:szCs w:val="20"/>
        <w:lang w:val="en-GB"/>
      </w:rPr>
      <w:instrText>PAGE   \* MERGEFORMAT</w:instrText>
    </w:r>
    <w:r w:rsidRPr="00D849DA">
      <w:rPr>
        <w:rFonts w:ascii="Times New Roman" w:eastAsia="Calibri" w:hAnsi="Times New Roman" w:cs="Times New Roman"/>
        <w:sz w:val="20"/>
        <w:szCs w:val="20"/>
      </w:rPr>
      <w:fldChar w:fldCharType="separate"/>
    </w:r>
    <w:r w:rsidRPr="00D849DA">
      <w:rPr>
        <w:rFonts w:ascii="Times New Roman" w:eastAsia="Calibri" w:hAnsi="Times New Roman" w:cs="Times New Roman"/>
        <w:sz w:val="20"/>
        <w:szCs w:val="20"/>
        <w:lang w:val="en-GB"/>
      </w:rPr>
      <w:t>2</w:t>
    </w:r>
    <w:r w:rsidRPr="00D849D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08D" w14:textId="77777777" w:rsidR="00A36AB9" w:rsidRDefault="00A36AB9" w:rsidP="00A36AB9">
    <w:pPr>
      <w:pStyle w:val="Piedepgina"/>
      <w:rPr>
        <w:rFonts w:ascii="Times New Roman" w:eastAsia="Calibri" w:hAnsi="Times New Roman" w:cs="Times New Roman"/>
        <w:b/>
        <w:lang w:val="en-GB"/>
      </w:rPr>
    </w:pPr>
    <w:r>
      <w:rPr>
        <w:rFonts w:ascii="Times New Roman" w:eastAsia="Calibri" w:hAnsi="Times New Roman" w:cs="Times New Roman"/>
        <w:b/>
        <w:lang w:val="en-GB"/>
      </w:rPr>
      <w:t xml:space="preserve">   </w:t>
    </w:r>
  </w:p>
  <w:p w14:paraId="0EB62246" w14:textId="7368B731" w:rsidR="00A36AB9" w:rsidRDefault="00A36AB9" w:rsidP="00A36AB9">
    <w:pPr>
      <w:pStyle w:val="Piedepgina"/>
      <w:rPr>
        <w:rFonts w:ascii="Times New Roman" w:eastAsia="Calibri" w:hAnsi="Times New Roman" w:cs="Times New Roman"/>
        <w:lang w:val="en-GB"/>
      </w:rPr>
    </w:pPr>
    <w:r>
      <w:rPr>
        <w:rFonts w:ascii="Times New Roman" w:eastAsia="Calibri" w:hAnsi="Times New Roman" w:cs="Times New Roman"/>
        <w:b/>
        <w:lang w:val="en-GB"/>
      </w:rPr>
      <w:t xml:space="preserve">    </w:t>
    </w:r>
    <w:proofErr w:type="spellStart"/>
    <w:r w:rsidRPr="00C63A94">
      <w:rPr>
        <w:rFonts w:ascii="Times New Roman" w:eastAsia="Calibri" w:hAnsi="Times New Roman" w:cs="Times New Roman"/>
        <w:b/>
        <w:lang w:val="en-GB"/>
      </w:rPr>
      <w:t>Recepción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w:t>
    </w:r>
    <w:r w:rsidRPr="00580797">
      <w:rPr>
        <w:rFonts w:ascii="Times New Roman" w:eastAsia="Calibri" w:hAnsi="Times New Roman" w:cs="Times New Roman"/>
        <w:lang w:val="en-GB"/>
      </w:rPr>
      <w:t>0</w:t>
    </w:r>
    <w:r>
      <w:rPr>
        <w:rFonts w:ascii="Times New Roman" w:eastAsia="Calibri" w:hAnsi="Times New Roman" w:cs="Times New Roman"/>
        <w:lang w:val="en-GB"/>
      </w:rPr>
      <w:t>5</w:t>
    </w:r>
    <w:r w:rsidRPr="00580797">
      <w:rPr>
        <w:rFonts w:ascii="Times New Roman" w:eastAsia="Calibri" w:hAnsi="Times New Roman" w:cs="Times New Roman"/>
        <w:lang w:val="en-GB"/>
      </w:rPr>
      <w:t>/0</w:t>
    </w:r>
    <w:r>
      <w:rPr>
        <w:rFonts w:ascii="Times New Roman" w:eastAsia="Calibri" w:hAnsi="Times New Roman" w:cs="Times New Roman"/>
        <w:lang w:val="en-GB"/>
      </w:rPr>
      <w:t>4</w:t>
    </w:r>
    <w:r w:rsidRPr="00580797">
      <w:rPr>
        <w:rFonts w:ascii="Times New Roman" w:eastAsia="Calibri" w:hAnsi="Times New Roman" w:cs="Times New Roman"/>
        <w:lang w:val="en-GB"/>
      </w:rPr>
      <w:t>/202</w:t>
    </w:r>
    <w:r>
      <w:rPr>
        <w:rFonts w:ascii="Times New Roman" w:eastAsia="Calibri" w:hAnsi="Times New Roman" w:cs="Times New Roman"/>
        <w:lang w:val="en-GB"/>
      </w:rPr>
      <w:t>3</w:t>
    </w:r>
    <w:r w:rsidRPr="00C63A94">
      <w:rPr>
        <w:rFonts w:ascii="Times New Roman" w:eastAsia="Calibri" w:hAnsi="Times New Roman" w:cs="Times New Roman"/>
        <w:bCs/>
        <w:lang w:val="en-GB"/>
      </w:rPr>
      <w:tab/>
    </w:r>
    <w:proofErr w:type="spellStart"/>
    <w:r w:rsidRPr="00C63A94">
      <w:rPr>
        <w:rFonts w:ascii="Times New Roman" w:eastAsia="Calibri" w:hAnsi="Times New Roman" w:cs="Times New Roman"/>
        <w:b/>
        <w:lang w:val="en-GB"/>
      </w:rPr>
      <w:t>Aceptación</w:t>
    </w:r>
    <w:proofErr w:type="spellEnd"/>
    <w:r w:rsidRPr="00C63A94">
      <w:rPr>
        <w:rFonts w:ascii="Times New Roman" w:eastAsia="Calibri" w:hAnsi="Times New Roman" w:cs="Times New Roman"/>
        <w:lang w:val="en-GB"/>
      </w:rPr>
      <w:t xml:space="preserve">: </w:t>
    </w:r>
    <w:r w:rsidRPr="00580797">
      <w:rPr>
        <w:rFonts w:ascii="Times New Roman" w:eastAsia="Calibri" w:hAnsi="Times New Roman" w:cs="Times New Roman"/>
        <w:lang w:val="en-GB"/>
      </w:rPr>
      <w:t>2</w:t>
    </w:r>
    <w:r>
      <w:rPr>
        <w:rFonts w:ascii="Times New Roman" w:eastAsia="Calibri" w:hAnsi="Times New Roman" w:cs="Times New Roman"/>
        <w:lang w:val="en-GB"/>
      </w:rPr>
      <w:t>3</w:t>
    </w:r>
    <w:r w:rsidRPr="00580797">
      <w:rPr>
        <w:rFonts w:ascii="Times New Roman" w:eastAsia="Calibri" w:hAnsi="Times New Roman" w:cs="Times New Roman"/>
        <w:lang w:val="en-GB"/>
      </w:rPr>
      <w:t>/</w:t>
    </w:r>
    <w:r>
      <w:rPr>
        <w:rFonts w:ascii="Times New Roman" w:eastAsia="Calibri" w:hAnsi="Times New Roman" w:cs="Times New Roman"/>
        <w:lang w:val="en-GB"/>
      </w:rPr>
      <w:t>06</w:t>
    </w:r>
    <w:r w:rsidRPr="00580797">
      <w:rPr>
        <w:rFonts w:ascii="Times New Roman" w:eastAsia="Calibri" w:hAnsi="Times New Roman" w:cs="Times New Roman"/>
        <w:lang w:val="en-GB"/>
      </w:rPr>
      <w:t>/2024</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proofErr w:type="spellStart"/>
    <w:r w:rsidRPr="00C63A94">
      <w:rPr>
        <w:rFonts w:ascii="Times New Roman" w:eastAsia="Calibri" w:hAnsi="Times New Roman" w:cs="Times New Roman"/>
        <w:b/>
        <w:lang w:val="en-GB"/>
      </w:rPr>
      <w:t>Publicación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12</w:t>
    </w:r>
    <w:r w:rsidRPr="00C63A94">
      <w:rPr>
        <w:rFonts w:ascii="Times New Roman" w:eastAsia="Calibri" w:hAnsi="Times New Roman" w:cs="Times New Roman"/>
        <w:lang w:val="en-GB"/>
      </w:rPr>
      <w:t xml:space="preserve">/2024 </w:t>
    </w:r>
  </w:p>
  <w:p w14:paraId="44F6820A" w14:textId="77777777" w:rsidR="00A36AB9" w:rsidRDefault="00A36AB9" w:rsidP="00A36AB9">
    <w:pPr>
      <w:pStyle w:val="Piedepgina"/>
      <w:rPr>
        <w:rFonts w:ascii="Times New Roman" w:eastAsia="Calibri" w:hAnsi="Times New Roman" w:cs="Times New Roman"/>
        <w:lang w:val="en-GB"/>
      </w:rPr>
    </w:pPr>
  </w:p>
  <w:p w14:paraId="7BF03A57" w14:textId="6586467C" w:rsidR="00E4199A" w:rsidRDefault="00A36AB9" w:rsidP="00A36AB9">
    <w:pPr>
      <w:pStyle w:val="Piedepgina"/>
    </w:pPr>
    <w:r>
      <w:rPr>
        <w:rFonts w:ascii="Times New Roman" w:eastAsia="Calibri" w:hAnsi="Times New Roman" w:cs="Times New Roman"/>
        <w:lang w:val="en-GB"/>
      </w:rPr>
      <w:t xml:space="preserve"> </w:t>
    </w:r>
    <w:r w:rsidRPr="00C63A94">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5A9443F8" wp14:editId="050069EC">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D3C9" w14:textId="77777777" w:rsidR="00E31ED1" w:rsidRDefault="00E31ED1" w:rsidP="002061AB">
      <w:pPr>
        <w:spacing w:after="0" w:line="240" w:lineRule="auto"/>
      </w:pPr>
      <w:r>
        <w:separator/>
      </w:r>
    </w:p>
  </w:footnote>
  <w:footnote w:type="continuationSeparator" w:id="0">
    <w:p w14:paraId="0CFD050B" w14:textId="77777777" w:rsidR="00E31ED1" w:rsidRDefault="00E31ED1" w:rsidP="002061AB">
      <w:pPr>
        <w:spacing w:after="0" w:line="240" w:lineRule="auto"/>
      </w:pPr>
      <w:r>
        <w:continuationSeparator/>
      </w:r>
    </w:p>
  </w:footnote>
  <w:footnote w:id="1">
    <w:p w14:paraId="7B28638E" w14:textId="5476CEE0" w:rsidR="00AD0C90" w:rsidRPr="00B45807" w:rsidRDefault="00A03F77" w:rsidP="00B45807">
      <w:pPr>
        <w:spacing w:after="120" w:line="240" w:lineRule="auto"/>
        <w:jc w:val="both"/>
        <w:rPr>
          <w:rFonts w:ascii="Times New Roman" w:hAnsi="Times New Roman" w:cs="Times New Roman"/>
          <w:sz w:val="20"/>
          <w:szCs w:val="20"/>
        </w:rPr>
      </w:pPr>
      <w:r w:rsidRPr="00B45807">
        <w:rPr>
          <w:rStyle w:val="Refdenotaalpie"/>
          <w:rFonts w:ascii="Times New Roman" w:hAnsi="Times New Roman" w:cs="Times New Roman"/>
          <w:sz w:val="20"/>
          <w:szCs w:val="20"/>
        </w:rPr>
        <w:footnoteRef/>
      </w:r>
      <w:r w:rsidRPr="00B45807">
        <w:rPr>
          <w:rFonts w:ascii="Times New Roman" w:hAnsi="Times New Roman" w:cs="Times New Roman"/>
          <w:sz w:val="20"/>
          <w:szCs w:val="20"/>
        </w:rPr>
        <w:t xml:space="preserve"> </w:t>
      </w:r>
      <w:r w:rsidR="004B0B8A" w:rsidRPr="004B0B8A">
        <w:rPr>
          <w:rFonts w:ascii="Times New Roman" w:hAnsi="Times New Roman" w:cs="Times New Roman"/>
          <w:sz w:val="20"/>
          <w:szCs w:val="20"/>
        </w:rPr>
        <w:t xml:space="preserve">Ingeniero en Ecoturismo. </w:t>
      </w:r>
      <w:r w:rsidR="004B0B8A">
        <w:rPr>
          <w:rFonts w:ascii="Times New Roman" w:hAnsi="Times New Roman" w:cs="Times New Roman"/>
          <w:sz w:val="20"/>
          <w:szCs w:val="20"/>
        </w:rPr>
        <w:t xml:space="preserve">Investigador de la </w:t>
      </w:r>
      <w:r w:rsidR="004B0B8A" w:rsidRPr="004B0B8A">
        <w:rPr>
          <w:rFonts w:ascii="Times New Roman" w:hAnsi="Times New Roman" w:cs="Times New Roman"/>
          <w:sz w:val="20"/>
          <w:szCs w:val="20"/>
        </w:rPr>
        <w:t xml:space="preserve">Escuela Superior Politécnica de Chimborazo, Riobamba, Ecuador. </w:t>
      </w:r>
      <w:r w:rsidR="00D31F69" w:rsidRPr="00B45807">
        <w:rPr>
          <w:rFonts w:ascii="Times New Roman" w:hAnsi="Times New Roman" w:cs="Times New Roman"/>
          <w:sz w:val="20"/>
          <w:szCs w:val="20"/>
        </w:rPr>
        <w:t xml:space="preserve"> Email:</w:t>
      </w:r>
      <w:r w:rsidR="00B45807">
        <w:rPr>
          <w:rFonts w:ascii="Times New Roman" w:hAnsi="Times New Roman" w:cs="Times New Roman"/>
          <w:sz w:val="20"/>
          <w:szCs w:val="20"/>
        </w:rPr>
        <w:t xml:space="preserve"> </w:t>
      </w:r>
      <w:hyperlink r:id="rId1" w:history="1">
        <w:r w:rsidR="00B45807" w:rsidRPr="005A7EED">
          <w:rPr>
            <w:rStyle w:val="Hipervnculo"/>
            <w:rFonts w:ascii="Times New Roman" w:hAnsi="Times New Roman" w:cs="Times New Roman"/>
            <w:sz w:val="20"/>
            <w:szCs w:val="20"/>
          </w:rPr>
          <w:t>albertosolis3a@yahoo.es</w:t>
        </w:r>
      </w:hyperlink>
      <w:r w:rsidR="00B45807">
        <w:rPr>
          <w:rFonts w:ascii="Times New Roman" w:hAnsi="Times New Roman" w:cs="Times New Roman"/>
          <w:sz w:val="20"/>
          <w:szCs w:val="20"/>
        </w:rPr>
        <w:t>.</w:t>
      </w:r>
      <w:r w:rsidRPr="00B45807">
        <w:rPr>
          <w:rFonts w:ascii="Times New Roman" w:hAnsi="Times New Roman" w:cs="Times New Roman"/>
          <w:sz w:val="20"/>
          <w:szCs w:val="20"/>
        </w:rPr>
        <w:t xml:space="preserve"> </w:t>
      </w:r>
      <w:r w:rsidRPr="00B45807">
        <w:rPr>
          <w:rFonts w:ascii="Times New Roman" w:hAnsi="Times New Roman" w:cs="Times New Roman"/>
          <w:color w:val="0000FF"/>
          <w:sz w:val="20"/>
          <w:szCs w:val="20"/>
          <w:u w:val="single"/>
        </w:rPr>
        <w:t xml:space="preserve">Id </w:t>
      </w:r>
      <w:proofErr w:type="spellStart"/>
      <w:r w:rsidRPr="00B45807">
        <w:rPr>
          <w:rFonts w:ascii="Times New Roman" w:hAnsi="Times New Roman" w:cs="Times New Roman"/>
          <w:color w:val="0000FF"/>
          <w:sz w:val="20"/>
          <w:szCs w:val="20"/>
          <w:u w:val="single"/>
        </w:rPr>
        <w:t>orcid</w:t>
      </w:r>
      <w:proofErr w:type="spellEnd"/>
      <w:r w:rsidR="00B45807" w:rsidRPr="00B45807">
        <w:rPr>
          <w:rFonts w:ascii="Times New Roman" w:hAnsi="Times New Roman" w:cs="Times New Roman"/>
          <w:sz w:val="20"/>
          <w:szCs w:val="20"/>
        </w:rPr>
        <w:t xml:space="preserve">: </w:t>
      </w:r>
      <w:hyperlink r:id="rId2" w:history="1">
        <w:r w:rsidR="00B45807" w:rsidRPr="00B45807">
          <w:rPr>
            <w:rStyle w:val="Hipervnculo"/>
            <w:rFonts w:ascii="Times New Roman" w:hAnsi="Times New Roman" w:cs="Times New Roman"/>
            <w:sz w:val="20"/>
            <w:szCs w:val="20"/>
          </w:rPr>
          <w:t>https://orcid.org/0000-0002-7688-9374</w:t>
        </w:r>
      </w:hyperlink>
    </w:p>
  </w:footnote>
  <w:footnote w:id="2">
    <w:p w14:paraId="578025E9" w14:textId="7A3683C5" w:rsidR="00A03F77" w:rsidRPr="00B45807" w:rsidRDefault="00A03F77" w:rsidP="00B45807">
      <w:pPr>
        <w:spacing w:after="120" w:line="240" w:lineRule="auto"/>
        <w:jc w:val="both"/>
        <w:rPr>
          <w:rFonts w:ascii="Arial" w:hAnsi="Arial" w:cs="Arial"/>
          <w:sz w:val="20"/>
          <w:szCs w:val="20"/>
        </w:rPr>
      </w:pPr>
      <w:r w:rsidRPr="00B45807">
        <w:rPr>
          <w:rStyle w:val="Refdenotaalpie"/>
          <w:rFonts w:ascii="Times New Roman" w:hAnsi="Times New Roman" w:cs="Times New Roman"/>
          <w:sz w:val="20"/>
          <w:szCs w:val="20"/>
        </w:rPr>
        <w:footnoteRef/>
      </w:r>
      <w:r w:rsidRPr="00B45807">
        <w:rPr>
          <w:rFonts w:ascii="Times New Roman" w:hAnsi="Times New Roman" w:cs="Times New Roman"/>
          <w:sz w:val="20"/>
          <w:szCs w:val="20"/>
        </w:rPr>
        <w:t xml:space="preserve"> </w:t>
      </w:r>
      <w:r w:rsidR="00B45807" w:rsidRPr="00B45807">
        <w:rPr>
          <w:rFonts w:ascii="Times New Roman" w:hAnsi="Times New Roman" w:cs="Times New Roman"/>
          <w:sz w:val="20"/>
          <w:szCs w:val="20"/>
        </w:rPr>
        <w:t xml:space="preserve">Docente e investigador </w:t>
      </w:r>
      <w:r w:rsidR="004B0B8A">
        <w:rPr>
          <w:rFonts w:ascii="Times New Roman" w:hAnsi="Times New Roman" w:cs="Times New Roman"/>
          <w:sz w:val="20"/>
          <w:szCs w:val="20"/>
        </w:rPr>
        <w:t>d</w:t>
      </w:r>
      <w:r w:rsidR="00B45807" w:rsidRPr="00B45807">
        <w:rPr>
          <w:rFonts w:ascii="Times New Roman" w:hAnsi="Times New Roman" w:cs="Times New Roman"/>
          <w:sz w:val="20"/>
          <w:szCs w:val="20"/>
        </w:rPr>
        <w:t xml:space="preserve">el Instituto Tecnológico </w:t>
      </w:r>
      <w:proofErr w:type="spellStart"/>
      <w:r w:rsidR="00B45807" w:rsidRPr="00B45807">
        <w:rPr>
          <w:rFonts w:ascii="Times New Roman" w:hAnsi="Times New Roman" w:cs="Times New Roman"/>
          <w:sz w:val="20"/>
          <w:szCs w:val="20"/>
        </w:rPr>
        <w:t>Edupraxis</w:t>
      </w:r>
      <w:proofErr w:type="spellEnd"/>
      <w:r w:rsidR="00B45807" w:rsidRPr="00B45807">
        <w:rPr>
          <w:rFonts w:ascii="Times New Roman" w:hAnsi="Times New Roman" w:cs="Times New Roman"/>
          <w:sz w:val="20"/>
          <w:szCs w:val="20"/>
        </w:rPr>
        <w:t>, Ambato, Tungurahua, Ecuador</w:t>
      </w:r>
      <w:r w:rsidRPr="00B45807">
        <w:rPr>
          <w:rFonts w:ascii="Times New Roman" w:hAnsi="Times New Roman" w:cs="Times New Roman"/>
          <w:sz w:val="20"/>
          <w:szCs w:val="20"/>
        </w:rPr>
        <w:t>.</w:t>
      </w:r>
      <w:r w:rsidR="00B45807" w:rsidRPr="00B45807">
        <w:rPr>
          <w:rFonts w:ascii="Times New Roman" w:hAnsi="Times New Roman" w:cs="Times New Roman"/>
          <w:sz w:val="20"/>
          <w:szCs w:val="20"/>
        </w:rPr>
        <w:t xml:space="preserve"> Email:</w:t>
      </w:r>
      <w:r w:rsidRPr="00B45807">
        <w:rPr>
          <w:rFonts w:ascii="Times New Roman" w:hAnsi="Times New Roman" w:cs="Times New Roman"/>
          <w:sz w:val="20"/>
          <w:szCs w:val="20"/>
        </w:rPr>
        <w:t xml:space="preserve"> </w:t>
      </w:r>
      <w:hyperlink r:id="rId3" w:history="1">
        <w:r w:rsidR="00B45807" w:rsidRPr="00B45807">
          <w:rPr>
            <w:rStyle w:val="Hipervnculo"/>
            <w:rFonts w:ascii="Times New Roman" w:hAnsi="Times New Roman" w:cs="Times New Roman"/>
            <w:sz w:val="20"/>
            <w:szCs w:val="20"/>
          </w:rPr>
          <w:t>jguamant@tecnologicoedupraxis.edu.ec</w:t>
        </w:r>
      </w:hyperlink>
      <w:r w:rsidRPr="00B45807">
        <w:rPr>
          <w:rFonts w:ascii="Times New Roman" w:hAnsi="Times New Roman" w:cs="Times New Roman"/>
          <w:sz w:val="20"/>
          <w:szCs w:val="20"/>
        </w:rPr>
        <w:t xml:space="preserve">. </w:t>
      </w:r>
      <w:r w:rsidRPr="00B45807">
        <w:rPr>
          <w:rFonts w:ascii="Times New Roman" w:hAnsi="Times New Roman" w:cs="Times New Roman"/>
          <w:color w:val="0000FF"/>
          <w:sz w:val="20"/>
          <w:szCs w:val="20"/>
          <w:u w:val="single"/>
        </w:rPr>
        <w:t xml:space="preserve">Id </w:t>
      </w:r>
      <w:proofErr w:type="spellStart"/>
      <w:r w:rsidRPr="00B45807">
        <w:rPr>
          <w:rFonts w:ascii="Times New Roman" w:hAnsi="Times New Roman" w:cs="Times New Roman"/>
          <w:color w:val="0000FF"/>
          <w:sz w:val="20"/>
          <w:szCs w:val="20"/>
          <w:u w:val="single"/>
        </w:rPr>
        <w:t>orcid</w:t>
      </w:r>
      <w:proofErr w:type="spellEnd"/>
      <w:r w:rsidR="00B45807" w:rsidRPr="00B45807">
        <w:rPr>
          <w:rFonts w:ascii="Times New Roman" w:hAnsi="Times New Roman" w:cs="Times New Roman"/>
          <w:sz w:val="20"/>
          <w:szCs w:val="20"/>
        </w:rPr>
        <w:t xml:space="preserve">: </w:t>
      </w:r>
      <w:hyperlink r:id="rId4" w:history="1">
        <w:r w:rsidR="00B45807" w:rsidRPr="00B45807">
          <w:rPr>
            <w:rStyle w:val="Hipervnculo"/>
            <w:rFonts w:ascii="Times New Roman" w:hAnsi="Times New Roman" w:cs="Times New Roman"/>
            <w:sz w:val="20"/>
            <w:szCs w:val="20"/>
          </w:rPr>
          <w:t>https://orcid.org/0009-0003-2620-6787</w:t>
        </w:r>
      </w:hyperlink>
      <w:r w:rsidR="004B0B8A" w:rsidRPr="004B0B8A">
        <w:rPr>
          <w:rStyle w:val="Hipervnculo"/>
          <w:rFonts w:ascii="Times New Roman" w:hAnsi="Times New Roman" w:cs="Times New Roman"/>
          <w:sz w:val="20"/>
          <w:szCs w:val="20"/>
          <w:u w:val="none"/>
        </w:rPr>
        <w:t xml:space="preserve"> </w:t>
      </w:r>
      <w:r w:rsidR="00B45807" w:rsidRPr="00B45807">
        <w:rPr>
          <w:rFonts w:ascii="Times New Roman" w:hAnsi="Times New Roman" w:cs="Times New Roman"/>
          <w:sz w:val="20"/>
          <w:szCs w:val="20"/>
        </w:rPr>
        <w:t xml:space="preserve">*Autor </w:t>
      </w:r>
      <w:r w:rsidR="00B4585F">
        <w:rPr>
          <w:rFonts w:ascii="Times New Roman" w:hAnsi="Times New Roman" w:cs="Times New Roman"/>
          <w:sz w:val="20"/>
          <w:szCs w:val="20"/>
        </w:rPr>
        <w:t xml:space="preserve">principal </w:t>
      </w:r>
      <w:r w:rsidR="00B45807" w:rsidRPr="00B45807">
        <w:rPr>
          <w:rFonts w:ascii="Times New Roman" w:hAnsi="Times New Roman" w:cs="Times New Roman"/>
          <w:sz w:val="20"/>
          <w:szCs w:val="20"/>
        </w:rPr>
        <w:t>para la correspondencia</w:t>
      </w:r>
    </w:p>
  </w:footnote>
  <w:footnote w:id="3">
    <w:p w14:paraId="4E8E72E2" w14:textId="03C005E5" w:rsidR="004B0B8A" w:rsidRPr="004B0B8A" w:rsidRDefault="004B0B8A" w:rsidP="004B0B8A">
      <w:pPr>
        <w:pStyle w:val="Textonotapie"/>
        <w:jc w:val="both"/>
        <w:rPr>
          <w:rFonts w:ascii="Times New Roman" w:hAnsi="Times New Roman" w:cs="Times New Roman"/>
          <w:lang w:val="pt-PT"/>
        </w:rPr>
      </w:pPr>
      <w:r>
        <w:rPr>
          <w:rStyle w:val="Refdenotaalpie"/>
        </w:rPr>
        <w:footnoteRef/>
      </w:r>
      <w:r>
        <w:t xml:space="preserve"> </w:t>
      </w:r>
      <w:r w:rsidRPr="004B0B8A">
        <w:rPr>
          <w:rFonts w:ascii="Times New Roman" w:hAnsi="Times New Roman" w:cs="Times New Roman"/>
        </w:rPr>
        <w:t xml:space="preserve">Profesor titular e investigador de la Facultad de Recursos Naturales, Escuela Superior Politécnica de Chimborazo, Riobamba, Ecuador. </w:t>
      </w:r>
      <w:r w:rsidRPr="00026C38">
        <w:rPr>
          <w:rFonts w:ascii="Times New Roman" w:hAnsi="Times New Roman" w:cs="Times New Roman"/>
          <w:lang w:val="pt-PT"/>
        </w:rPr>
        <w:t xml:space="preserve">Email: </w:t>
      </w:r>
      <w:hyperlink r:id="rId5" w:history="1">
        <w:r w:rsidRPr="00026C38">
          <w:rPr>
            <w:rStyle w:val="Hipervnculo"/>
            <w:rFonts w:ascii="Times New Roman" w:hAnsi="Times New Roman" w:cs="Times New Roman"/>
            <w:lang w:val="pt-PT"/>
          </w:rPr>
          <w:t>carlos.cajas@espoch.edu.ec</w:t>
        </w:r>
      </w:hyperlink>
      <w:r w:rsidRPr="00026C38">
        <w:rPr>
          <w:rFonts w:ascii="Times New Roman" w:hAnsi="Times New Roman" w:cs="Times New Roman"/>
          <w:lang w:val="pt-PT"/>
        </w:rPr>
        <w:t xml:space="preserve">  Id. </w:t>
      </w:r>
      <w:proofErr w:type="spellStart"/>
      <w:r w:rsidRPr="004B0B8A">
        <w:rPr>
          <w:rFonts w:ascii="Times New Roman" w:hAnsi="Times New Roman" w:cs="Times New Roman"/>
          <w:lang w:val="pt-PT"/>
        </w:rPr>
        <w:t>Orcid</w:t>
      </w:r>
      <w:proofErr w:type="spellEnd"/>
      <w:r w:rsidRPr="004B0B8A">
        <w:rPr>
          <w:rFonts w:ascii="Times New Roman" w:hAnsi="Times New Roman" w:cs="Times New Roman"/>
          <w:lang w:val="pt-PT"/>
        </w:rPr>
        <w:t xml:space="preserve">: </w:t>
      </w:r>
      <w:hyperlink r:id="rId6" w:history="1">
        <w:r w:rsidRPr="00D96959">
          <w:rPr>
            <w:rStyle w:val="Hipervnculo"/>
            <w:rFonts w:ascii="Times New Roman" w:hAnsi="Times New Roman" w:cs="Times New Roman"/>
            <w:lang w:val="pt-PT"/>
          </w:rPr>
          <w:t>https://orcid.org/0000-0002-9945-0006</w:t>
        </w:r>
      </w:hyperlink>
      <w:r>
        <w:rPr>
          <w:rFonts w:ascii="Times New Roman" w:hAnsi="Times New Roman" w:cs="Times New Roman"/>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7EA7" w14:textId="6246E2CC" w:rsidR="00A36AB9" w:rsidRPr="00765BBD" w:rsidRDefault="00A36AB9" w:rsidP="00A36AB9">
    <w:pPr>
      <w:tabs>
        <w:tab w:val="center" w:pos="4252"/>
        <w:tab w:val="right" w:pos="8504"/>
      </w:tabs>
      <w:rPr>
        <w:rFonts w:ascii="Calibri" w:eastAsia="Calibri" w:hAnsi="Calibri" w:cs="Times New Roman"/>
        <w:b/>
        <w:sz w:val="20"/>
        <w:szCs w:val="20"/>
      </w:rPr>
    </w:pPr>
    <w:r w:rsidRPr="00A36AB9">
      <w:rPr>
        <w:rFonts w:ascii="Times New Roman" w:eastAsia="Calibri" w:hAnsi="Times New Roman" w:cs="Times New Roman"/>
        <w:b/>
        <w:i/>
        <w:iCs/>
        <w:color w:val="C0504D"/>
        <w:sz w:val="20"/>
        <w:szCs w:val="20"/>
      </w:rPr>
      <w:t xml:space="preserve">Productos turismo herpetológico </w:t>
    </w:r>
    <w:r w:rsidR="00765BBD">
      <w:rPr>
        <w:rFonts w:ascii="Times New Roman" w:eastAsia="Calibri" w:hAnsi="Times New Roman" w:cs="Times New Roman"/>
        <w:b/>
        <w:i/>
        <w:iCs/>
        <w:color w:val="C0504D"/>
        <w:sz w:val="20"/>
        <w:szCs w:val="20"/>
      </w:rPr>
      <w:t xml:space="preserve">(…) </w:t>
    </w:r>
    <w:r w:rsidRPr="00A36AB9">
      <w:rPr>
        <w:rFonts w:ascii="Times New Roman" w:eastAsia="Calibri" w:hAnsi="Times New Roman" w:cs="Times New Roman"/>
        <w:b/>
        <w:i/>
        <w:iCs/>
        <w:color w:val="C0504D"/>
        <w:sz w:val="20"/>
        <w:szCs w:val="20"/>
      </w:rPr>
      <w:t>alternativa</w:t>
    </w:r>
    <w:r w:rsidR="00765BBD">
      <w:rPr>
        <w:rFonts w:ascii="Times New Roman" w:eastAsia="Calibri" w:hAnsi="Times New Roman" w:cs="Times New Roman"/>
        <w:b/>
        <w:i/>
        <w:iCs/>
        <w:color w:val="C0504D"/>
        <w:sz w:val="20"/>
        <w:szCs w:val="20"/>
      </w:rPr>
      <w:t xml:space="preserve"> </w:t>
    </w:r>
    <w:r w:rsidRPr="00A36AB9">
      <w:rPr>
        <w:rFonts w:ascii="Times New Roman" w:eastAsia="Calibri" w:hAnsi="Times New Roman" w:cs="Times New Roman"/>
        <w:b/>
        <w:i/>
        <w:iCs/>
        <w:color w:val="C0504D"/>
        <w:sz w:val="20"/>
        <w:szCs w:val="20"/>
      </w:rPr>
      <w:t>conservación</w:t>
    </w:r>
    <w:r>
      <w:rPr>
        <w:rFonts w:ascii="Times New Roman" w:eastAsia="Calibri" w:hAnsi="Times New Roman" w:cs="Times New Roman"/>
        <w:b/>
        <w:i/>
        <w:iCs/>
        <w:color w:val="C0504D"/>
        <w:sz w:val="20"/>
        <w:szCs w:val="20"/>
      </w:rPr>
      <w:t xml:space="preserve"> (…)</w:t>
    </w:r>
    <w:r w:rsidRPr="00E04084">
      <w:rPr>
        <w:rFonts w:ascii="Times New Roman" w:eastAsia="Calibri" w:hAnsi="Times New Roman" w:cs="Times New Roman"/>
        <w:b/>
        <w:i/>
        <w:iCs/>
        <w:color w:val="C0504D"/>
        <w:sz w:val="20"/>
        <w:szCs w:val="20"/>
      </w:rPr>
      <w:tab/>
      <w:t xml:space="preserve">  </w:t>
    </w:r>
    <w:r w:rsidR="00765BBD">
      <w:rPr>
        <w:rFonts w:ascii="Times New Roman" w:eastAsia="Calibri" w:hAnsi="Times New Roman" w:cs="Times New Roman"/>
        <w:b/>
        <w:i/>
        <w:iCs/>
        <w:color w:val="C0504D"/>
        <w:sz w:val="20"/>
        <w:szCs w:val="20"/>
      </w:rPr>
      <w:t xml:space="preserve">       </w:t>
    </w:r>
    <w:r w:rsidRPr="00765BBD">
      <w:rPr>
        <w:rFonts w:ascii="Times New Roman" w:eastAsia="Calibri" w:hAnsi="Times New Roman" w:cs="Times New Roman"/>
        <w:b/>
        <w:color w:val="C0504D"/>
        <w:sz w:val="20"/>
        <w:szCs w:val="20"/>
      </w:rPr>
      <w:t xml:space="preserve">Solís, P.A.; </w:t>
    </w:r>
    <w:r w:rsidR="00765BBD" w:rsidRPr="00765BBD">
      <w:rPr>
        <w:rFonts w:ascii="Times New Roman" w:eastAsia="Calibri" w:hAnsi="Times New Roman" w:cs="Times New Roman"/>
        <w:b/>
        <w:color w:val="C0504D"/>
        <w:sz w:val="20"/>
        <w:szCs w:val="20"/>
      </w:rPr>
      <w:t>Guamán, J.D.; Cajas, C.</w:t>
    </w:r>
    <w:r w:rsidRPr="00765BBD">
      <w:rPr>
        <w:rFonts w:ascii="Times New Roman" w:eastAsia="Calibri" w:hAnsi="Times New Roman" w:cs="Times New Roman"/>
        <w:b/>
        <w:color w:val="C0504D"/>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CCD6" w14:textId="77777777" w:rsidR="006B706D" w:rsidRPr="00C63A94" w:rsidRDefault="006B706D" w:rsidP="006B706D">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5045DC7F" w14:textId="7E01F1FD" w:rsidR="006B706D" w:rsidRPr="00C63A94" w:rsidRDefault="006B706D" w:rsidP="006B706D">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 xml:space="preserve">Nº 16,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2024, pp.</w:t>
    </w:r>
    <w:r w:rsidR="00D849DA">
      <w:rPr>
        <w:rFonts w:ascii="Times New Roman" w:eastAsia="Calibri" w:hAnsi="Times New Roman" w:cs="Times New Roman"/>
        <w:sz w:val="20"/>
        <w:szCs w:val="20"/>
        <w:lang w:val="en-GB"/>
      </w:rPr>
      <w:t xml:space="preserve"> 220-239</w:t>
    </w:r>
  </w:p>
  <w:p w14:paraId="2328DB2A" w14:textId="77777777" w:rsidR="006B706D" w:rsidRPr="00C63A94" w:rsidRDefault="006B706D" w:rsidP="006B706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716CAABA" w14:textId="250294A5" w:rsidR="006B706D" w:rsidRPr="00C63A94" w:rsidRDefault="006B706D" w:rsidP="006B706D">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w:t>
    </w:r>
    <w:proofErr w:type="gramStart"/>
    <w:r w:rsidRPr="00C63A94">
      <w:rPr>
        <w:rFonts w:ascii="Times New Roman" w:eastAsia="Calibri" w:hAnsi="Times New Roman" w:cs="Times New Roman"/>
        <w:sz w:val="20"/>
        <w:szCs w:val="20"/>
        <w:lang w:val="en-GB"/>
      </w:rPr>
      <w:t>riturem.v</w:t>
    </w:r>
    <w:proofErr w:type="gramEnd"/>
    <w:r w:rsidRPr="00C63A94">
      <w:rPr>
        <w:rFonts w:ascii="Times New Roman" w:eastAsia="Calibri" w:hAnsi="Times New Roman" w:cs="Times New Roman"/>
        <w:sz w:val="20"/>
        <w:szCs w:val="20"/>
        <w:lang w:val="en-GB"/>
      </w:rPr>
      <w:t>8i</w:t>
    </w:r>
    <w:r>
      <w:rPr>
        <w:rFonts w:ascii="Times New Roman" w:eastAsia="Calibri" w:hAnsi="Times New Roman" w:cs="Times New Roman"/>
        <w:sz w:val="20"/>
        <w:szCs w:val="20"/>
        <w:lang w:val="en-GB"/>
      </w:rPr>
      <w:t>2</w:t>
    </w:r>
    <w:r w:rsidRPr="00C63A94">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5988</w:t>
    </w:r>
    <w:r w:rsidRPr="00C63A94">
      <w:rPr>
        <w:rFonts w:ascii="Segoe UI" w:eastAsia="Malgun Gothic" w:hAnsi="Segoe UI" w:cs="Segoe UI"/>
        <w:sz w:val="21"/>
        <w:szCs w:val="21"/>
        <w:shd w:val="clear" w:color="auto" w:fill="FFFFFF"/>
        <w:lang w:eastAsia="ko-KR"/>
      </w:rPr>
      <w:t xml:space="preserve"> </w:t>
    </w:r>
  </w:p>
  <w:p w14:paraId="70DEA4EB" w14:textId="77777777" w:rsidR="006B706D" w:rsidRPr="00C63A94" w:rsidRDefault="006B706D" w:rsidP="006B706D">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0FE986C0" wp14:editId="0CE31AF1">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869B53F" w14:textId="77777777" w:rsidR="006B706D" w:rsidRPr="00C63A94" w:rsidRDefault="006B706D" w:rsidP="006B706D">
    <w:pPr>
      <w:tabs>
        <w:tab w:val="center" w:pos="4252"/>
        <w:tab w:val="right" w:pos="8504"/>
      </w:tabs>
      <w:autoSpaceDN w:val="0"/>
      <w:spacing w:after="0" w:line="240" w:lineRule="auto"/>
      <w:jc w:val="center"/>
      <w:rPr>
        <w:rFonts w:ascii="Calibri" w:eastAsia="Calibri" w:hAnsi="Calibri" w:cs="Times New Roman"/>
      </w:rPr>
    </w:pPr>
  </w:p>
  <w:p w14:paraId="7A5AFEAF" w14:textId="01F6EBAD" w:rsidR="006B706D" w:rsidRPr="00C63A94" w:rsidRDefault="006B706D" w:rsidP="006B706D">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 xml:space="preserve">Solís, P.A.; </w:t>
    </w:r>
    <w:proofErr w:type="spellStart"/>
    <w:r>
      <w:rPr>
        <w:rFonts w:ascii="Times New Roman" w:eastAsia="Calibri" w:hAnsi="Times New Roman" w:cs="Times New Roman"/>
        <w:sz w:val="18"/>
        <w:szCs w:val="18"/>
        <w:lang w:val="en-GB"/>
      </w:rPr>
      <w:t>Guamán</w:t>
    </w:r>
    <w:proofErr w:type="spellEnd"/>
    <w:r>
      <w:rPr>
        <w:rFonts w:ascii="Times New Roman" w:eastAsia="Calibri" w:hAnsi="Times New Roman" w:cs="Times New Roman"/>
        <w:sz w:val="18"/>
        <w:szCs w:val="18"/>
        <w:lang w:val="en-GB"/>
      </w:rPr>
      <w:t>, J.D. y Cajas, C. (2024)</w:t>
    </w:r>
    <w:r w:rsidRPr="00C63A94">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w:t>
    </w:r>
    <w:proofErr w:type="spellStart"/>
    <w:r w:rsidRPr="006B706D">
      <w:rPr>
        <w:rFonts w:ascii="Times New Roman" w:eastAsia="Calibri" w:hAnsi="Times New Roman" w:cs="Times New Roman"/>
        <w:sz w:val="18"/>
        <w:szCs w:val="18"/>
        <w:lang w:val="en-GB"/>
      </w:rPr>
      <w:t>Productos</w:t>
    </w:r>
    <w:proofErr w:type="spellEnd"/>
    <w:r w:rsidRPr="006B706D">
      <w:rPr>
        <w:rFonts w:ascii="Times New Roman" w:eastAsia="Calibri" w:hAnsi="Times New Roman" w:cs="Times New Roman"/>
        <w:sz w:val="18"/>
        <w:szCs w:val="18"/>
        <w:lang w:val="en-GB"/>
      </w:rPr>
      <w:t xml:space="preserve"> de turismo </w:t>
    </w:r>
    <w:proofErr w:type="spellStart"/>
    <w:r w:rsidRPr="006B706D">
      <w:rPr>
        <w:rFonts w:ascii="Times New Roman" w:eastAsia="Calibri" w:hAnsi="Times New Roman" w:cs="Times New Roman"/>
        <w:sz w:val="18"/>
        <w:szCs w:val="18"/>
        <w:lang w:val="en-GB"/>
      </w:rPr>
      <w:t>herpetológico</w:t>
    </w:r>
    <w:proofErr w:type="spellEnd"/>
    <w:r w:rsidRPr="006B706D">
      <w:rPr>
        <w:rFonts w:ascii="Times New Roman" w:eastAsia="Calibri" w:hAnsi="Times New Roman" w:cs="Times New Roman"/>
        <w:sz w:val="18"/>
        <w:szCs w:val="18"/>
        <w:lang w:val="en-GB"/>
      </w:rPr>
      <w:t xml:space="preserve"> </w:t>
    </w:r>
    <w:proofErr w:type="spellStart"/>
    <w:r w:rsidRPr="006B706D">
      <w:rPr>
        <w:rFonts w:ascii="Times New Roman" w:eastAsia="Calibri" w:hAnsi="Times New Roman" w:cs="Times New Roman"/>
        <w:sz w:val="18"/>
        <w:szCs w:val="18"/>
        <w:lang w:val="en-GB"/>
      </w:rPr>
      <w:t>como</w:t>
    </w:r>
    <w:proofErr w:type="spellEnd"/>
    <w:r w:rsidRPr="006B706D">
      <w:rPr>
        <w:rFonts w:ascii="Times New Roman" w:eastAsia="Calibri" w:hAnsi="Times New Roman" w:cs="Times New Roman"/>
        <w:sz w:val="18"/>
        <w:szCs w:val="18"/>
        <w:lang w:val="en-GB"/>
      </w:rPr>
      <w:t xml:space="preserve"> </w:t>
    </w:r>
    <w:proofErr w:type="spellStart"/>
    <w:r w:rsidRPr="006B706D">
      <w:rPr>
        <w:rFonts w:ascii="Times New Roman" w:eastAsia="Calibri" w:hAnsi="Times New Roman" w:cs="Times New Roman"/>
        <w:sz w:val="18"/>
        <w:szCs w:val="18"/>
        <w:lang w:val="en-GB"/>
      </w:rPr>
      <w:t>alternativa</w:t>
    </w:r>
    <w:proofErr w:type="spellEnd"/>
    <w:r w:rsidRPr="006B706D">
      <w:rPr>
        <w:rFonts w:ascii="Times New Roman" w:eastAsia="Calibri" w:hAnsi="Times New Roman" w:cs="Times New Roman"/>
        <w:sz w:val="18"/>
        <w:szCs w:val="18"/>
        <w:lang w:val="en-GB"/>
      </w:rPr>
      <w:t xml:space="preserve"> para la </w:t>
    </w:r>
    <w:proofErr w:type="spellStart"/>
    <w:r w:rsidRPr="006B706D">
      <w:rPr>
        <w:rFonts w:ascii="Times New Roman" w:eastAsia="Calibri" w:hAnsi="Times New Roman" w:cs="Times New Roman"/>
        <w:sz w:val="18"/>
        <w:szCs w:val="18"/>
        <w:lang w:val="en-GB"/>
      </w:rPr>
      <w:t>conservación</w:t>
    </w:r>
    <w:proofErr w:type="spellEnd"/>
    <w:r w:rsidRPr="006B706D">
      <w:rPr>
        <w:rFonts w:ascii="Times New Roman" w:eastAsia="Calibri" w:hAnsi="Times New Roman" w:cs="Times New Roman"/>
        <w:sz w:val="18"/>
        <w:szCs w:val="18"/>
        <w:lang w:val="en-GB"/>
      </w:rPr>
      <w:t xml:space="preserve"> e </w:t>
    </w:r>
    <w:proofErr w:type="spellStart"/>
    <w:r w:rsidRPr="006B706D">
      <w:rPr>
        <w:rFonts w:ascii="Times New Roman" w:eastAsia="Calibri" w:hAnsi="Times New Roman" w:cs="Times New Roman"/>
        <w:sz w:val="18"/>
        <w:szCs w:val="18"/>
        <w:lang w:val="en-GB"/>
      </w:rPr>
      <w:t>investigación</w:t>
    </w:r>
    <w:proofErr w:type="spellEnd"/>
    <w:r w:rsidRPr="006B706D">
      <w:rPr>
        <w:rFonts w:ascii="Times New Roman" w:eastAsia="Calibri" w:hAnsi="Times New Roman" w:cs="Times New Roman"/>
        <w:sz w:val="18"/>
        <w:szCs w:val="18"/>
        <w:lang w:val="en-GB"/>
      </w:rPr>
      <w:t xml:space="preserve"> </w:t>
    </w:r>
    <w:proofErr w:type="spellStart"/>
    <w:r w:rsidRPr="006B706D">
      <w:rPr>
        <w:rFonts w:ascii="Times New Roman" w:eastAsia="Calibri" w:hAnsi="Times New Roman" w:cs="Times New Roman"/>
        <w:sz w:val="18"/>
        <w:szCs w:val="18"/>
        <w:lang w:val="en-GB"/>
      </w:rPr>
      <w:t>científica</w:t>
    </w:r>
    <w:proofErr w:type="spellEnd"/>
    <w:r w:rsidRPr="006B706D">
      <w:rPr>
        <w:rFonts w:ascii="Times New Roman" w:eastAsia="Calibri" w:hAnsi="Times New Roman" w:cs="Times New Roman"/>
        <w:sz w:val="18"/>
        <w:szCs w:val="18"/>
        <w:lang w:val="en-GB"/>
      </w:rPr>
      <w:t xml:space="preserve"> de </w:t>
    </w:r>
    <w:proofErr w:type="spellStart"/>
    <w:r w:rsidRPr="006B706D">
      <w:rPr>
        <w:rFonts w:ascii="Times New Roman" w:eastAsia="Calibri" w:hAnsi="Times New Roman" w:cs="Times New Roman"/>
        <w:sz w:val="18"/>
        <w:szCs w:val="18"/>
        <w:lang w:val="en-GB"/>
      </w:rPr>
      <w:t>anfibios</w:t>
    </w:r>
    <w:proofErr w:type="spellEnd"/>
    <w:r w:rsidRPr="006B706D">
      <w:rPr>
        <w:rFonts w:ascii="Times New Roman" w:eastAsia="Calibri" w:hAnsi="Times New Roman" w:cs="Times New Roman"/>
        <w:sz w:val="18"/>
        <w:szCs w:val="18"/>
        <w:lang w:val="en-GB"/>
      </w:rPr>
      <w:t xml:space="preserve"> y reptiles, </w:t>
    </w:r>
    <w:proofErr w:type="spellStart"/>
    <w:r w:rsidRPr="006B706D">
      <w:rPr>
        <w:rFonts w:ascii="Times New Roman" w:eastAsia="Calibri" w:hAnsi="Times New Roman" w:cs="Times New Roman"/>
        <w:sz w:val="18"/>
        <w:szCs w:val="18"/>
        <w:lang w:val="en-GB"/>
      </w:rPr>
      <w:t>caso</w:t>
    </w:r>
    <w:proofErr w:type="spellEnd"/>
    <w:r w:rsidRPr="006B706D">
      <w:rPr>
        <w:rFonts w:ascii="Times New Roman" w:eastAsia="Calibri" w:hAnsi="Times New Roman" w:cs="Times New Roman"/>
        <w:sz w:val="18"/>
        <w:szCs w:val="18"/>
        <w:lang w:val="en-GB"/>
      </w:rPr>
      <w:t xml:space="preserve"> de </w:t>
    </w:r>
    <w:proofErr w:type="spellStart"/>
    <w:r w:rsidRPr="006B706D">
      <w:rPr>
        <w:rFonts w:ascii="Times New Roman" w:eastAsia="Calibri" w:hAnsi="Times New Roman" w:cs="Times New Roman"/>
        <w:sz w:val="18"/>
        <w:szCs w:val="18"/>
        <w:lang w:val="en-GB"/>
      </w:rPr>
      <w:t>estudio</w:t>
    </w:r>
    <w:proofErr w:type="spellEnd"/>
    <w:r w:rsidRPr="006B706D">
      <w:rPr>
        <w:rFonts w:ascii="Times New Roman" w:eastAsia="Calibri" w:hAnsi="Times New Roman" w:cs="Times New Roman"/>
        <w:sz w:val="18"/>
        <w:szCs w:val="18"/>
        <w:lang w:val="en-GB"/>
      </w:rPr>
      <w:t xml:space="preserve">: </w:t>
    </w:r>
    <w:proofErr w:type="spellStart"/>
    <w:r w:rsidRPr="006B706D">
      <w:rPr>
        <w:rFonts w:ascii="Times New Roman" w:eastAsia="Calibri" w:hAnsi="Times New Roman" w:cs="Times New Roman"/>
        <w:sz w:val="18"/>
        <w:szCs w:val="18"/>
        <w:lang w:val="en-GB"/>
      </w:rPr>
      <w:t>Reserva</w:t>
    </w:r>
    <w:proofErr w:type="spellEnd"/>
    <w:r w:rsidRPr="006B706D">
      <w:rPr>
        <w:rFonts w:ascii="Times New Roman" w:eastAsia="Calibri" w:hAnsi="Times New Roman" w:cs="Times New Roman"/>
        <w:sz w:val="18"/>
        <w:szCs w:val="18"/>
        <w:lang w:val="en-GB"/>
      </w:rPr>
      <w:t xml:space="preserve"> &amp; Ecolodge</w:t>
    </w:r>
    <w:r>
      <w:rPr>
        <w:rFonts w:ascii="Times New Roman" w:eastAsia="Calibri" w:hAnsi="Times New Roman" w:cs="Times New Roman"/>
        <w:sz w:val="18"/>
        <w:szCs w:val="18"/>
        <w:lang w:val="en-GB"/>
      </w:rPr>
      <w:t xml:space="preserve"> (Ecuador).</w:t>
    </w:r>
    <w:r w:rsidRPr="00C63A94">
      <w:rPr>
        <w:rFonts w:ascii="Times New Roman" w:eastAsia="Calibri" w:hAnsi="Times New Roman" w:cs="Times New Roman"/>
        <w:sz w:val="18"/>
        <w:szCs w:val="18"/>
        <w:lang w:val="en-GB"/>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8 (</w:t>
    </w:r>
    <w:r>
      <w:rPr>
        <w:rFonts w:ascii="Times New Roman" w:eastAsia="Calibri" w:hAnsi="Times New Roman" w:cs="Times New Roman"/>
        <w:sz w:val="18"/>
        <w:szCs w:val="18"/>
        <w:lang w:val="en-GB"/>
      </w:rPr>
      <w:t>2</w:t>
    </w:r>
    <w:r w:rsidRPr="00C63A94">
      <w:rPr>
        <w:rFonts w:ascii="Times New Roman" w:eastAsia="Calibri" w:hAnsi="Times New Roman" w:cs="Times New Roman"/>
        <w:sz w:val="18"/>
        <w:szCs w:val="18"/>
        <w:lang w:val="en-GB"/>
      </w:rPr>
      <w:t xml:space="preserve">), </w:t>
    </w:r>
    <w:r w:rsidR="00D849DA">
      <w:rPr>
        <w:rFonts w:ascii="Times New Roman" w:eastAsia="Calibri" w:hAnsi="Times New Roman" w:cs="Times New Roman"/>
        <w:sz w:val="18"/>
        <w:szCs w:val="18"/>
        <w:lang w:val="en-GB"/>
      </w:rPr>
      <w:t>220-239.</w:t>
    </w:r>
    <w:r w:rsidRPr="00C63A94">
      <w:rPr>
        <w:rFonts w:ascii="Times New Roman" w:eastAsia="Calibri" w:hAnsi="Times New Roman" w:cs="Times New Roman"/>
        <w:sz w:val="18"/>
        <w:szCs w:val="18"/>
        <w:lang w:val="en-GB"/>
      </w:rPr>
      <w:t xml:space="preserve"> </w:t>
    </w:r>
    <w:hyperlink r:id="rId2" w:history="1">
      <w:r w:rsidRPr="00ED5FD2">
        <w:rPr>
          <w:rStyle w:val="Hipervnculo"/>
          <w:rFonts w:ascii="Times New Roman" w:eastAsia="Calibri" w:hAnsi="Times New Roman" w:cs="Times New Roman"/>
          <w:sz w:val="18"/>
          <w:szCs w:val="18"/>
          <w:lang w:val="en-GB"/>
        </w:rPr>
        <w:t>https://doi.org/16758/riturem.v8i2.15988</w:t>
      </w:r>
    </w:hyperlink>
    <w:r>
      <w:rPr>
        <w:rFonts w:ascii="Times New Roman" w:eastAsia="Calibri" w:hAnsi="Times New Roman" w:cs="Times New Roman"/>
        <w:color w:val="2F5496"/>
        <w:sz w:val="18"/>
        <w:szCs w:val="18"/>
        <w:u w:val="single"/>
        <w:lang w:val="en-GB"/>
      </w:rPr>
      <w:t xml:space="preserve"> </w:t>
    </w:r>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39D"/>
    <w:multiLevelType w:val="hybridMultilevel"/>
    <w:tmpl w:val="22F2FF20"/>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0E42838"/>
    <w:multiLevelType w:val="hybridMultilevel"/>
    <w:tmpl w:val="95F69382"/>
    <w:lvl w:ilvl="0" w:tplc="9086028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0D2330"/>
    <w:multiLevelType w:val="hybridMultilevel"/>
    <w:tmpl w:val="FFD2B918"/>
    <w:lvl w:ilvl="0" w:tplc="B6B8356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2D47CB0"/>
    <w:multiLevelType w:val="multilevel"/>
    <w:tmpl w:val="83F4A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07177B"/>
    <w:multiLevelType w:val="hybridMultilevel"/>
    <w:tmpl w:val="6D82A9F2"/>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1F4A33"/>
    <w:multiLevelType w:val="multilevel"/>
    <w:tmpl w:val="8F5C2D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7E4EED"/>
    <w:multiLevelType w:val="multilevel"/>
    <w:tmpl w:val="C7D49B8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703417"/>
    <w:multiLevelType w:val="hybridMultilevel"/>
    <w:tmpl w:val="481A9868"/>
    <w:lvl w:ilvl="0" w:tplc="300A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8241837">
    <w:abstractNumId w:val="11"/>
  </w:num>
  <w:num w:numId="2" w16cid:durableId="1230385049">
    <w:abstractNumId w:val="3"/>
  </w:num>
  <w:num w:numId="3" w16cid:durableId="587663689">
    <w:abstractNumId w:val="6"/>
  </w:num>
  <w:num w:numId="4" w16cid:durableId="839320568">
    <w:abstractNumId w:val="22"/>
  </w:num>
  <w:num w:numId="5" w16cid:durableId="425928166">
    <w:abstractNumId w:val="14"/>
  </w:num>
  <w:num w:numId="6" w16cid:durableId="1396976728">
    <w:abstractNumId w:val="13"/>
  </w:num>
  <w:num w:numId="7" w16cid:durableId="108014031">
    <w:abstractNumId w:val="8"/>
  </w:num>
  <w:num w:numId="8" w16cid:durableId="1926567956">
    <w:abstractNumId w:val="15"/>
  </w:num>
  <w:num w:numId="9" w16cid:durableId="308945914">
    <w:abstractNumId w:val="4"/>
  </w:num>
  <w:num w:numId="10" w16cid:durableId="41564215">
    <w:abstractNumId w:val="5"/>
  </w:num>
  <w:num w:numId="11" w16cid:durableId="1028335974">
    <w:abstractNumId w:val="2"/>
  </w:num>
  <w:num w:numId="12" w16cid:durableId="1584022768">
    <w:abstractNumId w:val="9"/>
  </w:num>
  <w:num w:numId="13" w16cid:durableId="355424860">
    <w:abstractNumId w:val="17"/>
  </w:num>
  <w:num w:numId="14" w16cid:durableId="2027519861">
    <w:abstractNumId w:val="10"/>
  </w:num>
  <w:num w:numId="15" w16cid:durableId="732510958">
    <w:abstractNumId w:val="21"/>
  </w:num>
  <w:num w:numId="16" w16cid:durableId="1208488242">
    <w:abstractNumId w:val="7"/>
  </w:num>
  <w:num w:numId="17" w16cid:durableId="729159099">
    <w:abstractNumId w:val="0"/>
  </w:num>
  <w:num w:numId="18" w16cid:durableId="1192258895">
    <w:abstractNumId w:val="19"/>
  </w:num>
  <w:num w:numId="19" w16cid:durableId="181408094">
    <w:abstractNumId w:val="1"/>
  </w:num>
  <w:num w:numId="20" w16cid:durableId="466247082">
    <w:abstractNumId w:val="16"/>
  </w:num>
  <w:num w:numId="21" w16cid:durableId="952978096">
    <w:abstractNumId w:val="20"/>
  </w:num>
  <w:num w:numId="22" w16cid:durableId="815300324">
    <w:abstractNumId w:val="18"/>
  </w:num>
  <w:num w:numId="23" w16cid:durableId="10303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5A0B"/>
    <w:rsid w:val="00020891"/>
    <w:rsid w:val="00023A66"/>
    <w:rsid w:val="0002569C"/>
    <w:rsid w:val="00025BCE"/>
    <w:rsid w:val="00026C38"/>
    <w:rsid w:val="00026DAC"/>
    <w:rsid w:val="000273C2"/>
    <w:rsid w:val="00027D9D"/>
    <w:rsid w:val="000339F8"/>
    <w:rsid w:val="00062BE5"/>
    <w:rsid w:val="0006610F"/>
    <w:rsid w:val="00070E08"/>
    <w:rsid w:val="00075BDF"/>
    <w:rsid w:val="0008134C"/>
    <w:rsid w:val="00081747"/>
    <w:rsid w:val="00082418"/>
    <w:rsid w:val="0008451C"/>
    <w:rsid w:val="00086C30"/>
    <w:rsid w:val="000C7894"/>
    <w:rsid w:val="000E4C80"/>
    <w:rsid w:val="000E72B5"/>
    <w:rsid w:val="000F1AEB"/>
    <w:rsid w:val="001062E5"/>
    <w:rsid w:val="001134C4"/>
    <w:rsid w:val="00126298"/>
    <w:rsid w:val="00160630"/>
    <w:rsid w:val="00166D3B"/>
    <w:rsid w:val="00170F1D"/>
    <w:rsid w:val="0019027C"/>
    <w:rsid w:val="00196E7F"/>
    <w:rsid w:val="001B3203"/>
    <w:rsid w:val="001B6B62"/>
    <w:rsid w:val="001D0924"/>
    <w:rsid w:val="001D31C5"/>
    <w:rsid w:val="001F1824"/>
    <w:rsid w:val="001F35F6"/>
    <w:rsid w:val="001F3B6A"/>
    <w:rsid w:val="002031F8"/>
    <w:rsid w:val="002061AB"/>
    <w:rsid w:val="00215A47"/>
    <w:rsid w:val="00216B25"/>
    <w:rsid w:val="00221836"/>
    <w:rsid w:val="002374E8"/>
    <w:rsid w:val="002654F9"/>
    <w:rsid w:val="002859FC"/>
    <w:rsid w:val="002A0416"/>
    <w:rsid w:val="002A3BB4"/>
    <w:rsid w:val="002B7A86"/>
    <w:rsid w:val="002C3745"/>
    <w:rsid w:val="002C3A82"/>
    <w:rsid w:val="002D5BF4"/>
    <w:rsid w:val="002E3E09"/>
    <w:rsid w:val="002E47F3"/>
    <w:rsid w:val="002E4CEC"/>
    <w:rsid w:val="002E660E"/>
    <w:rsid w:val="002F0D7A"/>
    <w:rsid w:val="002F4640"/>
    <w:rsid w:val="00304FEA"/>
    <w:rsid w:val="00305B9B"/>
    <w:rsid w:val="00306DA3"/>
    <w:rsid w:val="003222EA"/>
    <w:rsid w:val="0033705A"/>
    <w:rsid w:val="00337B50"/>
    <w:rsid w:val="003444CA"/>
    <w:rsid w:val="00346137"/>
    <w:rsid w:val="003533B6"/>
    <w:rsid w:val="00362EF6"/>
    <w:rsid w:val="003808E9"/>
    <w:rsid w:val="003977A2"/>
    <w:rsid w:val="003C384D"/>
    <w:rsid w:val="003C5FD5"/>
    <w:rsid w:val="003D33FD"/>
    <w:rsid w:val="003F1DF0"/>
    <w:rsid w:val="00406333"/>
    <w:rsid w:val="00423411"/>
    <w:rsid w:val="00437359"/>
    <w:rsid w:val="00443C52"/>
    <w:rsid w:val="00452E42"/>
    <w:rsid w:val="00453E27"/>
    <w:rsid w:val="004568AE"/>
    <w:rsid w:val="00460293"/>
    <w:rsid w:val="004742A8"/>
    <w:rsid w:val="00483339"/>
    <w:rsid w:val="004838B6"/>
    <w:rsid w:val="004A3D81"/>
    <w:rsid w:val="004A5A2E"/>
    <w:rsid w:val="004A79CC"/>
    <w:rsid w:val="004B0B8A"/>
    <w:rsid w:val="004B4F53"/>
    <w:rsid w:val="004C3C00"/>
    <w:rsid w:val="004C4B7D"/>
    <w:rsid w:val="004E1885"/>
    <w:rsid w:val="004F3BCC"/>
    <w:rsid w:val="00503B66"/>
    <w:rsid w:val="00515225"/>
    <w:rsid w:val="005329EB"/>
    <w:rsid w:val="005431C6"/>
    <w:rsid w:val="00567CD7"/>
    <w:rsid w:val="005729FB"/>
    <w:rsid w:val="00593748"/>
    <w:rsid w:val="005A3868"/>
    <w:rsid w:val="005C05C3"/>
    <w:rsid w:val="005C3C9A"/>
    <w:rsid w:val="005E069D"/>
    <w:rsid w:val="005E4A70"/>
    <w:rsid w:val="005F50CF"/>
    <w:rsid w:val="00616ADD"/>
    <w:rsid w:val="006201C1"/>
    <w:rsid w:val="00626376"/>
    <w:rsid w:val="00626388"/>
    <w:rsid w:val="0062732E"/>
    <w:rsid w:val="00637F07"/>
    <w:rsid w:val="00652119"/>
    <w:rsid w:val="00684653"/>
    <w:rsid w:val="0069123A"/>
    <w:rsid w:val="00696A4C"/>
    <w:rsid w:val="006B706D"/>
    <w:rsid w:val="006C1E64"/>
    <w:rsid w:val="006C3B83"/>
    <w:rsid w:val="006C3F93"/>
    <w:rsid w:val="006C3F9A"/>
    <w:rsid w:val="006C40ED"/>
    <w:rsid w:val="006D10AE"/>
    <w:rsid w:val="006D16BA"/>
    <w:rsid w:val="006D424D"/>
    <w:rsid w:val="006E1293"/>
    <w:rsid w:val="007106D6"/>
    <w:rsid w:val="00712751"/>
    <w:rsid w:val="00721C04"/>
    <w:rsid w:val="00724E0B"/>
    <w:rsid w:val="0073217E"/>
    <w:rsid w:val="00732C08"/>
    <w:rsid w:val="00733091"/>
    <w:rsid w:val="00735CD9"/>
    <w:rsid w:val="007478E2"/>
    <w:rsid w:val="00765BBD"/>
    <w:rsid w:val="007723E5"/>
    <w:rsid w:val="007861F7"/>
    <w:rsid w:val="00791AF8"/>
    <w:rsid w:val="0079671E"/>
    <w:rsid w:val="007C6A7E"/>
    <w:rsid w:val="007C797F"/>
    <w:rsid w:val="007F7D97"/>
    <w:rsid w:val="0080500A"/>
    <w:rsid w:val="00814C07"/>
    <w:rsid w:val="008207DE"/>
    <w:rsid w:val="0082316E"/>
    <w:rsid w:val="008524AA"/>
    <w:rsid w:val="00860F18"/>
    <w:rsid w:val="0086171D"/>
    <w:rsid w:val="00865084"/>
    <w:rsid w:val="0088459C"/>
    <w:rsid w:val="00887666"/>
    <w:rsid w:val="00893BA3"/>
    <w:rsid w:val="00893CF1"/>
    <w:rsid w:val="008A52EE"/>
    <w:rsid w:val="008D2CC7"/>
    <w:rsid w:val="009032C3"/>
    <w:rsid w:val="00914F58"/>
    <w:rsid w:val="00924DE3"/>
    <w:rsid w:val="009348C3"/>
    <w:rsid w:val="009468D0"/>
    <w:rsid w:val="009660DE"/>
    <w:rsid w:val="00982B3C"/>
    <w:rsid w:val="00993C40"/>
    <w:rsid w:val="009A73C2"/>
    <w:rsid w:val="009B3206"/>
    <w:rsid w:val="009B61A1"/>
    <w:rsid w:val="009B6CDD"/>
    <w:rsid w:val="009D09D6"/>
    <w:rsid w:val="009E7263"/>
    <w:rsid w:val="009F41B7"/>
    <w:rsid w:val="009F5B7C"/>
    <w:rsid w:val="009F6F48"/>
    <w:rsid w:val="00A03F77"/>
    <w:rsid w:val="00A06C8A"/>
    <w:rsid w:val="00A121EF"/>
    <w:rsid w:val="00A31459"/>
    <w:rsid w:val="00A36AB9"/>
    <w:rsid w:val="00A432EB"/>
    <w:rsid w:val="00A46B52"/>
    <w:rsid w:val="00A53F5B"/>
    <w:rsid w:val="00A629F1"/>
    <w:rsid w:val="00A64BA6"/>
    <w:rsid w:val="00A64C19"/>
    <w:rsid w:val="00A762F9"/>
    <w:rsid w:val="00AA55DB"/>
    <w:rsid w:val="00AB15E4"/>
    <w:rsid w:val="00AB1F01"/>
    <w:rsid w:val="00AB3428"/>
    <w:rsid w:val="00AC0575"/>
    <w:rsid w:val="00AD0C90"/>
    <w:rsid w:val="00AD6D13"/>
    <w:rsid w:val="00AD6FDF"/>
    <w:rsid w:val="00AD749F"/>
    <w:rsid w:val="00AF5CC9"/>
    <w:rsid w:val="00B0029A"/>
    <w:rsid w:val="00B024A7"/>
    <w:rsid w:val="00B0371E"/>
    <w:rsid w:val="00B0556D"/>
    <w:rsid w:val="00B126E2"/>
    <w:rsid w:val="00B2663D"/>
    <w:rsid w:val="00B27B31"/>
    <w:rsid w:val="00B27D10"/>
    <w:rsid w:val="00B36619"/>
    <w:rsid w:val="00B4240C"/>
    <w:rsid w:val="00B45807"/>
    <w:rsid w:val="00B4585F"/>
    <w:rsid w:val="00B47B23"/>
    <w:rsid w:val="00B54D98"/>
    <w:rsid w:val="00B678D8"/>
    <w:rsid w:val="00B72663"/>
    <w:rsid w:val="00B86E4E"/>
    <w:rsid w:val="00BB0586"/>
    <w:rsid w:val="00BC1953"/>
    <w:rsid w:val="00BC6724"/>
    <w:rsid w:val="00BE21B6"/>
    <w:rsid w:val="00BE3AEB"/>
    <w:rsid w:val="00BF6053"/>
    <w:rsid w:val="00C00116"/>
    <w:rsid w:val="00C01AF8"/>
    <w:rsid w:val="00C03352"/>
    <w:rsid w:val="00C14C95"/>
    <w:rsid w:val="00C2492D"/>
    <w:rsid w:val="00C32814"/>
    <w:rsid w:val="00C37BA5"/>
    <w:rsid w:val="00C479F7"/>
    <w:rsid w:val="00C52300"/>
    <w:rsid w:val="00C540A0"/>
    <w:rsid w:val="00C5754A"/>
    <w:rsid w:val="00C64697"/>
    <w:rsid w:val="00C66766"/>
    <w:rsid w:val="00C7396D"/>
    <w:rsid w:val="00C90116"/>
    <w:rsid w:val="00C9555C"/>
    <w:rsid w:val="00C95E03"/>
    <w:rsid w:val="00CB48C5"/>
    <w:rsid w:val="00CD7BEC"/>
    <w:rsid w:val="00D02303"/>
    <w:rsid w:val="00D112A5"/>
    <w:rsid w:val="00D16310"/>
    <w:rsid w:val="00D306F1"/>
    <w:rsid w:val="00D31F69"/>
    <w:rsid w:val="00D353EF"/>
    <w:rsid w:val="00D428E8"/>
    <w:rsid w:val="00D43EBF"/>
    <w:rsid w:val="00D469A2"/>
    <w:rsid w:val="00D46B4A"/>
    <w:rsid w:val="00D47FBE"/>
    <w:rsid w:val="00D51530"/>
    <w:rsid w:val="00D56281"/>
    <w:rsid w:val="00D5783C"/>
    <w:rsid w:val="00D6049F"/>
    <w:rsid w:val="00D61020"/>
    <w:rsid w:val="00D807E5"/>
    <w:rsid w:val="00D821B0"/>
    <w:rsid w:val="00D849DA"/>
    <w:rsid w:val="00DB4AF8"/>
    <w:rsid w:val="00DB598B"/>
    <w:rsid w:val="00DC1F51"/>
    <w:rsid w:val="00DE7C51"/>
    <w:rsid w:val="00DF4FD5"/>
    <w:rsid w:val="00E07721"/>
    <w:rsid w:val="00E10D61"/>
    <w:rsid w:val="00E12F5B"/>
    <w:rsid w:val="00E30CB9"/>
    <w:rsid w:val="00E31ED1"/>
    <w:rsid w:val="00E36775"/>
    <w:rsid w:val="00E414A0"/>
    <w:rsid w:val="00E4199A"/>
    <w:rsid w:val="00E62407"/>
    <w:rsid w:val="00E62A57"/>
    <w:rsid w:val="00E63B97"/>
    <w:rsid w:val="00E64B69"/>
    <w:rsid w:val="00E70FE2"/>
    <w:rsid w:val="00E76AA7"/>
    <w:rsid w:val="00EB539B"/>
    <w:rsid w:val="00EB7BF2"/>
    <w:rsid w:val="00EC1735"/>
    <w:rsid w:val="00EE3633"/>
    <w:rsid w:val="00EE4A94"/>
    <w:rsid w:val="00EE6E36"/>
    <w:rsid w:val="00EF6309"/>
    <w:rsid w:val="00F058E7"/>
    <w:rsid w:val="00F144D1"/>
    <w:rsid w:val="00F30BB5"/>
    <w:rsid w:val="00F33BF3"/>
    <w:rsid w:val="00F42C28"/>
    <w:rsid w:val="00F46FB5"/>
    <w:rsid w:val="00F62937"/>
    <w:rsid w:val="00F81780"/>
    <w:rsid w:val="00F847EE"/>
    <w:rsid w:val="00F85F19"/>
    <w:rsid w:val="00F946E7"/>
    <w:rsid w:val="00FA5653"/>
    <w:rsid w:val="00FB7242"/>
    <w:rsid w:val="00FC111C"/>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B0219A3B-5042-4D20-A26C-47C82561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aliases w:val="4to nivel,Texto,cuadro ghf1,PARRAFOS,III. Titulos,Titulo 4,PPARRAFO"/>
    <w:basedOn w:val="Normal"/>
    <w:link w:val="PrrafodelistaCar"/>
    <w:uiPriority w:val="1"/>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PrrafodelistaCar">
    <w:name w:val="Párrafo de lista Car"/>
    <w:aliases w:val="4to nivel Car,Texto Car,cuadro ghf1 Car,PARRAFOS Car,III. Titulos Car,Titulo 4 Car,PPARRAFO Car"/>
    <w:link w:val="Prrafodelista"/>
    <w:uiPriority w:val="34"/>
    <w:rsid w:val="00F33BF3"/>
  </w:style>
  <w:style w:type="paragraph" w:styleId="Bibliografa">
    <w:name w:val="Bibliography"/>
    <w:basedOn w:val="Normal"/>
    <w:next w:val="Normal"/>
    <w:uiPriority w:val="37"/>
    <w:unhideWhenUsed/>
    <w:rsid w:val="00AD6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mailto:jguamant@tecnologicoedupraxis.edu.ec" TargetMode="External"/><Relationship Id="rId2" Type="http://schemas.openxmlformats.org/officeDocument/2006/relationships/hyperlink" Target="https://orcid.org/0000-0002-7688-9374" TargetMode="External"/><Relationship Id="rId1" Type="http://schemas.openxmlformats.org/officeDocument/2006/relationships/hyperlink" Target="mailto:albertosolis3a@yahoo.es" TargetMode="External"/><Relationship Id="rId6" Type="http://schemas.openxmlformats.org/officeDocument/2006/relationships/hyperlink" Target="https://orcid.org/0000-0002-9945-0006" TargetMode="External"/><Relationship Id="rId5" Type="http://schemas.openxmlformats.org/officeDocument/2006/relationships/hyperlink" Target="mailto:carlos.cajas@espoch.edu.ec" TargetMode="External"/><Relationship Id="rId4" Type="http://schemas.openxmlformats.org/officeDocument/2006/relationships/hyperlink" Target="https://orcid.org/0009-0003-2620-678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5988"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8211</Words>
  <Characters>45161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16</cp:revision>
  <dcterms:created xsi:type="dcterms:W3CDTF">2024-11-19T19:17:00Z</dcterms:created>
  <dcterms:modified xsi:type="dcterms:W3CDTF">2025-01-07T19:16:00Z</dcterms:modified>
</cp:coreProperties>
</file>