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42AAC" w14:textId="71F1F668" w:rsidR="00464A44" w:rsidRDefault="00FC5F00" w:rsidP="007604C6">
      <w:pPr>
        <w:jc w:val="center"/>
        <w:rPr>
          <w:rFonts w:ascii="Times New Roman" w:hAnsi="Times New Roman" w:cs="Times New Roman"/>
          <w:b/>
          <w:bCs/>
          <w:sz w:val="28"/>
          <w:szCs w:val="28"/>
        </w:rPr>
      </w:pPr>
      <w:r w:rsidRPr="003F628B">
        <w:rPr>
          <w:rFonts w:ascii="Times New Roman" w:hAnsi="Times New Roman" w:cs="Times New Roman"/>
          <w:b/>
          <w:bCs/>
          <w:sz w:val="28"/>
          <w:szCs w:val="28"/>
        </w:rPr>
        <w:t>S</w:t>
      </w:r>
      <w:r w:rsidR="00185F1A">
        <w:rPr>
          <w:rFonts w:ascii="Times New Roman" w:hAnsi="Times New Roman" w:cs="Times New Roman"/>
          <w:b/>
          <w:bCs/>
          <w:sz w:val="28"/>
          <w:szCs w:val="28"/>
        </w:rPr>
        <w:t>eguridad multidimensional y competitividad turística en Perú: una relación necesaria</w:t>
      </w:r>
    </w:p>
    <w:p w14:paraId="32258C77" w14:textId="192F77DA" w:rsidR="00185F1A" w:rsidRPr="00185F1A" w:rsidRDefault="00185F1A" w:rsidP="007604C6">
      <w:pPr>
        <w:jc w:val="center"/>
        <w:rPr>
          <w:rFonts w:ascii="Times New Roman" w:hAnsi="Times New Roman" w:cs="Times New Roman"/>
          <w:b/>
          <w:bCs/>
          <w:i/>
          <w:iCs/>
          <w:sz w:val="28"/>
          <w:szCs w:val="28"/>
          <w:lang w:val="pt-PT"/>
        </w:rPr>
      </w:pPr>
      <w:r w:rsidRPr="00185F1A">
        <w:rPr>
          <w:rFonts w:ascii="Times New Roman" w:hAnsi="Times New Roman" w:cs="Times New Roman"/>
          <w:b/>
          <w:bCs/>
          <w:i/>
          <w:iCs/>
          <w:sz w:val="28"/>
          <w:szCs w:val="28"/>
          <w:lang w:val="pt-PT"/>
        </w:rPr>
        <w:t>Multidimensional Security and Tourism Competitiveness in Peru: A Necessary Relationship</w:t>
      </w:r>
    </w:p>
    <w:p w14:paraId="4CFBA905" w14:textId="77777777" w:rsidR="00185F1A" w:rsidRDefault="00185F1A" w:rsidP="003F628B">
      <w:pPr>
        <w:spacing w:after="0" w:line="240" w:lineRule="auto"/>
        <w:jc w:val="center"/>
        <w:rPr>
          <w:rFonts w:ascii="Times New Roman" w:hAnsi="Times New Roman" w:cs="Times New Roman"/>
          <w:b/>
          <w:bCs/>
          <w:sz w:val="24"/>
          <w:szCs w:val="24"/>
          <w:lang w:val="pt-PT"/>
        </w:rPr>
      </w:pPr>
    </w:p>
    <w:p w14:paraId="488DE02D" w14:textId="77777777" w:rsidR="00185F1A" w:rsidRDefault="00185F1A" w:rsidP="003F628B">
      <w:pPr>
        <w:spacing w:after="0" w:line="240" w:lineRule="auto"/>
        <w:jc w:val="center"/>
        <w:rPr>
          <w:rFonts w:ascii="Times New Roman" w:hAnsi="Times New Roman" w:cs="Times New Roman"/>
          <w:b/>
          <w:bCs/>
          <w:sz w:val="24"/>
          <w:szCs w:val="24"/>
          <w:lang w:val="pt-PT"/>
        </w:rPr>
      </w:pPr>
    </w:p>
    <w:p w14:paraId="7C98ED2F" w14:textId="6D900147" w:rsidR="007A7664" w:rsidRPr="00A10199" w:rsidRDefault="007A7664" w:rsidP="003F628B">
      <w:pPr>
        <w:spacing w:after="0" w:line="240" w:lineRule="auto"/>
        <w:jc w:val="center"/>
        <w:rPr>
          <w:rFonts w:ascii="Calibri" w:hAnsi="Calibri" w:cs="Calibri"/>
          <w:b/>
          <w:bCs/>
          <w:i/>
          <w:iCs/>
          <w:sz w:val="24"/>
          <w:szCs w:val="24"/>
        </w:rPr>
      </w:pPr>
      <w:r w:rsidRPr="00A10199">
        <w:rPr>
          <w:rFonts w:ascii="Times New Roman" w:hAnsi="Times New Roman" w:cs="Times New Roman"/>
          <w:b/>
          <w:bCs/>
          <w:sz w:val="24"/>
          <w:szCs w:val="24"/>
        </w:rPr>
        <w:t>Helga Cecilia Frech</w:t>
      </w:r>
      <w:r w:rsidR="005E4026" w:rsidRPr="00A10199">
        <w:rPr>
          <w:rFonts w:ascii="Times New Roman" w:hAnsi="Times New Roman" w:cs="Times New Roman"/>
          <w:b/>
          <w:bCs/>
          <w:sz w:val="24"/>
          <w:szCs w:val="24"/>
        </w:rPr>
        <w:t xml:space="preserve"> Hurtado</w:t>
      </w:r>
      <w:r w:rsidR="003F628B" w:rsidRPr="00A10199">
        <w:rPr>
          <w:rFonts w:ascii="Times New Roman" w:hAnsi="Times New Roman" w:cs="Times New Roman"/>
          <w:b/>
          <w:bCs/>
          <w:sz w:val="24"/>
          <w:szCs w:val="24"/>
        </w:rPr>
        <w:t xml:space="preserve"> </w:t>
      </w:r>
      <w:r w:rsidR="00196585" w:rsidRPr="003F628B">
        <w:rPr>
          <w:rStyle w:val="Refdenotaalpie"/>
          <w:rFonts w:ascii="Calibri" w:hAnsi="Calibri" w:cs="Calibri"/>
          <w:b/>
          <w:bCs/>
          <w:sz w:val="24"/>
          <w:szCs w:val="24"/>
        </w:rPr>
        <w:footnoteReference w:id="1"/>
      </w:r>
    </w:p>
    <w:p w14:paraId="75635D01" w14:textId="2432D988" w:rsidR="005E4026" w:rsidRPr="005E4026" w:rsidRDefault="005E4026" w:rsidP="005E4026">
      <w:pPr>
        <w:pStyle w:val="Textonotapie"/>
        <w:ind w:left="4956"/>
      </w:pPr>
    </w:p>
    <w:p w14:paraId="7BA1EE72" w14:textId="77777777" w:rsidR="005E4026" w:rsidRDefault="005E4026" w:rsidP="002303D4">
      <w:pPr>
        <w:jc w:val="center"/>
        <w:rPr>
          <w:rFonts w:ascii="Calibri" w:hAnsi="Calibri" w:cs="Calibri"/>
          <w:b/>
          <w:bCs/>
          <w:sz w:val="24"/>
          <w:szCs w:val="24"/>
        </w:rPr>
      </w:pPr>
    </w:p>
    <w:p w14:paraId="0E340853" w14:textId="33C08458" w:rsidR="007A7664" w:rsidRPr="00185F1A" w:rsidRDefault="00FC5F00" w:rsidP="00185F1A">
      <w:pPr>
        <w:rPr>
          <w:rFonts w:ascii="Times New Roman" w:hAnsi="Times New Roman" w:cs="Times New Roman"/>
          <w:b/>
          <w:bCs/>
        </w:rPr>
      </w:pPr>
      <w:r w:rsidRPr="00185F1A">
        <w:rPr>
          <w:rFonts w:ascii="Times New Roman" w:hAnsi="Times New Roman" w:cs="Times New Roman"/>
          <w:b/>
          <w:bCs/>
        </w:rPr>
        <w:t>Resumen</w:t>
      </w:r>
    </w:p>
    <w:p w14:paraId="7BB8BAC4" w14:textId="6A65A626" w:rsidR="00DC3506" w:rsidRPr="00185F1A" w:rsidRDefault="005B53C9" w:rsidP="007119C4">
      <w:pPr>
        <w:spacing w:line="240" w:lineRule="auto"/>
        <w:jc w:val="both"/>
        <w:rPr>
          <w:rFonts w:ascii="Times New Roman" w:hAnsi="Times New Roman" w:cs="Times New Roman"/>
        </w:rPr>
      </w:pPr>
      <w:r w:rsidRPr="00185F1A">
        <w:rPr>
          <w:rFonts w:ascii="Times New Roman" w:hAnsi="Times New Roman" w:cs="Times New Roman"/>
        </w:rPr>
        <w:t>El turismo es una actividad importante en la generación de ingresos y puede impactar positivamente en la reducción de la pobreza. Sin embargo, en un determinado punto, la actividad turística</w:t>
      </w:r>
      <w:r w:rsidR="00DC3506" w:rsidRPr="00185F1A">
        <w:rPr>
          <w:rFonts w:ascii="Times New Roman" w:hAnsi="Times New Roman" w:cs="Times New Roman"/>
        </w:rPr>
        <w:t>,</w:t>
      </w:r>
      <w:r w:rsidRPr="00185F1A">
        <w:rPr>
          <w:rFonts w:ascii="Times New Roman" w:hAnsi="Times New Roman" w:cs="Times New Roman"/>
        </w:rPr>
        <w:t xml:space="preserve"> </w:t>
      </w:r>
      <w:r w:rsidR="00DC3506" w:rsidRPr="00185F1A">
        <w:rPr>
          <w:rFonts w:ascii="Times New Roman" w:hAnsi="Times New Roman" w:cs="Times New Roman"/>
        </w:rPr>
        <w:t xml:space="preserve">para alcanzar calidad, </w:t>
      </w:r>
      <w:r w:rsidRPr="00185F1A">
        <w:rPr>
          <w:rFonts w:ascii="Times New Roman" w:hAnsi="Times New Roman" w:cs="Times New Roman"/>
        </w:rPr>
        <w:t>sostenib</w:t>
      </w:r>
      <w:r w:rsidR="00DC3506" w:rsidRPr="00185F1A">
        <w:rPr>
          <w:rFonts w:ascii="Times New Roman" w:hAnsi="Times New Roman" w:cs="Times New Roman"/>
        </w:rPr>
        <w:t xml:space="preserve">ilidad y competitividad requiere de condiciones exógenas al sector. A pesar de los diversos esfuerzos </w:t>
      </w:r>
      <w:r w:rsidR="008813DE" w:rsidRPr="00185F1A">
        <w:rPr>
          <w:rFonts w:ascii="Times New Roman" w:hAnsi="Times New Roman" w:cs="Times New Roman"/>
        </w:rPr>
        <w:t>en asistencia técnica</w:t>
      </w:r>
      <w:r w:rsidR="00FC5F00" w:rsidRPr="00185F1A">
        <w:rPr>
          <w:rFonts w:ascii="Times New Roman" w:hAnsi="Times New Roman" w:cs="Times New Roman"/>
        </w:rPr>
        <w:t xml:space="preserve"> y en </w:t>
      </w:r>
      <w:r w:rsidR="008813DE" w:rsidRPr="00185F1A">
        <w:rPr>
          <w:rFonts w:ascii="Times New Roman" w:hAnsi="Times New Roman" w:cs="Times New Roman"/>
        </w:rPr>
        <w:t>inversión en infraestructura y promoción</w:t>
      </w:r>
      <w:r w:rsidR="006E3FA2" w:rsidRPr="00185F1A">
        <w:rPr>
          <w:rFonts w:ascii="Times New Roman" w:hAnsi="Times New Roman" w:cs="Times New Roman"/>
        </w:rPr>
        <w:t xml:space="preserve"> realizada por el sector turismo</w:t>
      </w:r>
      <w:r w:rsidR="008813DE" w:rsidRPr="00185F1A">
        <w:rPr>
          <w:rFonts w:ascii="Times New Roman" w:hAnsi="Times New Roman" w:cs="Times New Roman"/>
        </w:rPr>
        <w:t>, la competitividad turística</w:t>
      </w:r>
      <w:r w:rsidR="00FC5F00" w:rsidRPr="00185F1A">
        <w:rPr>
          <w:rFonts w:ascii="Times New Roman" w:hAnsi="Times New Roman" w:cs="Times New Roman"/>
        </w:rPr>
        <w:t xml:space="preserve"> en Perú</w:t>
      </w:r>
      <w:r w:rsidR="008813DE" w:rsidRPr="00185F1A">
        <w:rPr>
          <w:rFonts w:ascii="Times New Roman" w:hAnsi="Times New Roman" w:cs="Times New Roman"/>
        </w:rPr>
        <w:t xml:space="preserve"> registró un estancamiento en el año 2019. El objetivo del presente estudio es analizar la relación que existe entre competitividad de los destinos turísticos y la seguridad multidimensional desarrollada en dichos destinos. Para ello se</w:t>
      </w:r>
      <w:r w:rsidR="00FC5F00" w:rsidRPr="00185F1A">
        <w:rPr>
          <w:rFonts w:ascii="Times New Roman" w:hAnsi="Times New Roman" w:cs="Times New Roman"/>
        </w:rPr>
        <w:t xml:space="preserve"> procedió a la metodología </w:t>
      </w:r>
      <w:r w:rsidR="00C43E41" w:rsidRPr="00185F1A">
        <w:rPr>
          <w:rFonts w:ascii="Times New Roman" w:hAnsi="Times New Roman" w:cs="Times New Roman"/>
        </w:rPr>
        <w:t xml:space="preserve">hermenéutica y </w:t>
      </w:r>
      <w:r w:rsidR="00FC5F00" w:rsidRPr="00185F1A">
        <w:rPr>
          <w:rFonts w:ascii="Times New Roman" w:hAnsi="Times New Roman" w:cs="Times New Roman"/>
        </w:rPr>
        <w:t>exploratoria. Se han revisado artículos científicos, así como información estadística y sectorial de</w:t>
      </w:r>
      <w:r w:rsidR="008813DE" w:rsidRPr="00185F1A">
        <w:rPr>
          <w:rFonts w:ascii="Times New Roman" w:hAnsi="Times New Roman" w:cs="Times New Roman"/>
        </w:rPr>
        <w:t xml:space="preserve"> los tres </w:t>
      </w:r>
      <w:r w:rsidR="00FC5F00" w:rsidRPr="00185F1A">
        <w:rPr>
          <w:rFonts w:ascii="Times New Roman" w:hAnsi="Times New Roman" w:cs="Times New Roman"/>
        </w:rPr>
        <w:t xml:space="preserve">últimos </w:t>
      </w:r>
      <w:r w:rsidR="008813DE" w:rsidRPr="00185F1A">
        <w:rPr>
          <w:rFonts w:ascii="Times New Roman" w:hAnsi="Times New Roman" w:cs="Times New Roman"/>
        </w:rPr>
        <w:t>años antes de la pandemia</w:t>
      </w:r>
      <w:r w:rsidR="00FC5F00" w:rsidRPr="00185F1A">
        <w:rPr>
          <w:rFonts w:ascii="Times New Roman" w:hAnsi="Times New Roman" w:cs="Times New Roman"/>
        </w:rPr>
        <w:t xml:space="preserve"> El estudio concluye que </w:t>
      </w:r>
      <w:r w:rsidR="004F7A5E" w:rsidRPr="00185F1A">
        <w:rPr>
          <w:rFonts w:ascii="Times New Roman" w:hAnsi="Times New Roman" w:cs="Times New Roman"/>
        </w:rPr>
        <w:t>para lograr</w:t>
      </w:r>
      <w:r w:rsidR="00FC5F00" w:rsidRPr="00185F1A">
        <w:rPr>
          <w:rFonts w:ascii="Times New Roman" w:hAnsi="Times New Roman" w:cs="Times New Roman"/>
        </w:rPr>
        <w:t xml:space="preserve"> que la competitividad turística en el país escale, es necesario mejorar las condiciones de seguridad multidimensional en el territorio</w:t>
      </w:r>
      <w:r w:rsidR="00173665" w:rsidRPr="00185F1A">
        <w:rPr>
          <w:rFonts w:ascii="Times New Roman" w:hAnsi="Times New Roman" w:cs="Times New Roman"/>
        </w:rPr>
        <w:t>.</w:t>
      </w:r>
    </w:p>
    <w:p w14:paraId="70D141DA" w14:textId="15783FC9" w:rsidR="00C62D3E" w:rsidRPr="00185F1A" w:rsidRDefault="00C62D3E" w:rsidP="007119C4">
      <w:pPr>
        <w:spacing w:line="240" w:lineRule="auto"/>
        <w:jc w:val="both"/>
        <w:rPr>
          <w:rFonts w:ascii="Times New Roman" w:hAnsi="Times New Roman" w:cs="Times New Roman"/>
        </w:rPr>
      </w:pPr>
      <w:r w:rsidRPr="00185F1A">
        <w:rPr>
          <w:rFonts w:ascii="Times New Roman" w:hAnsi="Times New Roman" w:cs="Times New Roman"/>
          <w:b/>
          <w:bCs/>
        </w:rPr>
        <w:t>Palabras claves</w:t>
      </w:r>
      <w:r w:rsidRPr="00185F1A">
        <w:rPr>
          <w:rFonts w:ascii="Times New Roman" w:hAnsi="Times New Roman" w:cs="Times New Roman"/>
        </w:rPr>
        <w:t>: Competitividad, destinos turísticos, seguridad multidimensional</w:t>
      </w:r>
      <w:r w:rsidR="00603BD8">
        <w:rPr>
          <w:rFonts w:ascii="Times New Roman" w:hAnsi="Times New Roman" w:cs="Times New Roman"/>
        </w:rPr>
        <w:t>, Perú</w:t>
      </w:r>
      <w:r w:rsidRPr="00185F1A">
        <w:rPr>
          <w:rFonts w:ascii="Times New Roman" w:hAnsi="Times New Roman" w:cs="Times New Roman"/>
        </w:rPr>
        <w:t>.</w:t>
      </w:r>
    </w:p>
    <w:p w14:paraId="22A96E96" w14:textId="77777777" w:rsidR="00185F1A" w:rsidRDefault="00185F1A" w:rsidP="00185F1A">
      <w:pPr>
        <w:spacing w:line="360" w:lineRule="auto"/>
        <w:rPr>
          <w:rFonts w:ascii="Times New Roman" w:hAnsi="Times New Roman" w:cs="Times New Roman"/>
          <w:b/>
          <w:bCs/>
          <w:lang w:val="en-GB"/>
        </w:rPr>
      </w:pPr>
    </w:p>
    <w:p w14:paraId="06A36CE4" w14:textId="45D1F4CE" w:rsidR="00420C22" w:rsidRPr="00185F1A" w:rsidRDefault="00196585" w:rsidP="00185F1A">
      <w:pPr>
        <w:spacing w:line="360" w:lineRule="auto"/>
        <w:rPr>
          <w:rFonts w:ascii="Times New Roman" w:hAnsi="Times New Roman" w:cs="Times New Roman"/>
          <w:b/>
          <w:bCs/>
          <w:lang w:val="en-GB"/>
        </w:rPr>
      </w:pPr>
      <w:r w:rsidRPr="00185F1A">
        <w:rPr>
          <w:rFonts w:ascii="Times New Roman" w:hAnsi="Times New Roman" w:cs="Times New Roman"/>
          <w:b/>
          <w:bCs/>
          <w:lang w:val="en-GB"/>
        </w:rPr>
        <w:t>Abstract</w:t>
      </w:r>
    </w:p>
    <w:p w14:paraId="7463A9AF" w14:textId="35CECA38" w:rsidR="00196585" w:rsidRPr="00185F1A" w:rsidRDefault="00196585" w:rsidP="007119C4">
      <w:pPr>
        <w:spacing w:line="240" w:lineRule="auto"/>
        <w:jc w:val="both"/>
        <w:rPr>
          <w:rFonts w:ascii="Times New Roman" w:hAnsi="Times New Roman" w:cs="Times New Roman"/>
          <w:sz w:val="24"/>
          <w:szCs w:val="24"/>
          <w:lang w:val="en-US"/>
        </w:rPr>
      </w:pPr>
      <w:r w:rsidRPr="00185F1A">
        <w:rPr>
          <w:rFonts w:ascii="Times New Roman" w:hAnsi="Times New Roman" w:cs="Times New Roman"/>
          <w:lang w:val="en-US"/>
        </w:rPr>
        <w:t xml:space="preserve">Tourism is an important activity for a country’s economy specially for its positive impact in reducing poverty. But, </w:t>
      </w:r>
      <w:proofErr w:type="gramStart"/>
      <w:r w:rsidRPr="00185F1A">
        <w:rPr>
          <w:rFonts w:ascii="Times New Roman" w:hAnsi="Times New Roman" w:cs="Times New Roman"/>
          <w:lang w:val="en-US"/>
        </w:rPr>
        <w:t>in</w:t>
      </w:r>
      <w:proofErr w:type="gramEnd"/>
      <w:r w:rsidRPr="00185F1A">
        <w:rPr>
          <w:rFonts w:ascii="Times New Roman" w:hAnsi="Times New Roman" w:cs="Times New Roman"/>
          <w:lang w:val="en-US"/>
        </w:rPr>
        <w:t xml:space="preserve"> some point, to achieve high standards, sustainability and increase competitiveness, it requires conditions that only can be assured by other sectors</w:t>
      </w:r>
      <w:r w:rsidR="004F7A5E" w:rsidRPr="00185F1A">
        <w:rPr>
          <w:rFonts w:ascii="Times New Roman" w:hAnsi="Times New Roman" w:cs="Times New Roman"/>
          <w:lang w:val="en-US"/>
        </w:rPr>
        <w:t xml:space="preserve">. Indeed, despite the technical </w:t>
      </w:r>
      <w:proofErr w:type="gramStart"/>
      <w:r w:rsidR="004F7A5E" w:rsidRPr="00185F1A">
        <w:rPr>
          <w:rFonts w:ascii="Times New Roman" w:hAnsi="Times New Roman" w:cs="Times New Roman"/>
          <w:lang w:val="en-US"/>
        </w:rPr>
        <w:t>assistances</w:t>
      </w:r>
      <w:proofErr w:type="gramEnd"/>
      <w:r w:rsidR="004F7A5E" w:rsidRPr="00185F1A">
        <w:rPr>
          <w:rFonts w:ascii="Times New Roman" w:hAnsi="Times New Roman" w:cs="Times New Roman"/>
          <w:lang w:val="en-US"/>
        </w:rPr>
        <w:t xml:space="preserve"> and investments in infrastructure and promotion</w:t>
      </w:r>
      <w:r w:rsidR="006E3FA2" w:rsidRPr="00185F1A">
        <w:rPr>
          <w:rFonts w:ascii="Times New Roman" w:hAnsi="Times New Roman" w:cs="Times New Roman"/>
          <w:lang w:val="en-US"/>
        </w:rPr>
        <w:t xml:space="preserve"> made by tourism sector</w:t>
      </w:r>
      <w:r w:rsidR="004F7A5E" w:rsidRPr="00185F1A">
        <w:rPr>
          <w:rFonts w:ascii="Times New Roman" w:hAnsi="Times New Roman" w:cs="Times New Roman"/>
          <w:lang w:val="en-US"/>
        </w:rPr>
        <w:t xml:space="preserve">, tourism competitiveness in Perú slowed down during 2019. The present </w:t>
      </w:r>
      <w:r w:rsidR="006E3FA2" w:rsidRPr="00185F1A">
        <w:rPr>
          <w:rFonts w:ascii="Times New Roman" w:hAnsi="Times New Roman" w:cs="Times New Roman"/>
          <w:lang w:val="en-US"/>
        </w:rPr>
        <w:t>paper</w:t>
      </w:r>
      <w:r w:rsidR="004F7A5E" w:rsidRPr="00185F1A">
        <w:rPr>
          <w:rFonts w:ascii="Times New Roman" w:hAnsi="Times New Roman" w:cs="Times New Roman"/>
          <w:lang w:val="en-US"/>
        </w:rPr>
        <w:t xml:space="preserve"> looks forward </w:t>
      </w:r>
      <w:r w:rsidR="006E3FA2" w:rsidRPr="00185F1A">
        <w:rPr>
          <w:rFonts w:ascii="Times New Roman" w:hAnsi="Times New Roman" w:cs="Times New Roman"/>
          <w:lang w:val="en-US"/>
        </w:rPr>
        <w:t xml:space="preserve">to </w:t>
      </w:r>
      <w:r w:rsidR="00C62D3E" w:rsidRPr="00185F1A">
        <w:rPr>
          <w:rFonts w:ascii="Times New Roman" w:hAnsi="Times New Roman" w:cs="Times New Roman"/>
          <w:lang w:val="en-US"/>
        </w:rPr>
        <w:t>showing</w:t>
      </w:r>
      <w:r w:rsidR="004F7A5E" w:rsidRPr="00185F1A">
        <w:rPr>
          <w:rFonts w:ascii="Times New Roman" w:hAnsi="Times New Roman" w:cs="Times New Roman"/>
          <w:lang w:val="en-US"/>
        </w:rPr>
        <w:t xml:space="preserve"> the relation</w:t>
      </w:r>
      <w:r w:rsidR="006E3FA2" w:rsidRPr="00185F1A">
        <w:rPr>
          <w:rFonts w:ascii="Times New Roman" w:hAnsi="Times New Roman" w:cs="Times New Roman"/>
          <w:lang w:val="en-US"/>
        </w:rPr>
        <w:t xml:space="preserve">ship </w:t>
      </w:r>
      <w:r w:rsidR="004F7A5E" w:rsidRPr="00185F1A">
        <w:rPr>
          <w:rFonts w:ascii="Times New Roman" w:hAnsi="Times New Roman" w:cs="Times New Roman"/>
          <w:lang w:val="en-US"/>
        </w:rPr>
        <w:t xml:space="preserve">between competitiveness and multidimensional security. For that purpose, scientific papers, </w:t>
      </w:r>
      <w:r w:rsidR="00232013" w:rsidRPr="00185F1A">
        <w:rPr>
          <w:rFonts w:ascii="Times New Roman" w:hAnsi="Times New Roman" w:cs="Times New Roman"/>
          <w:lang w:val="en-US"/>
        </w:rPr>
        <w:t>statistics,</w:t>
      </w:r>
      <w:r w:rsidR="004F7A5E" w:rsidRPr="00185F1A">
        <w:rPr>
          <w:rFonts w:ascii="Times New Roman" w:hAnsi="Times New Roman" w:cs="Times New Roman"/>
          <w:lang w:val="en-US"/>
        </w:rPr>
        <w:t xml:space="preserve"> and sectorial information</w:t>
      </w:r>
      <w:r w:rsidR="006E3FA2" w:rsidRPr="00185F1A">
        <w:rPr>
          <w:rFonts w:ascii="Times New Roman" w:hAnsi="Times New Roman" w:cs="Times New Roman"/>
          <w:lang w:val="en-US"/>
        </w:rPr>
        <w:t>,</w:t>
      </w:r>
      <w:r w:rsidR="004F7A5E" w:rsidRPr="00185F1A">
        <w:rPr>
          <w:rFonts w:ascii="Times New Roman" w:hAnsi="Times New Roman" w:cs="Times New Roman"/>
          <w:lang w:val="en-US"/>
        </w:rPr>
        <w:t xml:space="preserve"> from the last three years</w:t>
      </w:r>
      <w:r w:rsidR="00232013" w:rsidRPr="00185F1A">
        <w:rPr>
          <w:rFonts w:ascii="Times New Roman" w:hAnsi="Times New Roman" w:cs="Times New Roman"/>
          <w:lang w:val="en-US"/>
        </w:rPr>
        <w:t xml:space="preserve"> before</w:t>
      </w:r>
      <w:r w:rsidR="006E3FA2" w:rsidRPr="00185F1A">
        <w:rPr>
          <w:rFonts w:ascii="Times New Roman" w:hAnsi="Times New Roman" w:cs="Times New Roman"/>
          <w:lang w:val="en-US"/>
        </w:rPr>
        <w:t xml:space="preserve"> the </w:t>
      </w:r>
      <w:r w:rsidR="00232013" w:rsidRPr="00185F1A">
        <w:rPr>
          <w:rFonts w:ascii="Times New Roman" w:hAnsi="Times New Roman" w:cs="Times New Roman"/>
          <w:lang w:val="en-US"/>
        </w:rPr>
        <w:lastRenderedPageBreak/>
        <w:t>pandemic</w:t>
      </w:r>
      <w:r w:rsidR="006E3FA2" w:rsidRPr="00185F1A">
        <w:rPr>
          <w:rFonts w:ascii="Times New Roman" w:hAnsi="Times New Roman" w:cs="Times New Roman"/>
          <w:lang w:val="en-US"/>
        </w:rPr>
        <w:t>,</w:t>
      </w:r>
      <w:r w:rsidR="004F7A5E" w:rsidRPr="00185F1A">
        <w:rPr>
          <w:rFonts w:ascii="Times New Roman" w:hAnsi="Times New Roman" w:cs="Times New Roman"/>
          <w:lang w:val="en-US"/>
        </w:rPr>
        <w:t xml:space="preserve"> has been revised. The study </w:t>
      </w:r>
      <w:r w:rsidR="006E3FA2" w:rsidRPr="00185F1A">
        <w:rPr>
          <w:rFonts w:ascii="Times New Roman" w:hAnsi="Times New Roman" w:cs="Times New Roman"/>
          <w:lang w:val="en-US"/>
        </w:rPr>
        <w:t>concluded that it is necessary</w:t>
      </w:r>
      <w:r w:rsidR="006E3FA2" w:rsidRPr="00C62D3E">
        <w:rPr>
          <w:rFonts w:ascii="Calibri" w:hAnsi="Calibri" w:cs="Calibri"/>
          <w:sz w:val="24"/>
          <w:szCs w:val="24"/>
          <w:lang w:val="en-US"/>
        </w:rPr>
        <w:t xml:space="preserve"> </w:t>
      </w:r>
      <w:r w:rsidR="006E3FA2" w:rsidRPr="00185F1A">
        <w:rPr>
          <w:rFonts w:ascii="Times New Roman" w:hAnsi="Times New Roman" w:cs="Times New Roman"/>
          <w:sz w:val="24"/>
          <w:szCs w:val="24"/>
          <w:lang w:val="en-US"/>
        </w:rPr>
        <w:t xml:space="preserve">to ameliorate multidimensional </w:t>
      </w:r>
      <w:r w:rsidR="00C62D3E" w:rsidRPr="00185F1A">
        <w:rPr>
          <w:rFonts w:ascii="Times New Roman" w:hAnsi="Times New Roman" w:cs="Times New Roman"/>
          <w:sz w:val="24"/>
          <w:szCs w:val="24"/>
          <w:lang w:val="en-US"/>
        </w:rPr>
        <w:t>security in</w:t>
      </w:r>
      <w:r w:rsidR="006E3FA2" w:rsidRPr="00185F1A">
        <w:rPr>
          <w:rFonts w:ascii="Times New Roman" w:hAnsi="Times New Roman" w:cs="Times New Roman"/>
          <w:sz w:val="24"/>
          <w:szCs w:val="24"/>
          <w:lang w:val="en-US"/>
        </w:rPr>
        <w:t xml:space="preserve"> order increase competitiveness</w:t>
      </w:r>
      <w:r w:rsidR="00C62D3E" w:rsidRPr="00185F1A">
        <w:rPr>
          <w:rFonts w:ascii="Times New Roman" w:hAnsi="Times New Roman" w:cs="Times New Roman"/>
          <w:sz w:val="24"/>
          <w:szCs w:val="24"/>
          <w:lang w:val="en-US"/>
        </w:rPr>
        <w:t xml:space="preserve">. </w:t>
      </w:r>
    </w:p>
    <w:p w14:paraId="655DE4EE" w14:textId="29599578" w:rsidR="00C62D3E" w:rsidRPr="00185F1A" w:rsidRDefault="00C62D3E" w:rsidP="00C62D3E">
      <w:pPr>
        <w:spacing w:line="276" w:lineRule="auto"/>
        <w:jc w:val="both"/>
        <w:rPr>
          <w:rFonts w:ascii="Times New Roman" w:hAnsi="Times New Roman" w:cs="Times New Roman"/>
          <w:sz w:val="24"/>
          <w:szCs w:val="24"/>
          <w:lang w:val="en-US"/>
        </w:rPr>
      </w:pPr>
      <w:r w:rsidRPr="00185F1A">
        <w:rPr>
          <w:rFonts w:ascii="Times New Roman" w:hAnsi="Times New Roman" w:cs="Times New Roman"/>
          <w:b/>
          <w:bCs/>
          <w:sz w:val="24"/>
          <w:szCs w:val="24"/>
          <w:lang w:val="en-US"/>
        </w:rPr>
        <w:t>Key words</w:t>
      </w:r>
      <w:r w:rsidRPr="00185F1A">
        <w:rPr>
          <w:rFonts w:ascii="Times New Roman" w:hAnsi="Times New Roman" w:cs="Times New Roman"/>
          <w:sz w:val="24"/>
          <w:szCs w:val="24"/>
          <w:lang w:val="en-US"/>
        </w:rPr>
        <w:t>: Competitiveness, touristic destinations, multidimensional security</w:t>
      </w:r>
      <w:r w:rsidR="00E01627">
        <w:rPr>
          <w:rFonts w:ascii="Times New Roman" w:hAnsi="Times New Roman" w:cs="Times New Roman"/>
          <w:sz w:val="24"/>
          <w:szCs w:val="24"/>
          <w:lang w:val="en-US"/>
        </w:rPr>
        <w:t>, Perú</w:t>
      </w:r>
      <w:r w:rsidRPr="00185F1A">
        <w:rPr>
          <w:rFonts w:ascii="Times New Roman" w:hAnsi="Times New Roman" w:cs="Times New Roman"/>
          <w:sz w:val="24"/>
          <w:szCs w:val="24"/>
          <w:lang w:val="en-US"/>
        </w:rPr>
        <w:t>.</w:t>
      </w:r>
    </w:p>
    <w:p w14:paraId="462A446F" w14:textId="77777777" w:rsidR="007119C4" w:rsidRDefault="007119C4" w:rsidP="00C62D3E">
      <w:pPr>
        <w:spacing w:line="276" w:lineRule="auto"/>
        <w:jc w:val="both"/>
        <w:rPr>
          <w:rFonts w:ascii="Calibri" w:hAnsi="Calibri" w:cs="Calibri"/>
          <w:sz w:val="24"/>
          <w:szCs w:val="24"/>
          <w:lang w:val="en-US"/>
        </w:rPr>
      </w:pPr>
    </w:p>
    <w:p w14:paraId="2C4E5982" w14:textId="1505E8DE" w:rsidR="00A10DAE" w:rsidRPr="00185F1A" w:rsidRDefault="00A10DAE" w:rsidP="00185F1A">
      <w:pPr>
        <w:pStyle w:val="Prrafodelista"/>
        <w:numPr>
          <w:ilvl w:val="0"/>
          <w:numId w:val="3"/>
        </w:numPr>
        <w:ind w:left="284"/>
        <w:jc w:val="both"/>
        <w:rPr>
          <w:rFonts w:ascii="Times New Roman" w:hAnsi="Times New Roman" w:cs="Times New Roman"/>
          <w:b/>
          <w:bCs/>
          <w:sz w:val="24"/>
          <w:szCs w:val="24"/>
        </w:rPr>
      </w:pPr>
      <w:r w:rsidRPr="00185F1A">
        <w:rPr>
          <w:rFonts w:ascii="Times New Roman" w:hAnsi="Times New Roman" w:cs="Times New Roman"/>
          <w:b/>
          <w:bCs/>
          <w:sz w:val="24"/>
          <w:szCs w:val="24"/>
        </w:rPr>
        <w:t>Introducción</w:t>
      </w:r>
    </w:p>
    <w:p w14:paraId="494603E1" w14:textId="16C9DBEF" w:rsidR="002F3083" w:rsidRPr="00185F1A" w:rsidRDefault="00F44180" w:rsidP="00185F1A">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La actividad turística </w:t>
      </w:r>
      <w:r w:rsidR="00A173E2" w:rsidRPr="00185F1A">
        <w:rPr>
          <w:rFonts w:ascii="Times New Roman" w:hAnsi="Times New Roman" w:cs="Times New Roman"/>
          <w:sz w:val="24"/>
          <w:szCs w:val="24"/>
        </w:rPr>
        <w:t xml:space="preserve">en Perú se concentra esencialmente en la </w:t>
      </w:r>
      <w:r w:rsidR="004326E6" w:rsidRPr="00185F1A">
        <w:rPr>
          <w:rFonts w:ascii="Times New Roman" w:hAnsi="Times New Roman" w:cs="Times New Roman"/>
          <w:sz w:val="24"/>
          <w:szCs w:val="24"/>
        </w:rPr>
        <w:t>Macrorregión Sur</w:t>
      </w:r>
      <w:r w:rsidR="00A173E2" w:rsidRPr="00185F1A">
        <w:rPr>
          <w:rFonts w:ascii="Times New Roman" w:hAnsi="Times New Roman" w:cs="Times New Roman"/>
          <w:sz w:val="24"/>
          <w:szCs w:val="24"/>
        </w:rPr>
        <w:t xml:space="preserve"> del país, toda vez que Cusco fue la capital del imperio Inca y todavía se puede apreciar la arquitectura originaria </w:t>
      </w:r>
      <w:r w:rsidR="00882298" w:rsidRPr="00185F1A">
        <w:rPr>
          <w:rFonts w:ascii="Times New Roman" w:hAnsi="Times New Roman" w:cs="Times New Roman"/>
          <w:sz w:val="24"/>
          <w:szCs w:val="24"/>
        </w:rPr>
        <w:t xml:space="preserve">inca </w:t>
      </w:r>
      <w:r w:rsidR="00A173E2" w:rsidRPr="00185F1A">
        <w:rPr>
          <w:rFonts w:ascii="Times New Roman" w:hAnsi="Times New Roman" w:cs="Times New Roman"/>
          <w:sz w:val="24"/>
          <w:szCs w:val="24"/>
        </w:rPr>
        <w:t>en el centro de la ciudad</w:t>
      </w:r>
      <w:r w:rsidR="002F3083" w:rsidRPr="00185F1A">
        <w:rPr>
          <w:rFonts w:ascii="Times New Roman" w:hAnsi="Times New Roman" w:cs="Times New Roman"/>
          <w:sz w:val="24"/>
          <w:szCs w:val="24"/>
        </w:rPr>
        <w:t>,</w:t>
      </w:r>
      <w:r w:rsidR="00A173E2" w:rsidRPr="00185F1A">
        <w:rPr>
          <w:rFonts w:ascii="Times New Roman" w:hAnsi="Times New Roman" w:cs="Times New Roman"/>
          <w:sz w:val="24"/>
          <w:szCs w:val="24"/>
        </w:rPr>
        <w:t xml:space="preserve"> así como en las zonas aledañas</w:t>
      </w:r>
      <w:r w:rsidR="00882298" w:rsidRPr="00185F1A">
        <w:rPr>
          <w:rFonts w:ascii="Times New Roman" w:hAnsi="Times New Roman" w:cs="Times New Roman"/>
          <w:sz w:val="24"/>
          <w:szCs w:val="24"/>
        </w:rPr>
        <w:t>,</w:t>
      </w:r>
      <w:r w:rsidR="00A173E2" w:rsidRPr="00185F1A">
        <w:rPr>
          <w:rFonts w:ascii="Times New Roman" w:hAnsi="Times New Roman" w:cs="Times New Roman"/>
          <w:sz w:val="24"/>
          <w:szCs w:val="24"/>
        </w:rPr>
        <w:t xml:space="preserve"> sin mencionar a</w:t>
      </w:r>
      <w:r w:rsidR="00882298" w:rsidRPr="00185F1A">
        <w:rPr>
          <w:rFonts w:ascii="Times New Roman" w:hAnsi="Times New Roman" w:cs="Times New Roman"/>
          <w:sz w:val="24"/>
          <w:szCs w:val="24"/>
        </w:rPr>
        <w:t xml:space="preserve"> </w:t>
      </w:r>
      <w:r w:rsidR="00A173E2" w:rsidRPr="00185F1A">
        <w:rPr>
          <w:rFonts w:ascii="Times New Roman" w:hAnsi="Times New Roman" w:cs="Times New Roman"/>
          <w:sz w:val="24"/>
          <w:szCs w:val="24"/>
        </w:rPr>
        <w:t>l</w:t>
      </w:r>
      <w:r w:rsidR="00882298" w:rsidRPr="00185F1A">
        <w:rPr>
          <w:rFonts w:ascii="Times New Roman" w:hAnsi="Times New Roman" w:cs="Times New Roman"/>
          <w:sz w:val="24"/>
          <w:szCs w:val="24"/>
        </w:rPr>
        <w:t>a</w:t>
      </w:r>
      <w:r w:rsidR="00A173E2" w:rsidRPr="00185F1A">
        <w:rPr>
          <w:rFonts w:ascii="Times New Roman" w:hAnsi="Times New Roman" w:cs="Times New Roman"/>
          <w:sz w:val="24"/>
          <w:szCs w:val="24"/>
        </w:rPr>
        <w:t xml:space="preserve"> grandio</w:t>
      </w:r>
      <w:r w:rsidR="00882298" w:rsidRPr="00185F1A">
        <w:rPr>
          <w:rFonts w:ascii="Times New Roman" w:hAnsi="Times New Roman" w:cs="Times New Roman"/>
          <w:sz w:val="24"/>
          <w:szCs w:val="24"/>
        </w:rPr>
        <w:t xml:space="preserve">sa ciudadela de </w:t>
      </w:r>
      <w:r w:rsidR="002F3083" w:rsidRPr="00185F1A">
        <w:rPr>
          <w:rFonts w:ascii="Times New Roman" w:hAnsi="Times New Roman" w:cs="Times New Roman"/>
          <w:sz w:val="24"/>
          <w:szCs w:val="24"/>
        </w:rPr>
        <w:t>Machupichu</w:t>
      </w:r>
      <w:r w:rsidR="007A7664" w:rsidRPr="00185F1A">
        <w:rPr>
          <w:rFonts w:ascii="Times New Roman" w:hAnsi="Times New Roman" w:cs="Times New Roman"/>
          <w:sz w:val="24"/>
          <w:szCs w:val="24"/>
        </w:rPr>
        <w:t xml:space="preserve">. </w:t>
      </w:r>
    </w:p>
    <w:p w14:paraId="60F5B65C" w14:textId="5A932D70" w:rsidR="002F3083" w:rsidRPr="00185F1A" w:rsidRDefault="002F3083" w:rsidP="00185F1A">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Asimismo, se unen a los circuitos </w:t>
      </w:r>
      <w:r w:rsidR="00882298" w:rsidRPr="00185F1A">
        <w:rPr>
          <w:rFonts w:ascii="Times New Roman" w:hAnsi="Times New Roman" w:cs="Times New Roman"/>
          <w:sz w:val="24"/>
          <w:szCs w:val="24"/>
        </w:rPr>
        <w:t xml:space="preserve">en </w:t>
      </w:r>
      <w:r w:rsidRPr="00185F1A">
        <w:rPr>
          <w:rFonts w:ascii="Times New Roman" w:hAnsi="Times New Roman" w:cs="Times New Roman"/>
          <w:sz w:val="24"/>
          <w:szCs w:val="24"/>
        </w:rPr>
        <w:t>Cusco,</w:t>
      </w:r>
      <w:r w:rsidR="00882298" w:rsidRPr="00185F1A">
        <w:rPr>
          <w:rFonts w:ascii="Times New Roman" w:hAnsi="Times New Roman" w:cs="Times New Roman"/>
          <w:sz w:val="24"/>
          <w:szCs w:val="24"/>
        </w:rPr>
        <w:t xml:space="preserve"> los circuitos en</w:t>
      </w:r>
      <w:r w:rsidRPr="00185F1A">
        <w:rPr>
          <w:rFonts w:ascii="Times New Roman" w:hAnsi="Times New Roman" w:cs="Times New Roman"/>
          <w:sz w:val="24"/>
          <w:szCs w:val="24"/>
        </w:rPr>
        <w:t xml:space="preserve"> </w:t>
      </w:r>
      <w:r w:rsidR="00F44180" w:rsidRPr="00185F1A">
        <w:rPr>
          <w:rFonts w:ascii="Times New Roman" w:hAnsi="Times New Roman" w:cs="Times New Roman"/>
          <w:sz w:val="24"/>
          <w:szCs w:val="24"/>
        </w:rPr>
        <w:t xml:space="preserve">las regiones de </w:t>
      </w:r>
      <w:r w:rsidRPr="00185F1A">
        <w:rPr>
          <w:rFonts w:ascii="Times New Roman" w:hAnsi="Times New Roman" w:cs="Times New Roman"/>
          <w:sz w:val="24"/>
          <w:szCs w:val="24"/>
        </w:rPr>
        <w:t>Arequipa</w:t>
      </w:r>
      <w:r w:rsidR="00882298" w:rsidRPr="00185F1A">
        <w:rPr>
          <w:rFonts w:ascii="Times New Roman" w:hAnsi="Times New Roman" w:cs="Times New Roman"/>
          <w:sz w:val="24"/>
          <w:szCs w:val="24"/>
        </w:rPr>
        <w:t xml:space="preserve"> tanto en la ciudad como en el</w:t>
      </w:r>
      <w:r w:rsidRPr="00185F1A">
        <w:rPr>
          <w:rFonts w:ascii="Times New Roman" w:hAnsi="Times New Roman" w:cs="Times New Roman"/>
          <w:sz w:val="24"/>
          <w:szCs w:val="24"/>
        </w:rPr>
        <w:t xml:space="preserve"> Valle del Colca</w:t>
      </w:r>
      <w:r w:rsidR="000F42E4" w:rsidRPr="00185F1A">
        <w:rPr>
          <w:rFonts w:ascii="Times New Roman" w:hAnsi="Times New Roman" w:cs="Times New Roman"/>
          <w:sz w:val="24"/>
          <w:szCs w:val="24"/>
        </w:rPr>
        <w:t>,</w:t>
      </w:r>
      <w:r w:rsidRPr="00185F1A">
        <w:rPr>
          <w:rFonts w:ascii="Times New Roman" w:hAnsi="Times New Roman" w:cs="Times New Roman"/>
          <w:sz w:val="24"/>
          <w:szCs w:val="24"/>
        </w:rPr>
        <w:t xml:space="preserve"> Puno y el Lago Titicaca, Madre de Dios y la selva amazónica</w:t>
      </w:r>
      <w:r w:rsidR="00E80E2E" w:rsidRPr="00185F1A">
        <w:rPr>
          <w:rFonts w:ascii="Times New Roman" w:hAnsi="Times New Roman" w:cs="Times New Roman"/>
          <w:sz w:val="24"/>
          <w:szCs w:val="24"/>
        </w:rPr>
        <w:t>, lo cual resulta un circuito bastante atractivo para el mercado internacional</w:t>
      </w:r>
      <w:r w:rsidR="0082676E" w:rsidRPr="00185F1A">
        <w:rPr>
          <w:rFonts w:ascii="Times New Roman" w:hAnsi="Times New Roman" w:cs="Times New Roman"/>
          <w:sz w:val="24"/>
          <w:szCs w:val="24"/>
        </w:rPr>
        <w:t xml:space="preserve">, gracias </w:t>
      </w:r>
      <w:r w:rsidR="007A7664" w:rsidRPr="00185F1A">
        <w:rPr>
          <w:rFonts w:ascii="Times New Roman" w:hAnsi="Times New Roman" w:cs="Times New Roman"/>
          <w:sz w:val="24"/>
          <w:szCs w:val="24"/>
        </w:rPr>
        <w:t xml:space="preserve">a la puesta en valor del patrimonio cultural arqueológico, </w:t>
      </w:r>
      <w:r w:rsidR="0082676E" w:rsidRPr="00185F1A">
        <w:rPr>
          <w:rFonts w:ascii="Times New Roman" w:hAnsi="Times New Roman" w:cs="Times New Roman"/>
          <w:sz w:val="24"/>
          <w:szCs w:val="24"/>
        </w:rPr>
        <w:t>a su conectividad y a los servicios que se han desarrollado en la zona</w:t>
      </w:r>
      <w:r w:rsidR="004326E6" w:rsidRPr="00185F1A">
        <w:rPr>
          <w:rFonts w:ascii="Times New Roman" w:hAnsi="Times New Roman" w:cs="Times New Roman"/>
          <w:sz w:val="24"/>
          <w:szCs w:val="24"/>
        </w:rPr>
        <w:t>, gracias al esfuerzo público y privado.</w:t>
      </w:r>
    </w:p>
    <w:p w14:paraId="09FF63C1" w14:textId="16FAB592" w:rsidR="001A4DB9" w:rsidRPr="00185F1A" w:rsidRDefault="004326E6" w:rsidP="00185F1A">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En </w:t>
      </w:r>
      <w:r w:rsidR="00952DF6">
        <w:rPr>
          <w:rFonts w:ascii="Times New Roman" w:hAnsi="Times New Roman" w:cs="Times New Roman"/>
          <w:sz w:val="24"/>
          <w:szCs w:val="24"/>
        </w:rPr>
        <w:t xml:space="preserve">el área </w:t>
      </w:r>
      <w:r w:rsidR="00185F1A" w:rsidRPr="00185F1A">
        <w:rPr>
          <w:rFonts w:ascii="Times New Roman" w:hAnsi="Times New Roman" w:cs="Times New Roman"/>
          <w:sz w:val="24"/>
          <w:szCs w:val="24"/>
        </w:rPr>
        <w:t>Sur entre los años 2017 y 2019, previos a la pandemia</w:t>
      </w:r>
      <w:r w:rsidR="00952DF6">
        <w:rPr>
          <w:rFonts w:ascii="Times New Roman" w:hAnsi="Times New Roman" w:cs="Times New Roman"/>
          <w:sz w:val="24"/>
          <w:szCs w:val="24"/>
        </w:rPr>
        <w:t>, puede apreciarse su flujo de visitantes en la siguiente Figura 1.</w:t>
      </w:r>
      <w:r w:rsidRPr="00185F1A">
        <w:rPr>
          <w:rFonts w:ascii="Times New Roman" w:hAnsi="Times New Roman" w:cs="Times New Roman"/>
          <w:sz w:val="24"/>
          <w:szCs w:val="24"/>
        </w:rPr>
        <w:t xml:space="preserve"> </w:t>
      </w:r>
    </w:p>
    <w:p w14:paraId="78C2F8FB" w14:textId="77777777" w:rsidR="00A064EC" w:rsidRPr="00185F1A" w:rsidRDefault="00A064EC" w:rsidP="00185F1A">
      <w:pPr>
        <w:jc w:val="both"/>
        <w:rPr>
          <w:rFonts w:ascii="Times New Roman" w:hAnsi="Times New Roman" w:cs="Times New Roman"/>
          <w:b/>
          <w:bCs/>
          <w:sz w:val="24"/>
          <w:szCs w:val="24"/>
        </w:rPr>
      </w:pPr>
    </w:p>
    <w:p w14:paraId="7555372F" w14:textId="0B06CD07" w:rsidR="001A4DB9" w:rsidRPr="00952DF6" w:rsidRDefault="00C62D3E" w:rsidP="00185F1A">
      <w:pPr>
        <w:jc w:val="both"/>
        <w:rPr>
          <w:rFonts w:ascii="Times New Roman" w:hAnsi="Times New Roman" w:cs="Times New Roman"/>
          <w:b/>
          <w:bCs/>
          <w:sz w:val="24"/>
          <w:szCs w:val="24"/>
        </w:rPr>
      </w:pPr>
      <w:r w:rsidRPr="00185F1A">
        <w:rPr>
          <w:rFonts w:ascii="Times New Roman" w:hAnsi="Times New Roman" w:cs="Times New Roman"/>
          <w:b/>
          <w:bCs/>
          <w:sz w:val="24"/>
          <w:szCs w:val="24"/>
        </w:rPr>
        <w:t xml:space="preserve">Figura </w:t>
      </w:r>
      <w:r w:rsidR="00355408" w:rsidRPr="00185F1A">
        <w:rPr>
          <w:rFonts w:ascii="Times New Roman" w:hAnsi="Times New Roman" w:cs="Times New Roman"/>
          <w:b/>
          <w:bCs/>
          <w:sz w:val="24"/>
          <w:szCs w:val="24"/>
        </w:rPr>
        <w:t>1</w:t>
      </w:r>
      <w:r w:rsidR="00952DF6">
        <w:rPr>
          <w:rFonts w:ascii="Times New Roman" w:hAnsi="Times New Roman" w:cs="Times New Roman"/>
          <w:b/>
          <w:bCs/>
          <w:sz w:val="24"/>
          <w:szCs w:val="24"/>
        </w:rPr>
        <w:t xml:space="preserve">. </w:t>
      </w:r>
      <w:r w:rsidR="00355408" w:rsidRPr="00952DF6">
        <w:rPr>
          <w:rFonts w:ascii="Times New Roman" w:hAnsi="Times New Roman" w:cs="Times New Roman"/>
          <w:b/>
          <w:bCs/>
          <w:sz w:val="24"/>
          <w:szCs w:val="24"/>
        </w:rPr>
        <w:t>Arribo de visitantes a la Macrorregión Sur</w:t>
      </w:r>
      <w:r w:rsidRPr="00952DF6">
        <w:rPr>
          <w:rFonts w:ascii="Times New Roman" w:hAnsi="Times New Roman" w:cs="Times New Roman"/>
          <w:b/>
          <w:bCs/>
          <w:sz w:val="24"/>
          <w:szCs w:val="24"/>
        </w:rPr>
        <w:t xml:space="preserve"> </w:t>
      </w:r>
    </w:p>
    <w:p w14:paraId="250B608B" w14:textId="678437DC" w:rsidR="001A4DB9" w:rsidRPr="00185F1A" w:rsidRDefault="00882298" w:rsidP="00185F1A">
      <w:pPr>
        <w:jc w:val="both"/>
        <w:rPr>
          <w:rFonts w:ascii="Times New Roman" w:hAnsi="Times New Roman" w:cs="Times New Roman"/>
          <w:sz w:val="24"/>
          <w:szCs w:val="24"/>
        </w:rPr>
      </w:pPr>
      <w:r w:rsidRPr="00185F1A">
        <w:rPr>
          <w:rFonts w:ascii="Times New Roman" w:hAnsi="Times New Roman" w:cs="Times New Roman"/>
          <w:noProof/>
          <w:sz w:val="24"/>
          <w:szCs w:val="24"/>
        </w:rPr>
        <w:drawing>
          <wp:inline distT="0" distB="0" distL="0" distR="0" wp14:anchorId="565FEE7A" wp14:editId="252D9C22">
            <wp:extent cx="5486400" cy="2787650"/>
            <wp:effectExtent l="0" t="0" r="0" b="12700"/>
            <wp:docPr id="272590474" name="Gráfico 1">
              <a:extLst xmlns:a="http://schemas.openxmlformats.org/drawingml/2006/main">
                <a:ext uri="{FF2B5EF4-FFF2-40B4-BE49-F238E27FC236}">
                  <a16:creationId xmlns:a16="http://schemas.microsoft.com/office/drawing/2014/main" id="{CB5D475B-5A47-83DB-9068-2EE1FCCB8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202AD0" w14:textId="78475A39" w:rsidR="00882298" w:rsidRPr="00185F1A" w:rsidRDefault="00882298" w:rsidP="00185F1A">
      <w:pPr>
        <w:jc w:val="both"/>
        <w:rPr>
          <w:rFonts w:ascii="Times New Roman" w:hAnsi="Times New Roman" w:cs="Times New Roman"/>
          <w:sz w:val="24"/>
          <w:szCs w:val="24"/>
        </w:rPr>
      </w:pPr>
      <w:r w:rsidRPr="00952DF6">
        <w:rPr>
          <w:rFonts w:ascii="Times New Roman" w:hAnsi="Times New Roman" w:cs="Times New Roman"/>
          <w:b/>
          <w:bCs/>
          <w:sz w:val="24"/>
          <w:szCs w:val="24"/>
        </w:rPr>
        <w:t>Fuente:</w:t>
      </w:r>
      <w:r w:rsidRPr="00185F1A">
        <w:rPr>
          <w:rFonts w:ascii="Times New Roman" w:hAnsi="Times New Roman" w:cs="Times New Roman"/>
          <w:sz w:val="24"/>
          <w:szCs w:val="24"/>
        </w:rPr>
        <w:t xml:space="preserve"> Compendio Turístico 2022. Ficha Arribo de visitantes nacionales y </w:t>
      </w:r>
      <w:r w:rsidR="0020795F" w:rsidRPr="00185F1A">
        <w:rPr>
          <w:rFonts w:ascii="Times New Roman" w:hAnsi="Times New Roman" w:cs="Times New Roman"/>
          <w:sz w:val="24"/>
          <w:szCs w:val="24"/>
        </w:rPr>
        <w:t>extranjeros a</w:t>
      </w:r>
      <w:r w:rsidRPr="00185F1A">
        <w:rPr>
          <w:rFonts w:ascii="Times New Roman" w:hAnsi="Times New Roman" w:cs="Times New Roman"/>
          <w:sz w:val="24"/>
          <w:szCs w:val="24"/>
        </w:rPr>
        <w:t xml:space="preserve"> los establecimientos de hospedaje</w:t>
      </w:r>
    </w:p>
    <w:p w14:paraId="30DDEA95" w14:textId="77777777" w:rsidR="00A064EC" w:rsidRPr="00185F1A" w:rsidRDefault="00A064EC" w:rsidP="00185F1A">
      <w:pPr>
        <w:spacing w:line="360" w:lineRule="auto"/>
        <w:jc w:val="both"/>
        <w:rPr>
          <w:rFonts w:ascii="Times New Roman" w:hAnsi="Times New Roman" w:cs="Times New Roman"/>
          <w:sz w:val="24"/>
          <w:szCs w:val="24"/>
        </w:rPr>
      </w:pPr>
    </w:p>
    <w:p w14:paraId="62BF592C" w14:textId="4C7147D7" w:rsidR="00355408" w:rsidRPr="00185F1A" w:rsidRDefault="009B56BD" w:rsidP="00952DF6">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En el cuadro se puede observar que Cusco recibe el mayor número de visitantes extranjeros, siendo que en el 2019 se registró el arribo de más de 1.8 millones de visitantes. En el caso de visitantes nacionales, es Arequipa la región que lidera en cuanto </w:t>
      </w:r>
      <w:r w:rsidRPr="00185F1A">
        <w:rPr>
          <w:rFonts w:ascii="Times New Roman" w:hAnsi="Times New Roman" w:cs="Times New Roman"/>
          <w:sz w:val="24"/>
          <w:szCs w:val="24"/>
        </w:rPr>
        <w:lastRenderedPageBreak/>
        <w:t xml:space="preserve">al número de llegadas a la región. Cabe resaltar, </w:t>
      </w:r>
      <w:proofErr w:type="gramStart"/>
      <w:r w:rsidRPr="00185F1A">
        <w:rPr>
          <w:rFonts w:ascii="Times New Roman" w:hAnsi="Times New Roman" w:cs="Times New Roman"/>
          <w:sz w:val="24"/>
          <w:szCs w:val="24"/>
        </w:rPr>
        <w:t>que</w:t>
      </w:r>
      <w:proofErr w:type="gramEnd"/>
      <w:r w:rsidRPr="00185F1A">
        <w:rPr>
          <w:rFonts w:ascii="Times New Roman" w:hAnsi="Times New Roman" w:cs="Times New Roman"/>
          <w:sz w:val="24"/>
          <w:szCs w:val="24"/>
        </w:rPr>
        <w:t xml:space="preserve"> en el caso de esta región, se realizan eventos como la Convención Minera y es además una ciudad con importante flujo de pasajeros debido a actividades de comercio e industria.</w:t>
      </w:r>
    </w:p>
    <w:p w14:paraId="0CD10654" w14:textId="5CC752B7" w:rsidR="00355408" w:rsidRPr="00185F1A" w:rsidRDefault="009B56BD" w:rsidP="00952DF6">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En </w:t>
      </w:r>
      <w:r w:rsidR="00A064EC" w:rsidRPr="00185F1A">
        <w:rPr>
          <w:rFonts w:ascii="Times New Roman" w:hAnsi="Times New Roman" w:cs="Times New Roman"/>
          <w:sz w:val="24"/>
          <w:szCs w:val="24"/>
        </w:rPr>
        <w:t>la Figura 2</w:t>
      </w:r>
      <w:r w:rsidRPr="00185F1A">
        <w:rPr>
          <w:rFonts w:ascii="Times New Roman" w:hAnsi="Times New Roman" w:cs="Times New Roman"/>
          <w:sz w:val="24"/>
          <w:szCs w:val="24"/>
        </w:rPr>
        <w:t xml:space="preserve"> se puede observar el flujo de turistas a determinados </w:t>
      </w:r>
      <w:r w:rsidR="00A064EC" w:rsidRPr="00185F1A">
        <w:rPr>
          <w:rFonts w:ascii="Times New Roman" w:hAnsi="Times New Roman" w:cs="Times New Roman"/>
          <w:sz w:val="24"/>
          <w:szCs w:val="24"/>
        </w:rPr>
        <w:t>sitios patrimoniales en la Macrorregión Sur. En este cuadro se puede observar que Machupichu congrega el mayor número de visitantes con más de 1.5 millones de turistas extranjeros, seguido de Arequipa y Puno.</w:t>
      </w:r>
    </w:p>
    <w:p w14:paraId="581996A8" w14:textId="77777777" w:rsidR="00952DF6" w:rsidRDefault="00952DF6" w:rsidP="00185F1A">
      <w:pPr>
        <w:jc w:val="both"/>
        <w:rPr>
          <w:rFonts w:ascii="Times New Roman" w:hAnsi="Times New Roman" w:cs="Times New Roman"/>
          <w:b/>
          <w:bCs/>
          <w:sz w:val="24"/>
          <w:szCs w:val="24"/>
        </w:rPr>
      </w:pPr>
    </w:p>
    <w:p w14:paraId="3ED6D116" w14:textId="7F4BBAF4" w:rsidR="00A064EC" w:rsidRPr="00185F1A" w:rsidRDefault="00952DF6" w:rsidP="00185F1A">
      <w:pPr>
        <w:jc w:val="both"/>
        <w:rPr>
          <w:rFonts w:ascii="Times New Roman" w:hAnsi="Times New Roman" w:cs="Times New Roman"/>
          <w:i/>
          <w:iCs/>
          <w:sz w:val="24"/>
          <w:szCs w:val="24"/>
        </w:rPr>
      </w:pPr>
      <w:r w:rsidRPr="00185F1A">
        <w:rPr>
          <w:rFonts w:ascii="Times New Roman" w:hAnsi="Times New Roman" w:cs="Times New Roman"/>
          <w:i/>
          <w:iCs/>
          <w:noProof/>
          <w:sz w:val="24"/>
          <w:szCs w:val="24"/>
        </w:rPr>
        <w:drawing>
          <wp:anchor distT="0" distB="0" distL="114300" distR="114300" simplePos="0" relativeHeight="251671552" behindDoc="1" locked="0" layoutInCell="1" allowOverlap="1" wp14:anchorId="24F22AC0" wp14:editId="04A4387F">
            <wp:simplePos x="0" y="0"/>
            <wp:positionH relativeFrom="margin">
              <wp:posOffset>-76835</wp:posOffset>
            </wp:positionH>
            <wp:positionV relativeFrom="paragraph">
              <wp:posOffset>395605</wp:posOffset>
            </wp:positionV>
            <wp:extent cx="5810250" cy="3155950"/>
            <wp:effectExtent l="0" t="0" r="0" b="6350"/>
            <wp:wrapTight wrapText="bothSides">
              <wp:wrapPolygon edited="0">
                <wp:start x="0" y="0"/>
                <wp:lineTo x="0" y="21513"/>
                <wp:lineTo x="21529" y="21513"/>
                <wp:lineTo x="21529" y="0"/>
                <wp:lineTo x="0" y="0"/>
              </wp:wrapPolygon>
            </wp:wrapTight>
            <wp:docPr id="1081676970" name="Gráfico 1">
              <a:extLst xmlns:a="http://schemas.openxmlformats.org/drawingml/2006/main">
                <a:ext uri="{FF2B5EF4-FFF2-40B4-BE49-F238E27FC236}">
                  <a16:creationId xmlns:a16="http://schemas.microsoft.com/office/drawing/2014/main" id="{3C5DAA6C-39D6-0339-8465-3AE9A6ED9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064EC" w:rsidRPr="00185F1A">
        <w:rPr>
          <w:rFonts w:ascii="Times New Roman" w:hAnsi="Times New Roman" w:cs="Times New Roman"/>
          <w:b/>
          <w:bCs/>
          <w:sz w:val="24"/>
          <w:szCs w:val="24"/>
        </w:rPr>
        <w:t>Figura 2</w:t>
      </w:r>
      <w:r>
        <w:rPr>
          <w:rFonts w:ascii="Times New Roman" w:hAnsi="Times New Roman" w:cs="Times New Roman"/>
          <w:b/>
          <w:bCs/>
          <w:sz w:val="24"/>
          <w:szCs w:val="24"/>
        </w:rPr>
        <w:t xml:space="preserve">. </w:t>
      </w:r>
      <w:r w:rsidR="00A064EC" w:rsidRPr="00952DF6">
        <w:rPr>
          <w:rFonts w:ascii="Times New Roman" w:hAnsi="Times New Roman" w:cs="Times New Roman"/>
          <w:b/>
          <w:bCs/>
          <w:sz w:val="24"/>
          <w:szCs w:val="24"/>
        </w:rPr>
        <w:t>Arribo de visitantes a los principales sitios turísticos en la Macrorregión Sur</w:t>
      </w:r>
    </w:p>
    <w:p w14:paraId="38A036D5" w14:textId="77777777" w:rsidR="007A7664" w:rsidRPr="00185F1A" w:rsidRDefault="007A7664" w:rsidP="00185F1A">
      <w:pPr>
        <w:jc w:val="both"/>
        <w:rPr>
          <w:rFonts w:ascii="Times New Roman" w:eastAsia="Times New Roman" w:hAnsi="Times New Roman" w:cs="Times New Roman"/>
          <w:color w:val="000000"/>
          <w:kern w:val="0"/>
          <w:sz w:val="24"/>
          <w:szCs w:val="24"/>
          <w:lang w:eastAsia="es-ES"/>
          <w14:ligatures w14:val="none"/>
        </w:rPr>
      </w:pPr>
      <w:r w:rsidRPr="00952DF6">
        <w:rPr>
          <w:rFonts w:ascii="Times New Roman" w:eastAsia="Times New Roman" w:hAnsi="Times New Roman" w:cs="Times New Roman"/>
          <w:b/>
          <w:bCs/>
          <w:color w:val="000000"/>
          <w:kern w:val="0"/>
          <w:sz w:val="24"/>
          <w:szCs w:val="24"/>
          <w:lang w:eastAsia="es-ES"/>
          <w14:ligatures w14:val="none"/>
        </w:rPr>
        <w:t>Fuente:</w:t>
      </w:r>
      <w:r w:rsidRPr="00185F1A">
        <w:rPr>
          <w:rFonts w:ascii="Times New Roman" w:eastAsia="Times New Roman" w:hAnsi="Times New Roman" w:cs="Times New Roman"/>
          <w:color w:val="000000"/>
          <w:kern w:val="0"/>
          <w:sz w:val="24"/>
          <w:szCs w:val="24"/>
          <w:lang w:eastAsia="es-ES"/>
          <w14:ligatures w14:val="none"/>
        </w:rPr>
        <w:t xml:space="preserve"> Compendio Turístico 2022. Llegada de Visitantes por sitio turístico. Elaboración Propia</w:t>
      </w:r>
    </w:p>
    <w:p w14:paraId="681CAF7C" w14:textId="77777777" w:rsidR="00952DF6" w:rsidRDefault="00952DF6" w:rsidP="00185F1A">
      <w:pPr>
        <w:spacing w:line="240" w:lineRule="auto"/>
        <w:jc w:val="both"/>
        <w:rPr>
          <w:rFonts w:ascii="Times New Roman" w:hAnsi="Times New Roman" w:cs="Times New Roman"/>
          <w:sz w:val="24"/>
          <w:szCs w:val="24"/>
        </w:rPr>
      </w:pPr>
    </w:p>
    <w:p w14:paraId="79E106C5" w14:textId="7C2D121C" w:rsidR="001A4DB9" w:rsidRPr="00185F1A" w:rsidRDefault="001A4DB9" w:rsidP="00952DF6">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El siguiente circuito turístico que despierta interés por su diversidad histórica y paisajística, se encuentra en la </w:t>
      </w:r>
      <w:r w:rsidR="007A7664" w:rsidRPr="00185F1A">
        <w:rPr>
          <w:rFonts w:ascii="Times New Roman" w:hAnsi="Times New Roman" w:cs="Times New Roman"/>
          <w:sz w:val="24"/>
          <w:szCs w:val="24"/>
        </w:rPr>
        <w:t>Macrorregión</w:t>
      </w:r>
      <w:r w:rsidRPr="00185F1A">
        <w:rPr>
          <w:rFonts w:ascii="Times New Roman" w:hAnsi="Times New Roman" w:cs="Times New Roman"/>
          <w:sz w:val="24"/>
          <w:szCs w:val="24"/>
        </w:rPr>
        <w:t xml:space="preserve"> Norte, donde se ubican las regiones de Tumbes, Piura, Lambayeque, La Libertad, Ancash, Cajamarca, Amazonas, San Martín e Iquitos. El circuito es variado, con vestigios de culturas </w:t>
      </w:r>
      <w:r w:rsidR="002743F1" w:rsidRPr="00185F1A">
        <w:rPr>
          <w:rFonts w:ascii="Times New Roman" w:hAnsi="Times New Roman" w:cs="Times New Roman"/>
          <w:sz w:val="24"/>
          <w:szCs w:val="24"/>
        </w:rPr>
        <w:t>preincas</w:t>
      </w:r>
      <w:r w:rsidRPr="00185F1A">
        <w:rPr>
          <w:rFonts w:ascii="Times New Roman" w:hAnsi="Times New Roman" w:cs="Times New Roman"/>
          <w:sz w:val="24"/>
          <w:szCs w:val="24"/>
        </w:rPr>
        <w:t>, incas</w:t>
      </w:r>
      <w:r w:rsidR="0082676E" w:rsidRPr="00185F1A">
        <w:rPr>
          <w:rFonts w:ascii="Times New Roman" w:hAnsi="Times New Roman" w:cs="Times New Roman"/>
          <w:sz w:val="24"/>
          <w:szCs w:val="24"/>
        </w:rPr>
        <w:t xml:space="preserve">, </w:t>
      </w:r>
      <w:r w:rsidRPr="00185F1A">
        <w:rPr>
          <w:rFonts w:ascii="Times New Roman" w:hAnsi="Times New Roman" w:cs="Times New Roman"/>
          <w:sz w:val="24"/>
          <w:szCs w:val="24"/>
        </w:rPr>
        <w:t>así como con naturaleza de montaña</w:t>
      </w:r>
      <w:r w:rsidR="0082676E" w:rsidRPr="00185F1A">
        <w:rPr>
          <w:rFonts w:ascii="Times New Roman" w:hAnsi="Times New Roman" w:cs="Times New Roman"/>
          <w:sz w:val="24"/>
          <w:szCs w:val="24"/>
        </w:rPr>
        <w:t xml:space="preserve"> y nevados</w:t>
      </w:r>
      <w:r w:rsidRPr="00185F1A">
        <w:rPr>
          <w:rFonts w:ascii="Times New Roman" w:hAnsi="Times New Roman" w:cs="Times New Roman"/>
          <w:sz w:val="24"/>
          <w:szCs w:val="24"/>
        </w:rPr>
        <w:t xml:space="preserve">, de selva amazónica y </w:t>
      </w:r>
      <w:r w:rsidR="0082676E" w:rsidRPr="00185F1A">
        <w:rPr>
          <w:rFonts w:ascii="Times New Roman" w:hAnsi="Times New Roman" w:cs="Times New Roman"/>
          <w:sz w:val="24"/>
          <w:szCs w:val="24"/>
        </w:rPr>
        <w:t xml:space="preserve">de </w:t>
      </w:r>
      <w:r w:rsidRPr="00185F1A">
        <w:rPr>
          <w:rFonts w:ascii="Times New Roman" w:hAnsi="Times New Roman" w:cs="Times New Roman"/>
          <w:sz w:val="24"/>
          <w:szCs w:val="24"/>
        </w:rPr>
        <w:t xml:space="preserve">playas. </w:t>
      </w:r>
      <w:r w:rsidR="00507D28" w:rsidRPr="00185F1A">
        <w:rPr>
          <w:rFonts w:ascii="Times New Roman" w:hAnsi="Times New Roman" w:cs="Times New Roman"/>
          <w:sz w:val="24"/>
          <w:szCs w:val="24"/>
        </w:rPr>
        <w:t>En los cuadros siguientes se puede apreciar el flujo de visitantes a la Macrorregión Norte.</w:t>
      </w:r>
    </w:p>
    <w:p w14:paraId="220DE11E" w14:textId="6DC94008" w:rsidR="00A064EC" w:rsidRPr="00185F1A" w:rsidRDefault="00A064EC" w:rsidP="00952DF6">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En la Figura 3 se presenta los arribos de visitantes nacionales y extranjeros a la Macrorregión Norte. En este cuadro se puede observar que el mayor número de visitantes son nacionales, siendo la región de La Libertad la que recibe el mayor número de arribos. Cabe resaltar </w:t>
      </w:r>
      <w:r w:rsidR="007119C4" w:rsidRPr="00185F1A">
        <w:rPr>
          <w:rFonts w:ascii="Times New Roman" w:hAnsi="Times New Roman" w:cs="Times New Roman"/>
          <w:sz w:val="24"/>
          <w:szCs w:val="24"/>
        </w:rPr>
        <w:t>que,</w:t>
      </w:r>
      <w:r w:rsidRPr="00185F1A">
        <w:rPr>
          <w:rFonts w:ascii="Times New Roman" w:hAnsi="Times New Roman" w:cs="Times New Roman"/>
          <w:sz w:val="24"/>
          <w:szCs w:val="24"/>
        </w:rPr>
        <w:t xml:space="preserve"> en la capital de la región, Trujillo, se realiza</w:t>
      </w:r>
      <w:r w:rsidR="00181558" w:rsidRPr="00185F1A">
        <w:rPr>
          <w:rFonts w:ascii="Times New Roman" w:hAnsi="Times New Roman" w:cs="Times New Roman"/>
          <w:sz w:val="24"/>
          <w:szCs w:val="24"/>
        </w:rPr>
        <w:t xml:space="preserve"> el festival de la marinera (baile típico) el cual congrega un importante número de visitantes.</w:t>
      </w:r>
    </w:p>
    <w:p w14:paraId="1FCB0EED" w14:textId="77777777" w:rsidR="00952DF6" w:rsidRDefault="00952DF6" w:rsidP="00185F1A">
      <w:pPr>
        <w:jc w:val="both"/>
        <w:rPr>
          <w:rFonts w:ascii="Times New Roman" w:hAnsi="Times New Roman" w:cs="Times New Roman"/>
          <w:b/>
          <w:bCs/>
          <w:sz w:val="24"/>
          <w:szCs w:val="24"/>
        </w:rPr>
      </w:pPr>
    </w:p>
    <w:p w14:paraId="7AD055CE" w14:textId="77777777" w:rsidR="00952DF6" w:rsidRDefault="00952DF6" w:rsidP="00185F1A">
      <w:pPr>
        <w:jc w:val="both"/>
        <w:rPr>
          <w:rFonts w:ascii="Times New Roman" w:hAnsi="Times New Roman" w:cs="Times New Roman"/>
          <w:b/>
          <w:bCs/>
          <w:sz w:val="24"/>
          <w:szCs w:val="24"/>
        </w:rPr>
      </w:pPr>
    </w:p>
    <w:p w14:paraId="246475CE" w14:textId="4A94CF52" w:rsidR="00355408" w:rsidRPr="00952DF6" w:rsidRDefault="00355408" w:rsidP="00185F1A">
      <w:pPr>
        <w:jc w:val="both"/>
        <w:rPr>
          <w:rFonts w:ascii="Times New Roman" w:hAnsi="Times New Roman" w:cs="Times New Roman"/>
          <w:b/>
          <w:bCs/>
          <w:sz w:val="24"/>
          <w:szCs w:val="24"/>
        </w:rPr>
      </w:pPr>
      <w:r w:rsidRPr="00185F1A">
        <w:rPr>
          <w:rFonts w:ascii="Times New Roman" w:hAnsi="Times New Roman" w:cs="Times New Roman"/>
          <w:b/>
          <w:bCs/>
          <w:sz w:val="24"/>
          <w:szCs w:val="24"/>
        </w:rPr>
        <w:t>Figura 3</w:t>
      </w:r>
      <w:r w:rsidR="00952DF6">
        <w:rPr>
          <w:rFonts w:ascii="Times New Roman" w:hAnsi="Times New Roman" w:cs="Times New Roman"/>
          <w:b/>
          <w:bCs/>
          <w:sz w:val="24"/>
          <w:szCs w:val="24"/>
        </w:rPr>
        <w:t xml:space="preserve">. </w:t>
      </w:r>
      <w:r w:rsidRPr="00952DF6">
        <w:rPr>
          <w:rFonts w:ascii="Times New Roman" w:hAnsi="Times New Roman" w:cs="Times New Roman"/>
          <w:b/>
          <w:bCs/>
          <w:sz w:val="24"/>
          <w:szCs w:val="24"/>
        </w:rPr>
        <w:t>Arribo de visitantes a la Macrorregión Norte</w:t>
      </w:r>
    </w:p>
    <w:p w14:paraId="156EDD2A" w14:textId="1EBA12FF" w:rsidR="001A4DB9" w:rsidRPr="00185F1A" w:rsidRDefault="00882298" w:rsidP="00185F1A">
      <w:pPr>
        <w:jc w:val="both"/>
        <w:rPr>
          <w:rFonts w:ascii="Times New Roman" w:hAnsi="Times New Roman" w:cs="Times New Roman"/>
          <w:sz w:val="24"/>
          <w:szCs w:val="24"/>
        </w:rPr>
      </w:pPr>
      <w:r w:rsidRPr="00185F1A">
        <w:rPr>
          <w:rFonts w:ascii="Times New Roman" w:hAnsi="Times New Roman" w:cs="Times New Roman"/>
          <w:noProof/>
          <w:sz w:val="24"/>
          <w:szCs w:val="24"/>
        </w:rPr>
        <w:drawing>
          <wp:inline distT="0" distB="0" distL="0" distR="0" wp14:anchorId="63779514" wp14:editId="6CBD685F">
            <wp:extent cx="5499100" cy="2825750"/>
            <wp:effectExtent l="0" t="0" r="6350" b="12700"/>
            <wp:docPr id="350497592" name="Gráfico 1">
              <a:extLst xmlns:a="http://schemas.openxmlformats.org/drawingml/2006/main">
                <a:ext uri="{FF2B5EF4-FFF2-40B4-BE49-F238E27FC236}">
                  <a16:creationId xmlns:a16="http://schemas.microsoft.com/office/drawing/2014/main" id="{48720834-503C-87A6-32CD-F42DAFFA1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7689CF" w14:textId="5779DC89" w:rsidR="001A4DB9" w:rsidRPr="00185F1A" w:rsidRDefault="001A4DB9" w:rsidP="00185F1A">
      <w:pPr>
        <w:jc w:val="both"/>
        <w:rPr>
          <w:rFonts w:ascii="Times New Roman" w:hAnsi="Times New Roman" w:cs="Times New Roman"/>
          <w:color w:val="000000" w:themeColor="text1"/>
          <w:kern w:val="0"/>
          <w:sz w:val="24"/>
          <w:szCs w:val="24"/>
          <w14:ligatures w14:val="none"/>
        </w:rPr>
      </w:pPr>
      <w:r w:rsidRPr="00952DF6">
        <w:rPr>
          <w:rFonts w:ascii="Times New Roman" w:hAnsi="Times New Roman" w:cs="Times New Roman"/>
          <w:b/>
          <w:bCs/>
          <w:color w:val="000000" w:themeColor="text1"/>
          <w:sz w:val="24"/>
          <w:szCs w:val="24"/>
        </w:rPr>
        <w:t>Fuente:</w:t>
      </w:r>
      <w:r w:rsidRPr="00185F1A">
        <w:rPr>
          <w:rFonts w:ascii="Times New Roman" w:hAnsi="Times New Roman" w:cs="Times New Roman"/>
          <w:color w:val="000000" w:themeColor="text1"/>
          <w:sz w:val="24"/>
          <w:szCs w:val="24"/>
        </w:rPr>
        <w:t xml:space="preserve"> Compendio Turístico 2022. Ficha Arribo de visitantes nacionales y extranjeros a los establecimientos de hospedaje.</w:t>
      </w:r>
    </w:p>
    <w:p w14:paraId="17D31251" w14:textId="3959EFBC" w:rsidR="00181558" w:rsidRPr="00185F1A" w:rsidRDefault="00181558" w:rsidP="00952DF6">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En la Figura 4, se presenta el arribo de visitantes a los principales sitios turísticos de la Macrorregión Norte, siendo en este caso, el Parque Nacional Huascarán el que recibe el mayor número de visitantes con m</w:t>
      </w:r>
      <w:r w:rsidR="007119C4" w:rsidRPr="00185F1A">
        <w:rPr>
          <w:rFonts w:ascii="Times New Roman" w:hAnsi="Times New Roman" w:cs="Times New Roman"/>
          <w:sz w:val="24"/>
          <w:szCs w:val="24"/>
        </w:rPr>
        <w:t>á</w:t>
      </w:r>
      <w:r w:rsidRPr="00185F1A">
        <w:rPr>
          <w:rFonts w:ascii="Times New Roman" w:hAnsi="Times New Roman" w:cs="Times New Roman"/>
          <w:sz w:val="24"/>
          <w:szCs w:val="24"/>
        </w:rPr>
        <w:t>s de cuatrocientos mil visitantes, debido a sus montañas nevadas que forman la Cordillera Blanca que</w:t>
      </w:r>
      <w:r w:rsidR="001D58A2" w:rsidRPr="00185F1A">
        <w:rPr>
          <w:rFonts w:ascii="Times New Roman" w:hAnsi="Times New Roman" w:cs="Times New Roman"/>
          <w:sz w:val="24"/>
          <w:szCs w:val="24"/>
        </w:rPr>
        <w:t>, a su vez,</w:t>
      </w:r>
      <w:r w:rsidRPr="00185F1A">
        <w:rPr>
          <w:rFonts w:ascii="Times New Roman" w:hAnsi="Times New Roman" w:cs="Times New Roman"/>
          <w:sz w:val="24"/>
          <w:szCs w:val="24"/>
        </w:rPr>
        <w:t xml:space="preserve"> forma parte de la Cordillera de los Andes. </w:t>
      </w:r>
    </w:p>
    <w:p w14:paraId="1241FC4B" w14:textId="77777777" w:rsidR="00952DF6" w:rsidRDefault="00952DF6" w:rsidP="00185F1A">
      <w:pPr>
        <w:jc w:val="both"/>
        <w:rPr>
          <w:rFonts w:ascii="Times New Roman" w:hAnsi="Times New Roman" w:cs="Times New Roman"/>
          <w:b/>
          <w:bCs/>
          <w:sz w:val="24"/>
          <w:szCs w:val="24"/>
        </w:rPr>
      </w:pPr>
    </w:p>
    <w:p w14:paraId="6E5DF2B6" w14:textId="5A3945C6" w:rsidR="00355408" w:rsidRDefault="00355408" w:rsidP="00185F1A">
      <w:pPr>
        <w:jc w:val="both"/>
        <w:rPr>
          <w:rFonts w:ascii="Times New Roman" w:hAnsi="Times New Roman" w:cs="Times New Roman"/>
          <w:b/>
          <w:bCs/>
          <w:sz w:val="24"/>
          <w:szCs w:val="24"/>
        </w:rPr>
      </w:pPr>
      <w:r w:rsidRPr="00185F1A">
        <w:rPr>
          <w:rFonts w:ascii="Times New Roman" w:hAnsi="Times New Roman" w:cs="Times New Roman"/>
          <w:b/>
          <w:bCs/>
          <w:sz w:val="24"/>
          <w:szCs w:val="24"/>
        </w:rPr>
        <w:t>Figura 4</w:t>
      </w:r>
      <w:r w:rsidR="00952DF6">
        <w:rPr>
          <w:rFonts w:ascii="Times New Roman" w:hAnsi="Times New Roman" w:cs="Times New Roman"/>
          <w:b/>
          <w:bCs/>
          <w:sz w:val="24"/>
          <w:szCs w:val="24"/>
        </w:rPr>
        <w:t xml:space="preserve">. </w:t>
      </w:r>
      <w:r w:rsidRPr="00952DF6">
        <w:rPr>
          <w:rFonts w:ascii="Times New Roman" w:hAnsi="Times New Roman" w:cs="Times New Roman"/>
          <w:b/>
          <w:bCs/>
          <w:sz w:val="24"/>
          <w:szCs w:val="24"/>
        </w:rPr>
        <w:t>Arribo de visitantes a los principales sitios turísticos de la Macrorregión Norte</w:t>
      </w:r>
    </w:p>
    <w:p w14:paraId="33C71DE3" w14:textId="00026B72" w:rsidR="001A4DB9" w:rsidRPr="00185F1A" w:rsidRDefault="00882298" w:rsidP="00185F1A">
      <w:pPr>
        <w:jc w:val="both"/>
        <w:rPr>
          <w:rFonts w:ascii="Times New Roman" w:hAnsi="Times New Roman" w:cs="Times New Roman"/>
          <w:sz w:val="24"/>
          <w:szCs w:val="24"/>
        </w:rPr>
      </w:pPr>
      <w:r w:rsidRPr="00185F1A">
        <w:rPr>
          <w:rFonts w:ascii="Times New Roman" w:hAnsi="Times New Roman" w:cs="Times New Roman"/>
          <w:noProof/>
          <w:sz w:val="24"/>
          <w:szCs w:val="24"/>
        </w:rPr>
        <w:drawing>
          <wp:inline distT="0" distB="0" distL="0" distR="0" wp14:anchorId="77E0A6B0" wp14:editId="1600703D">
            <wp:extent cx="5689600" cy="2679700"/>
            <wp:effectExtent l="0" t="0" r="6350" b="6350"/>
            <wp:docPr id="1193147391" name="Gráfico 1">
              <a:extLst xmlns:a="http://schemas.openxmlformats.org/drawingml/2006/main">
                <a:ext uri="{FF2B5EF4-FFF2-40B4-BE49-F238E27FC236}">
                  <a16:creationId xmlns:a16="http://schemas.microsoft.com/office/drawing/2014/main" id="{6E75F6BC-33EA-4BF3-5053-48131E0AC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6AAE80" w14:textId="77777777" w:rsidR="00882298" w:rsidRPr="00185F1A" w:rsidRDefault="00882298" w:rsidP="00185F1A">
      <w:pPr>
        <w:spacing w:after="0" w:line="240" w:lineRule="auto"/>
        <w:jc w:val="both"/>
        <w:rPr>
          <w:rFonts w:ascii="Times New Roman" w:eastAsia="Times New Roman" w:hAnsi="Times New Roman" w:cs="Times New Roman"/>
          <w:color w:val="000000"/>
          <w:kern w:val="0"/>
          <w:sz w:val="24"/>
          <w:szCs w:val="24"/>
          <w:lang w:eastAsia="es-ES"/>
          <w14:ligatures w14:val="none"/>
        </w:rPr>
      </w:pPr>
      <w:r w:rsidRPr="00952DF6">
        <w:rPr>
          <w:rFonts w:ascii="Times New Roman" w:eastAsia="Times New Roman" w:hAnsi="Times New Roman" w:cs="Times New Roman"/>
          <w:b/>
          <w:bCs/>
          <w:color w:val="000000"/>
          <w:kern w:val="0"/>
          <w:sz w:val="24"/>
          <w:szCs w:val="24"/>
          <w:lang w:eastAsia="es-ES"/>
          <w14:ligatures w14:val="none"/>
        </w:rPr>
        <w:lastRenderedPageBreak/>
        <w:t>Fuente:</w:t>
      </w:r>
      <w:r w:rsidRPr="00185F1A">
        <w:rPr>
          <w:rFonts w:ascii="Times New Roman" w:eastAsia="Times New Roman" w:hAnsi="Times New Roman" w:cs="Times New Roman"/>
          <w:color w:val="000000"/>
          <w:kern w:val="0"/>
          <w:sz w:val="24"/>
          <w:szCs w:val="24"/>
          <w:lang w:eastAsia="es-ES"/>
          <w14:ligatures w14:val="none"/>
        </w:rPr>
        <w:t xml:space="preserve"> Compendio Turístico 2022. Llegada de Visitantes por sitio turístico. Elaboración Propia</w:t>
      </w:r>
    </w:p>
    <w:p w14:paraId="0BB10D0B" w14:textId="77777777" w:rsidR="00DD0B74" w:rsidRPr="00185F1A" w:rsidRDefault="00DD0B74" w:rsidP="00185F1A">
      <w:pPr>
        <w:jc w:val="both"/>
        <w:rPr>
          <w:rFonts w:ascii="Times New Roman" w:hAnsi="Times New Roman" w:cs="Times New Roman"/>
          <w:sz w:val="24"/>
          <w:szCs w:val="24"/>
        </w:rPr>
      </w:pPr>
    </w:p>
    <w:p w14:paraId="75FE7738" w14:textId="0FA33F17" w:rsidR="0020795F" w:rsidRPr="00185F1A" w:rsidRDefault="00181558" w:rsidP="00185F1A">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Comparando ambos destinos (MR Norte y MR Sur</w:t>
      </w:r>
      <w:r w:rsidR="00F56B30" w:rsidRPr="00185F1A">
        <w:rPr>
          <w:rFonts w:ascii="Times New Roman" w:hAnsi="Times New Roman" w:cs="Times New Roman"/>
          <w:sz w:val="24"/>
          <w:szCs w:val="24"/>
        </w:rPr>
        <w:t>), el</w:t>
      </w:r>
      <w:r w:rsidR="0020795F" w:rsidRPr="00185F1A">
        <w:rPr>
          <w:rFonts w:ascii="Times New Roman" w:hAnsi="Times New Roman" w:cs="Times New Roman"/>
          <w:sz w:val="24"/>
          <w:szCs w:val="24"/>
        </w:rPr>
        <w:t xml:space="preserve"> circuito norte representa (aproximadamente) apenas el 13% de los </w:t>
      </w:r>
      <w:r w:rsidRPr="00185F1A">
        <w:rPr>
          <w:rFonts w:ascii="Times New Roman" w:hAnsi="Times New Roman" w:cs="Times New Roman"/>
          <w:sz w:val="24"/>
          <w:szCs w:val="24"/>
        </w:rPr>
        <w:t>turistas</w:t>
      </w:r>
      <w:r w:rsidR="0020795F" w:rsidRPr="00185F1A">
        <w:rPr>
          <w:rFonts w:ascii="Times New Roman" w:hAnsi="Times New Roman" w:cs="Times New Roman"/>
          <w:sz w:val="24"/>
          <w:szCs w:val="24"/>
        </w:rPr>
        <w:t xml:space="preserve"> que recibe el circuito sur</w:t>
      </w:r>
      <w:r w:rsidR="002743F1" w:rsidRPr="00185F1A">
        <w:rPr>
          <w:rFonts w:ascii="Times New Roman" w:hAnsi="Times New Roman" w:cs="Times New Roman"/>
          <w:sz w:val="24"/>
          <w:szCs w:val="24"/>
        </w:rPr>
        <w:t xml:space="preserve">, siendo que </w:t>
      </w:r>
      <w:r w:rsidR="00307AB7" w:rsidRPr="00185F1A">
        <w:rPr>
          <w:rFonts w:ascii="Times New Roman" w:hAnsi="Times New Roman" w:cs="Times New Roman"/>
          <w:sz w:val="24"/>
          <w:szCs w:val="24"/>
        </w:rPr>
        <w:t xml:space="preserve">la afluencia a los destinos en el circuito norte </w:t>
      </w:r>
      <w:r w:rsidR="00507D28" w:rsidRPr="00185F1A">
        <w:rPr>
          <w:rFonts w:ascii="Times New Roman" w:hAnsi="Times New Roman" w:cs="Times New Roman"/>
          <w:sz w:val="24"/>
          <w:szCs w:val="24"/>
        </w:rPr>
        <w:t>proviene principalmente</w:t>
      </w:r>
      <w:r w:rsidR="002743F1" w:rsidRPr="00185F1A">
        <w:rPr>
          <w:rFonts w:ascii="Times New Roman" w:hAnsi="Times New Roman" w:cs="Times New Roman"/>
          <w:sz w:val="24"/>
          <w:szCs w:val="24"/>
        </w:rPr>
        <w:t xml:space="preserve"> del turismo nacional.</w:t>
      </w:r>
      <w:r w:rsidR="00235F30" w:rsidRPr="00185F1A">
        <w:rPr>
          <w:rFonts w:ascii="Times New Roman" w:hAnsi="Times New Roman" w:cs="Times New Roman"/>
          <w:sz w:val="24"/>
          <w:szCs w:val="24"/>
        </w:rPr>
        <w:t xml:space="preserve"> Pese a diversos esfuerzos en promoción turística, los resultados no han sido sustanciales</w:t>
      </w:r>
      <w:r w:rsidR="007A7664" w:rsidRPr="00185F1A">
        <w:rPr>
          <w:rFonts w:ascii="Times New Roman" w:hAnsi="Times New Roman" w:cs="Times New Roman"/>
          <w:sz w:val="24"/>
          <w:szCs w:val="24"/>
        </w:rPr>
        <w:t xml:space="preserve"> debido entre otros, a la difícil competencia con un atractivo como </w:t>
      </w:r>
      <w:r w:rsidR="00CA7CA9" w:rsidRPr="00185F1A">
        <w:rPr>
          <w:rFonts w:ascii="Times New Roman" w:hAnsi="Times New Roman" w:cs="Times New Roman"/>
          <w:sz w:val="24"/>
          <w:szCs w:val="24"/>
        </w:rPr>
        <w:t>Machupichu,</w:t>
      </w:r>
      <w:r w:rsidR="00507D28" w:rsidRPr="00185F1A">
        <w:rPr>
          <w:rFonts w:ascii="Times New Roman" w:hAnsi="Times New Roman" w:cs="Times New Roman"/>
          <w:sz w:val="24"/>
          <w:szCs w:val="24"/>
        </w:rPr>
        <w:t xml:space="preserve"> pero también a una falta de diversificación e innovación para gener</w:t>
      </w:r>
      <w:r w:rsidR="00E74CBA" w:rsidRPr="00185F1A">
        <w:rPr>
          <w:rFonts w:ascii="Times New Roman" w:hAnsi="Times New Roman" w:cs="Times New Roman"/>
          <w:sz w:val="24"/>
          <w:szCs w:val="24"/>
        </w:rPr>
        <w:t>ar una propuesta alternativa que complemente con la riqueza arqueológica</w:t>
      </w:r>
      <w:r w:rsidRPr="00185F1A">
        <w:rPr>
          <w:rFonts w:ascii="Times New Roman" w:hAnsi="Times New Roman" w:cs="Times New Roman"/>
          <w:sz w:val="24"/>
          <w:szCs w:val="24"/>
        </w:rPr>
        <w:t xml:space="preserve"> y natural</w:t>
      </w:r>
      <w:r w:rsidR="00E74CBA" w:rsidRPr="00185F1A">
        <w:rPr>
          <w:rFonts w:ascii="Times New Roman" w:hAnsi="Times New Roman" w:cs="Times New Roman"/>
          <w:sz w:val="24"/>
          <w:szCs w:val="24"/>
        </w:rPr>
        <w:t xml:space="preserve"> con la que cuenta en la zona.</w:t>
      </w:r>
    </w:p>
    <w:p w14:paraId="49E2D9A6" w14:textId="7221624F" w:rsidR="00E74CBA" w:rsidRPr="00185F1A" w:rsidRDefault="00181558" w:rsidP="00952DF6">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Cabe resaltar que, e</w:t>
      </w:r>
      <w:r w:rsidR="00E74CBA" w:rsidRPr="00185F1A">
        <w:rPr>
          <w:rFonts w:ascii="Times New Roman" w:hAnsi="Times New Roman" w:cs="Times New Roman"/>
          <w:sz w:val="24"/>
          <w:szCs w:val="24"/>
        </w:rPr>
        <w:t xml:space="preserve">n términos generales, la actividad turística en el Perú, hasta el 2019, ocupo el tercer puesto como actividad generadora de divisas, ocupando la minería el primer lugar y la agroindustria el segundo lugar. En el 2019, el país recibió 5,3 millones de visitantes, entre turistas y excursionistas extranjeros, como se puede apreciar en el </w:t>
      </w:r>
      <w:r w:rsidR="004E3C40" w:rsidRPr="00185F1A">
        <w:rPr>
          <w:rFonts w:ascii="Times New Roman" w:hAnsi="Times New Roman" w:cs="Times New Roman"/>
          <w:sz w:val="24"/>
          <w:szCs w:val="24"/>
        </w:rPr>
        <w:t>en la Figura 5.</w:t>
      </w:r>
    </w:p>
    <w:p w14:paraId="5171F7A8" w14:textId="77777777" w:rsidR="007119C4" w:rsidRPr="00185F1A" w:rsidRDefault="007119C4" w:rsidP="00185F1A">
      <w:pPr>
        <w:jc w:val="both"/>
        <w:rPr>
          <w:rFonts w:ascii="Times New Roman" w:hAnsi="Times New Roman" w:cs="Times New Roman"/>
          <w:b/>
          <w:bCs/>
          <w:sz w:val="24"/>
          <w:szCs w:val="24"/>
        </w:rPr>
      </w:pPr>
    </w:p>
    <w:p w14:paraId="7C98FCEB" w14:textId="069EEEBC" w:rsidR="00355408" w:rsidRPr="00952DF6" w:rsidRDefault="00355408" w:rsidP="00185F1A">
      <w:pPr>
        <w:jc w:val="both"/>
        <w:rPr>
          <w:rFonts w:ascii="Times New Roman" w:hAnsi="Times New Roman" w:cs="Times New Roman"/>
          <w:b/>
          <w:bCs/>
          <w:sz w:val="24"/>
          <w:szCs w:val="24"/>
        </w:rPr>
      </w:pPr>
      <w:r w:rsidRPr="00185F1A">
        <w:rPr>
          <w:rFonts w:ascii="Times New Roman" w:hAnsi="Times New Roman" w:cs="Times New Roman"/>
          <w:b/>
          <w:bCs/>
          <w:sz w:val="24"/>
          <w:szCs w:val="24"/>
        </w:rPr>
        <w:t>Figura 5</w:t>
      </w:r>
      <w:r w:rsidR="00952DF6">
        <w:rPr>
          <w:rFonts w:ascii="Times New Roman" w:hAnsi="Times New Roman" w:cs="Times New Roman"/>
          <w:b/>
          <w:bCs/>
          <w:sz w:val="24"/>
          <w:szCs w:val="24"/>
        </w:rPr>
        <w:t xml:space="preserve">. </w:t>
      </w:r>
      <w:r w:rsidRPr="00952DF6">
        <w:rPr>
          <w:rFonts w:ascii="Times New Roman" w:hAnsi="Times New Roman" w:cs="Times New Roman"/>
          <w:b/>
          <w:bCs/>
          <w:sz w:val="24"/>
          <w:szCs w:val="24"/>
        </w:rPr>
        <w:t>Arribo de visitantes extranjeros a Perú entre el 2015 y el 2019</w:t>
      </w:r>
      <w:r w:rsidR="00952DF6">
        <w:rPr>
          <w:rFonts w:ascii="Times New Roman" w:hAnsi="Times New Roman" w:cs="Times New Roman"/>
          <w:b/>
          <w:bCs/>
          <w:sz w:val="24"/>
          <w:szCs w:val="24"/>
        </w:rPr>
        <w:t>.</w:t>
      </w:r>
    </w:p>
    <w:p w14:paraId="536407B7" w14:textId="77777777" w:rsidR="00355408" w:rsidRPr="00185F1A" w:rsidRDefault="00355408" w:rsidP="00185F1A">
      <w:pPr>
        <w:jc w:val="both"/>
        <w:rPr>
          <w:rFonts w:ascii="Times New Roman" w:hAnsi="Times New Roman" w:cs="Times New Roman"/>
          <w:sz w:val="24"/>
          <w:szCs w:val="24"/>
        </w:rPr>
      </w:pPr>
    </w:p>
    <w:p w14:paraId="740243A3" w14:textId="77777777" w:rsidR="00E74CBA" w:rsidRPr="00185F1A" w:rsidRDefault="00E74CBA" w:rsidP="00185F1A">
      <w:pPr>
        <w:jc w:val="both"/>
        <w:rPr>
          <w:rFonts w:ascii="Times New Roman" w:hAnsi="Times New Roman" w:cs="Times New Roman"/>
          <w:sz w:val="24"/>
          <w:szCs w:val="24"/>
        </w:rPr>
      </w:pPr>
      <w:r w:rsidRPr="00185F1A">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0AD5032C" wp14:editId="28E75BF1">
                <wp:simplePos x="0" y="0"/>
                <wp:positionH relativeFrom="column">
                  <wp:posOffset>526415</wp:posOffset>
                </wp:positionH>
                <wp:positionV relativeFrom="paragraph">
                  <wp:posOffset>364490</wp:posOffset>
                </wp:positionV>
                <wp:extent cx="3805046" cy="489712"/>
                <wp:effectExtent l="0" t="0" r="0" b="0"/>
                <wp:wrapNone/>
                <wp:docPr id="1030245925" name="Grupo 3"/>
                <wp:cNvGraphicFramePr/>
                <a:graphic xmlns:a="http://schemas.openxmlformats.org/drawingml/2006/main">
                  <a:graphicData uri="http://schemas.microsoft.com/office/word/2010/wordprocessingGroup">
                    <wpg:wgp>
                      <wpg:cNvGrpSpPr/>
                      <wpg:grpSpPr>
                        <a:xfrm>
                          <a:off x="0" y="0"/>
                          <a:ext cx="3805046" cy="489712"/>
                          <a:chOff x="0" y="0"/>
                          <a:chExt cx="3805046" cy="489712"/>
                        </a:xfrm>
                      </wpg:grpSpPr>
                      <wps:wsp>
                        <wps:cNvPr id="4" name="CuadroTexto 3">
                          <a:extLst>
                            <a:ext uri="{FF2B5EF4-FFF2-40B4-BE49-F238E27FC236}">
                              <a16:creationId xmlns:a16="http://schemas.microsoft.com/office/drawing/2014/main" id="{6BCEA3DD-D003-B51B-F780-1EF6B9544CB6}"/>
                            </a:ext>
                          </a:extLst>
                        </wps:cNvPr>
                        <wps:cNvSpPr txBox="1"/>
                        <wps:spPr>
                          <a:xfrm>
                            <a:off x="0" y="209550"/>
                            <a:ext cx="471296" cy="280162"/>
                          </a:xfrm>
                          <a:prstGeom prst="rect">
                            <a:avLst/>
                          </a:prstGeom>
                          <a:noFill/>
                          <a:ln>
                            <a:noFill/>
                          </a:ln>
                          <a:effectLst/>
                        </wps:spPr>
                        <wps:txbx>
                          <w:txbxContent>
                            <w:p w14:paraId="6738DAAB" w14:textId="77777777" w:rsidR="00E74CBA" w:rsidRDefault="00E74CBA" w:rsidP="00E74CBA">
                              <w:pPr>
                                <w:rPr>
                                  <w:rFonts w:hAnsi="Aptos"/>
                                  <w:color w:val="000000" w:themeColor="text1"/>
                                  <w:kern w:val="0"/>
                                  <w14:ligatures w14:val="none"/>
                                </w:rPr>
                              </w:pPr>
                              <w:r>
                                <w:rPr>
                                  <w:rFonts w:hAnsi="Aptos"/>
                                  <w:color w:val="000000" w:themeColor="text1"/>
                                </w:rPr>
                                <w:t>4,4</w:t>
                              </w:r>
                            </w:p>
                          </w:txbxContent>
                        </wps:txbx>
                        <wps:bodyPr vertOverflow="clip" horzOverflow="clip" wrap="square" rtlCol="0" anchor="t">
                          <a:noAutofit/>
                        </wps:bodyPr>
                      </wps:wsp>
                      <wps:wsp>
                        <wps:cNvPr id="6" name="CuadroTexto 5">
                          <a:extLst>
                            <a:ext uri="{FF2B5EF4-FFF2-40B4-BE49-F238E27FC236}">
                              <a16:creationId xmlns:a16="http://schemas.microsoft.com/office/drawing/2014/main" id="{5747D5F8-5E99-472A-BEC0-221F4D647FD3}"/>
                            </a:ext>
                          </a:extLst>
                        </wps:cNvPr>
                        <wps:cNvSpPr txBox="1"/>
                        <wps:spPr>
                          <a:xfrm>
                            <a:off x="812800" y="165100"/>
                            <a:ext cx="471296" cy="280162"/>
                          </a:xfrm>
                          <a:prstGeom prst="rect">
                            <a:avLst/>
                          </a:prstGeom>
                          <a:noFill/>
                          <a:ln>
                            <a:noFill/>
                          </a:ln>
                          <a:effectLst/>
                        </wps:spPr>
                        <wps:txbx>
                          <w:txbxContent>
                            <w:p w14:paraId="0B29B3E8" w14:textId="77777777" w:rsidR="00E74CBA" w:rsidRDefault="00E74CBA" w:rsidP="00E74CBA">
                              <w:pPr>
                                <w:rPr>
                                  <w:rFonts w:hAnsi="Aptos"/>
                                  <w:color w:val="000000" w:themeColor="text1"/>
                                  <w:kern w:val="0"/>
                                  <w14:ligatures w14:val="none"/>
                                </w:rPr>
                              </w:pPr>
                              <w:r>
                                <w:rPr>
                                  <w:rFonts w:hAnsi="Aptos"/>
                                  <w:color w:val="000000" w:themeColor="text1"/>
                                </w:rPr>
                                <w:t>4,7</w:t>
                              </w:r>
                            </w:p>
                          </w:txbxContent>
                        </wps:txbx>
                        <wps:bodyPr vertOverflow="clip" horzOverflow="clip" wrap="square" rtlCol="0" anchor="t">
                          <a:noAutofit/>
                        </wps:bodyPr>
                      </wps:wsp>
                      <wps:wsp>
                        <wps:cNvPr id="7" name="CuadroTexto 6">
                          <a:extLst>
                            <a:ext uri="{FF2B5EF4-FFF2-40B4-BE49-F238E27FC236}">
                              <a16:creationId xmlns:a16="http://schemas.microsoft.com/office/drawing/2014/main" id="{1E53A9D0-2480-4DEC-8D04-D7CFF67ED9CF}"/>
                            </a:ext>
                          </a:extLst>
                        </wps:cNvPr>
                        <wps:cNvSpPr txBox="1"/>
                        <wps:spPr>
                          <a:xfrm>
                            <a:off x="1663700" y="69850"/>
                            <a:ext cx="471296" cy="280162"/>
                          </a:xfrm>
                          <a:prstGeom prst="rect">
                            <a:avLst/>
                          </a:prstGeom>
                          <a:noFill/>
                          <a:ln>
                            <a:noFill/>
                          </a:ln>
                          <a:effectLst/>
                        </wps:spPr>
                        <wps:txbx>
                          <w:txbxContent>
                            <w:p w14:paraId="59E78054" w14:textId="77777777" w:rsidR="00E74CBA" w:rsidRDefault="00E74CBA" w:rsidP="00E74CBA">
                              <w:pPr>
                                <w:rPr>
                                  <w:rFonts w:hAnsi="Aptos"/>
                                  <w:color w:val="000000" w:themeColor="text1"/>
                                  <w:kern w:val="0"/>
                                  <w14:ligatures w14:val="none"/>
                                </w:rPr>
                              </w:pPr>
                              <w:r>
                                <w:rPr>
                                  <w:rFonts w:hAnsi="Aptos"/>
                                  <w:color w:val="000000" w:themeColor="text1"/>
                                </w:rPr>
                                <w:t>5,0</w:t>
                              </w:r>
                            </w:p>
                          </w:txbxContent>
                        </wps:txbx>
                        <wps:bodyPr vertOverflow="clip" horzOverflow="clip" wrap="square" rtlCol="0" anchor="t">
                          <a:noAutofit/>
                        </wps:bodyPr>
                      </wps:wsp>
                      <wps:wsp>
                        <wps:cNvPr id="11" name="CuadroTexto 10">
                          <a:extLst>
                            <a:ext uri="{FF2B5EF4-FFF2-40B4-BE49-F238E27FC236}">
                              <a16:creationId xmlns:a16="http://schemas.microsoft.com/office/drawing/2014/main" id="{ED3CA129-2A80-4AF1-9574-BEECE8CFB90B}"/>
                            </a:ext>
                          </a:extLst>
                        </wps:cNvPr>
                        <wps:cNvSpPr txBox="1"/>
                        <wps:spPr>
                          <a:xfrm>
                            <a:off x="2476500" y="0"/>
                            <a:ext cx="471296" cy="280162"/>
                          </a:xfrm>
                          <a:prstGeom prst="rect">
                            <a:avLst/>
                          </a:prstGeom>
                          <a:noFill/>
                          <a:ln>
                            <a:noFill/>
                          </a:ln>
                          <a:effectLst/>
                        </wps:spPr>
                        <wps:txbx>
                          <w:txbxContent>
                            <w:p w14:paraId="2133076F" w14:textId="77777777" w:rsidR="00E74CBA" w:rsidRDefault="00E74CBA" w:rsidP="00E74CBA">
                              <w:pPr>
                                <w:rPr>
                                  <w:rFonts w:hAnsi="Aptos"/>
                                  <w:color w:val="000000" w:themeColor="text1"/>
                                  <w:kern w:val="0"/>
                                  <w14:ligatures w14:val="none"/>
                                </w:rPr>
                              </w:pPr>
                              <w:r>
                                <w:rPr>
                                  <w:rFonts w:hAnsi="Aptos"/>
                                  <w:color w:val="000000" w:themeColor="text1"/>
                                </w:rPr>
                                <w:t>5,4</w:t>
                              </w:r>
                            </w:p>
                          </w:txbxContent>
                        </wps:txbx>
                        <wps:bodyPr vertOverflow="clip" horzOverflow="clip" wrap="square" rtlCol="0" anchor="t">
                          <a:noAutofit/>
                        </wps:bodyPr>
                      </wps:wsp>
                      <wps:wsp>
                        <wps:cNvPr id="12" name="CuadroTexto 11">
                          <a:extLst>
                            <a:ext uri="{FF2B5EF4-FFF2-40B4-BE49-F238E27FC236}">
                              <a16:creationId xmlns:a16="http://schemas.microsoft.com/office/drawing/2014/main" id="{565C5200-FF7D-45DF-A999-8A7B9CC19C38}"/>
                            </a:ext>
                          </a:extLst>
                        </wps:cNvPr>
                        <wps:cNvSpPr txBox="1"/>
                        <wps:spPr>
                          <a:xfrm>
                            <a:off x="3333750" y="25400"/>
                            <a:ext cx="471296" cy="280162"/>
                          </a:xfrm>
                          <a:prstGeom prst="rect">
                            <a:avLst/>
                          </a:prstGeom>
                          <a:noFill/>
                          <a:ln>
                            <a:noFill/>
                          </a:ln>
                          <a:effectLst/>
                        </wps:spPr>
                        <wps:txbx>
                          <w:txbxContent>
                            <w:p w14:paraId="3DB0FCE6" w14:textId="77777777" w:rsidR="00E74CBA" w:rsidRDefault="00E74CBA" w:rsidP="00E74CBA">
                              <w:pPr>
                                <w:rPr>
                                  <w:rFonts w:ascii="Aptos Narrow" w:eastAsia="+mn-ea" w:hAnsi="Aptos Narrow" w:cs="+mn-cs"/>
                                  <w:color w:val="000000"/>
                                  <w:kern w:val="0"/>
                                  <w14:ligatures w14:val="none"/>
                                </w:rPr>
                              </w:pPr>
                              <w:r>
                                <w:rPr>
                                  <w:rFonts w:ascii="Aptos Narrow" w:eastAsia="+mn-ea" w:hAnsi="Aptos Narrow" w:cs="+mn-cs"/>
                                  <w:color w:val="000000"/>
                                </w:rPr>
                                <w:t>5,3</w:t>
                              </w:r>
                            </w:p>
                          </w:txbxContent>
                        </wps:txbx>
                        <wps:bodyPr vertOverflow="clip" horzOverflow="clip" wrap="square" rtlCol="0" anchor="t">
                          <a:noAutofit/>
                        </wps:bodyPr>
                      </wps:wsp>
                    </wpg:wgp>
                  </a:graphicData>
                </a:graphic>
              </wp:anchor>
            </w:drawing>
          </mc:Choice>
          <mc:Fallback>
            <w:pict>
              <v:group w14:anchorId="0AD5032C" id="Grupo 3" o:spid="_x0000_s1026" style="position:absolute;left:0;text-align:left;margin-left:41.45pt;margin-top:28.7pt;width:299.6pt;height:38.55pt;z-index:251674624" coordsize="38050,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">
                <v:shapetype id="_x0000_t202" coordsize="21600,21600" o:spt="202" path="m,l,21600r21600,l21600,xe">
                  <v:stroke joinstyle="miter"/>
                  <v:path gradientshapeok="t" o:connecttype="rect"/>
                </v:shapetype>
                <v:shape id="CuadroTexto 3" o:spid="_x0000_s1027" type="#_x0000_t202" style="position:absolute;top:2095;width:4712;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738DAAB" w14:textId="77777777" w:rsidR="00E74CBA" w:rsidRDefault="00E74CBA" w:rsidP="00E74CBA">
                        <w:pPr>
                          <w:rPr>
                            <w:rFonts w:hAnsi="Aptos"/>
                            <w:color w:val="000000" w:themeColor="text1"/>
                            <w:kern w:val="0"/>
                            <w14:ligatures w14:val="none"/>
                          </w:rPr>
                        </w:pPr>
                        <w:r>
                          <w:rPr>
                            <w:rFonts w:hAnsi="Aptos"/>
                            <w:color w:val="000000" w:themeColor="text1"/>
                          </w:rPr>
                          <w:t>4,4</w:t>
                        </w:r>
                      </w:p>
                    </w:txbxContent>
                  </v:textbox>
                </v:shape>
                <v:shape id="CuadroTexto 5" o:spid="_x0000_s1028" type="#_x0000_t202" style="position:absolute;left:8128;top:1651;width:47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B29B3E8" w14:textId="77777777" w:rsidR="00E74CBA" w:rsidRDefault="00E74CBA" w:rsidP="00E74CBA">
                        <w:pPr>
                          <w:rPr>
                            <w:rFonts w:hAnsi="Aptos"/>
                            <w:color w:val="000000" w:themeColor="text1"/>
                            <w:kern w:val="0"/>
                            <w14:ligatures w14:val="none"/>
                          </w:rPr>
                        </w:pPr>
                        <w:r>
                          <w:rPr>
                            <w:rFonts w:hAnsi="Aptos"/>
                            <w:color w:val="000000" w:themeColor="text1"/>
                          </w:rPr>
                          <w:t>4,7</w:t>
                        </w:r>
                      </w:p>
                    </w:txbxContent>
                  </v:textbox>
                </v:shape>
                <v:shape id="CuadroTexto 6" o:spid="_x0000_s1029" type="#_x0000_t202" style="position:absolute;left:16637;top:698;width:4712;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9E78054" w14:textId="77777777" w:rsidR="00E74CBA" w:rsidRDefault="00E74CBA" w:rsidP="00E74CBA">
                        <w:pPr>
                          <w:rPr>
                            <w:rFonts w:hAnsi="Aptos"/>
                            <w:color w:val="000000" w:themeColor="text1"/>
                            <w:kern w:val="0"/>
                            <w14:ligatures w14:val="none"/>
                          </w:rPr>
                        </w:pPr>
                        <w:r>
                          <w:rPr>
                            <w:rFonts w:hAnsi="Aptos"/>
                            <w:color w:val="000000" w:themeColor="text1"/>
                          </w:rPr>
                          <w:t>5,0</w:t>
                        </w:r>
                      </w:p>
                    </w:txbxContent>
                  </v:textbox>
                </v:shape>
                <v:shape id="CuadroTexto 10" o:spid="_x0000_s1030" type="#_x0000_t202" style="position:absolute;left:24765;width:47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133076F" w14:textId="77777777" w:rsidR="00E74CBA" w:rsidRDefault="00E74CBA" w:rsidP="00E74CBA">
                        <w:pPr>
                          <w:rPr>
                            <w:rFonts w:hAnsi="Aptos"/>
                            <w:color w:val="000000" w:themeColor="text1"/>
                            <w:kern w:val="0"/>
                            <w14:ligatures w14:val="none"/>
                          </w:rPr>
                        </w:pPr>
                        <w:r>
                          <w:rPr>
                            <w:rFonts w:hAnsi="Aptos"/>
                            <w:color w:val="000000" w:themeColor="text1"/>
                          </w:rPr>
                          <w:t>5,4</w:t>
                        </w:r>
                      </w:p>
                    </w:txbxContent>
                  </v:textbox>
                </v:shape>
                <v:shape id="CuadroTexto 11" o:spid="_x0000_s1031" type="#_x0000_t202" style="position:absolute;left:33337;top:254;width:4713;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DB0FCE6" w14:textId="77777777" w:rsidR="00E74CBA" w:rsidRDefault="00E74CBA" w:rsidP="00E74CBA">
                        <w:pPr>
                          <w:rPr>
                            <w:rFonts w:ascii="Aptos Narrow" w:eastAsia="+mn-ea" w:hAnsi="Aptos Narrow" w:cs="+mn-cs"/>
                            <w:color w:val="000000"/>
                            <w:kern w:val="0"/>
                            <w14:ligatures w14:val="none"/>
                          </w:rPr>
                        </w:pPr>
                        <w:r>
                          <w:rPr>
                            <w:rFonts w:ascii="Aptos Narrow" w:eastAsia="+mn-ea" w:hAnsi="Aptos Narrow" w:cs="+mn-cs"/>
                            <w:color w:val="000000"/>
                          </w:rPr>
                          <w:t>5,3</w:t>
                        </w:r>
                      </w:p>
                    </w:txbxContent>
                  </v:textbox>
                </v:shape>
              </v:group>
            </w:pict>
          </mc:Fallback>
        </mc:AlternateContent>
      </w:r>
      <w:r w:rsidRPr="00185F1A">
        <w:rPr>
          <w:rFonts w:ascii="Times New Roman" w:hAnsi="Times New Roman" w:cs="Times New Roman"/>
          <w:noProof/>
          <w:sz w:val="24"/>
          <w:szCs w:val="24"/>
        </w:rPr>
        <w:drawing>
          <wp:inline distT="0" distB="0" distL="0" distR="0" wp14:anchorId="4EBF05CA" wp14:editId="114DFD0A">
            <wp:extent cx="5400040" cy="2770505"/>
            <wp:effectExtent l="0" t="0" r="10160" b="10795"/>
            <wp:docPr id="406712725" name="Gráfico 1">
              <a:extLst xmlns:a="http://schemas.openxmlformats.org/drawingml/2006/main">
                <a:ext uri="{FF2B5EF4-FFF2-40B4-BE49-F238E27FC236}">
                  <a16:creationId xmlns:a16="http://schemas.microsoft.com/office/drawing/2014/main" id="{15212E51-0C4D-799D-AE8A-4B06F56E9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E9CC70" w14:textId="77777777" w:rsidR="00E74CBA" w:rsidRPr="00185F1A" w:rsidRDefault="00E74CBA" w:rsidP="00185F1A">
      <w:pPr>
        <w:jc w:val="both"/>
        <w:rPr>
          <w:rFonts w:ascii="Times New Roman" w:hAnsi="Times New Roman" w:cs="Times New Roman"/>
          <w:sz w:val="24"/>
          <w:szCs w:val="24"/>
        </w:rPr>
      </w:pPr>
      <w:r w:rsidRPr="00952DF6">
        <w:rPr>
          <w:rFonts w:ascii="Times New Roman" w:hAnsi="Times New Roman" w:cs="Times New Roman"/>
          <w:b/>
          <w:bCs/>
          <w:sz w:val="24"/>
          <w:szCs w:val="24"/>
        </w:rPr>
        <w:t>Fuente:</w:t>
      </w:r>
      <w:r w:rsidRPr="00185F1A">
        <w:rPr>
          <w:rFonts w:ascii="Times New Roman" w:hAnsi="Times New Roman" w:cs="Times New Roman"/>
          <w:sz w:val="24"/>
          <w:szCs w:val="24"/>
        </w:rPr>
        <w:t xml:space="preserve"> Compendio Turístico 2022.</w:t>
      </w:r>
    </w:p>
    <w:p w14:paraId="4554A0DB" w14:textId="77777777" w:rsidR="00E74CBA" w:rsidRPr="00185F1A" w:rsidRDefault="00E74CBA" w:rsidP="00185F1A">
      <w:pPr>
        <w:jc w:val="both"/>
        <w:rPr>
          <w:rFonts w:ascii="Times New Roman" w:hAnsi="Times New Roman" w:cs="Times New Roman"/>
          <w:sz w:val="24"/>
          <w:szCs w:val="24"/>
        </w:rPr>
      </w:pPr>
    </w:p>
    <w:p w14:paraId="16B97B7E" w14:textId="79857EAC" w:rsidR="008F7FAE" w:rsidRPr="00185F1A" w:rsidRDefault="004E3C40" w:rsidP="000A789C">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Sin embargo, s</w:t>
      </w:r>
      <w:r w:rsidR="00E74CBA" w:rsidRPr="00185F1A">
        <w:rPr>
          <w:rFonts w:ascii="Times New Roman" w:hAnsi="Times New Roman" w:cs="Times New Roman"/>
          <w:sz w:val="24"/>
          <w:szCs w:val="24"/>
        </w:rPr>
        <w:t xml:space="preserve">e puede observar que en el 2019 se da una contracción en el número de arribos de turistas y excursionistas, lo cual se puede asociar con una baja en la competitividad de Perú como destino turístico, si se asocia competitividad con afluencia turística. </w:t>
      </w:r>
    </w:p>
    <w:p w14:paraId="400A4849" w14:textId="40C80ACF" w:rsidR="00E74CBA" w:rsidRDefault="00E74CBA" w:rsidP="000A789C">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Por otro lado, </w:t>
      </w:r>
      <w:r w:rsidR="008F7FAE" w:rsidRPr="00185F1A">
        <w:rPr>
          <w:rFonts w:ascii="Times New Roman" w:hAnsi="Times New Roman" w:cs="Times New Roman"/>
          <w:sz w:val="24"/>
          <w:szCs w:val="24"/>
        </w:rPr>
        <w:t>si se observan l</w:t>
      </w:r>
      <w:r w:rsidRPr="00185F1A">
        <w:rPr>
          <w:rFonts w:ascii="Times New Roman" w:hAnsi="Times New Roman" w:cs="Times New Roman"/>
          <w:sz w:val="24"/>
          <w:szCs w:val="24"/>
        </w:rPr>
        <w:t>os indicadores económicos y sociales</w:t>
      </w:r>
      <w:r w:rsidR="008F7FAE" w:rsidRPr="00185F1A">
        <w:rPr>
          <w:rFonts w:ascii="Times New Roman" w:hAnsi="Times New Roman" w:cs="Times New Roman"/>
          <w:sz w:val="24"/>
          <w:szCs w:val="24"/>
        </w:rPr>
        <w:t xml:space="preserve"> de las diversas regiones o departamentos del país, se constata la existencia de necesidades insatisfechas que impiden un pleno desarrollo, incluido el sector turismo, </w:t>
      </w:r>
      <w:r w:rsidR="00CA7CA9" w:rsidRPr="00185F1A">
        <w:rPr>
          <w:rFonts w:ascii="Times New Roman" w:hAnsi="Times New Roman" w:cs="Times New Roman"/>
          <w:sz w:val="24"/>
          <w:szCs w:val="24"/>
        </w:rPr>
        <w:t>que,</w:t>
      </w:r>
      <w:r w:rsidR="008F7FAE" w:rsidRPr="00185F1A">
        <w:rPr>
          <w:rFonts w:ascii="Times New Roman" w:hAnsi="Times New Roman" w:cs="Times New Roman"/>
          <w:sz w:val="24"/>
          <w:szCs w:val="24"/>
        </w:rPr>
        <w:t xml:space="preserve"> si bien invierte cada año </w:t>
      </w:r>
      <w:r w:rsidR="008F7FAE" w:rsidRPr="00185F1A">
        <w:rPr>
          <w:rFonts w:ascii="Times New Roman" w:hAnsi="Times New Roman" w:cs="Times New Roman"/>
          <w:sz w:val="24"/>
          <w:szCs w:val="24"/>
        </w:rPr>
        <w:lastRenderedPageBreak/>
        <w:t xml:space="preserve">en promoción, en capacitaciones, en infraestructura, entre otros, estaría encontrando limitaciones fuera de su sector, </w:t>
      </w:r>
      <w:r w:rsidR="00CA7CA9" w:rsidRPr="00185F1A">
        <w:rPr>
          <w:rFonts w:ascii="Times New Roman" w:hAnsi="Times New Roman" w:cs="Times New Roman"/>
          <w:sz w:val="24"/>
          <w:szCs w:val="24"/>
        </w:rPr>
        <w:t xml:space="preserve">es decir, </w:t>
      </w:r>
      <w:r w:rsidR="008F7FAE" w:rsidRPr="00185F1A">
        <w:rPr>
          <w:rFonts w:ascii="Times New Roman" w:hAnsi="Times New Roman" w:cs="Times New Roman"/>
          <w:sz w:val="24"/>
          <w:szCs w:val="24"/>
        </w:rPr>
        <w:t>asociadas con la seguridad multidimensional.</w:t>
      </w:r>
    </w:p>
    <w:p w14:paraId="5327B6C7" w14:textId="77777777" w:rsidR="000A789C" w:rsidRDefault="000A789C" w:rsidP="000A789C">
      <w:pPr>
        <w:spacing w:line="240" w:lineRule="auto"/>
        <w:ind w:firstLine="708"/>
        <w:jc w:val="both"/>
        <w:rPr>
          <w:rFonts w:ascii="Times New Roman" w:hAnsi="Times New Roman" w:cs="Times New Roman"/>
          <w:sz w:val="24"/>
          <w:szCs w:val="24"/>
        </w:rPr>
      </w:pPr>
    </w:p>
    <w:p w14:paraId="6B27EA3E" w14:textId="59D64147" w:rsidR="00A10DAE" w:rsidRDefault="00A10DAE" w:rsidP="00185F1A">
      <w:pPr>
        <w:pStyle w:val="Prrafodelista"/>
        <w:numPr>
          <w:ilvl w:val="0"/>
          <w:numId w:val="3"/>
        </w:numPr>
        <w:spacing w:line="360" w:lineRule="auto"/>
        <w:ind w:left="284" w:hanging="284"/>
        <w:jc w:val="both"/>
        <w:rPr>
          <w:rFonts w:ascii="Times New Roman" w:hAnsi="Times New Roman" w:cs="Times New Roman"/>
          <w:b/>
          <w:bCs/>
          <w:sz w:val="24"/>
          <w:szCs w:val="24"/>
        </w:rPr>
      </w:pPr>
      <w:r w:rsidRPr="00185F1A">
        <w:rPr>
          <w:rFonts w:ascii="Times New Roman" w:hAnsi="Times New Roman" w:cs="Times New Roman"/>
          <w:b/>
          <w:bCs/>
          <w:sz w:val="24"/>
          <w:szCs w:val="24"/>
        </w:rPr>
        <w:t xml:space="preserve">Revisión </w:t>
      </w:r>
      <w:r w:rsidR="003F628B" w:rsidRPr="00185F1A">
        <w:rPr>
          <w:rFonts w:ascii="Times New Roman" w:hAnsi="Times New Roman" w:cs="Times New Roman"/>
          <w:b/>
          <w:bCs/>
          <w:sz w:val="24"/>
          <w:szCs w:val="24"/>
        </w:rPr>
        <w:t>de la literatura</w:t>
      </w:r>
    </w:p>
    <w:p w14:paraId="0E784264" w14:textId="77777777" w:rsidR="000A789C" w:rsidRPr="00185F1A" w:rsidRDefault="000A789C" w:rsidP="000A789C">
      <w:pPr>
        <w:pStyle w:val="Prrafodelista"/>
        <w:spacing w:line="360" w:lineRule="auto"/>
        <w:ind w:left="284"/>
        <w:jc w:val="both"/>
        <w:rPr>
          <w:rFonts w:ascii="Times New Roman" w:hAnsi="Times New Roman" w:cs="Times New Roman"/>
          <w:b/>
          <w:bCs/>
          <w:sz w:val="24"/>
          <w:szCs w:val="24"/>
        </w:rPr>
      </w:pPr>
    </w:p>
    <w:p w14:paraId="21E33BF8" w14:textId="2752CAD7" w:rsidR="00B30EB5" w:rsidRPr="00185F1A" w:rsidRDefault="00994388" w:rsidP="00185F1A">
      <w:pPr>
        <w:pStyle w:val="Prrafodelista"/>
        <w:numPr>
          <w:ilvl w:val="1"/>
          <w:numId w:val="3"/>
        </w:numPr>
        <w:spacing w:line="360" w:lineRule="auto"/>
        <w:ind w:left="567" w:hanging="578"/>
        <w:jc w:val="both"/>
        <w:rPr>
          <w:rFonts w:ascii="Times New Roman" w:hAnsi="Times New Roman" w:cs="Times New Roman"/>
          <w:b/>
          <w:bCs/>
          <w:sz w:val="24"/>
          <w:szCs w:val="24"/>
        </w:rPr>
      </w:pPr>
      <w:r w:rsidRPr="00185F1A">
        <w:rPr>
          <w:rFonts w:ascii="Times New Roman" w:hAnsi="Times New Roman" w:cs="Times New Roman"/>
          <w:b/>
          <w:bCs/>
          <w:sz w:val="24"/>
          <w:szCs w:val="24"/>
        </w:rPr>
        <w:t>Seguridad</w:t>
      </w:r>
      <w:r w:rsidR="003F628B" w:rsidRPr="00185F1A">
        <w:rPr>
          <w:rFonts w:ascii="Times New Roman" w:hAnsi="Times New Roman" w:cs="Times New Roman"/>
          <w:b/>
          <w:bCs/>
          <w:sz w:val="24"/>
          <w:szCs w:val="24"/>
        </w:rPr>
        <w:t xml:space="preserve"> física</w:t>
      </w:r>
      <w:r w:rsidRPr="00185F1A">
        <w:rPr>
          <w:rFonts w:ascii="Times New Roman" w:hAnsi="Times New Roman" w:cs="Times New Roman"/>
          <w:b/>
          <w:bCs/>
          <w:sz w:val="24"/>
          <w:szCs w:val="24"/>
        </w:rPr>
        <w:t xml:space="preserve">, </w:t>
      </w:r>
      <w:r w:rsidR="00B30EB5" w:rsidRPr="00185F1A">
        <w:rPr>
          <w:rFonts w:ascii="Times New Roman" w:hAnsi="Times New Roman" w:cs="Times New Roman"/>
          <w:b/>
          <w:bCs/>
          <w:sz w:val="24"/>
          <w:szCs w:val="24"/>
        </w:rPr>
        <w:t>Seguridad</w:t>
      </w:r>
      <w:r w:rsidR="002753A2" w:rsidRPr="00185F1A">
        <w:rPr>
          <w:rFonts w:ascii="Times New Roman" w:hAnsi="Times New Roman" w:cs="Times New Roman"/>
          <w:b/>
          <w:bCs/>
          <w:sz w:val="24"/>
          <w:szCs w:val="24"/>
        </w:rPr>
        <w:t xml:space="preserve"> Humana y Seguridad Multidimensional</w:t>
      </w:r>
    </w:p>
    <w:p w14:paraId="74936769" w14:textId="77777777" w:rsidR="000A789C" w:rsidRDefault="00BE7BE1" w:rsidP="00185F1A">
      <w:pPr>
        <w:spacing w:line="240" w:lineRule="auto"/>
        <w:ind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El concepto de </w:t>
      </w:r>
      <w:r w:rsidR="00CA7CA9" w:rsidRPr="00185F1A">
        <w:rPr>
          <w:rFonts w:ascii="Times New Roman" w:hAnsi="Times New Roman" w:cs="Times New Roman"/>
          <w:sz w:val="24"/>
          <w:szCs w:val="24"/>
        </w:rPr>
        <w:t>seguridad ha</w:t>
      </w:r>
      <w:r w:rsidRPr="00185F1A">
        <w:rPr>
          <w:rFonts w:ascii="Times New Roman" w:hAnsi="Times New Roman" w:cs="Times New Roman"/>
          <w:sz w:val="24"/>
          <w:szCs w:val="24"/>
        </w:rPr>
        <w:t xml:space="preserve"> evolucionado en l</w:t>
      </w:r>
      <w:r w:rsidR="00C1190E" w:rsidRPr="00185F1A">
        <w:rPr>
          <w:rFonts w:ascii="Times New Roman" w:hAnsi="Times New Roman" w:cs="Times New Roman"/>
          <w:sz w:val="24"/>
          <w:szCs w:val="24"/>
        </w:rPr>
        <w:t>a última década</w:t>
      </w:r>
      <w:r w:rsidRPr="00185F1A">
        <w:rPr>
          <w:rFonts w:ascii="Times New Roman" w:hAnsi="Times New Roman" w:cs="Times New Roman"/>
          <w:sz w:val="24"/>
          <w:szCs w:val="24"/>
        </w:rPr>
        <w:t xml:space="preserve">. Durante la guerra fría, el concepto de seguridad hacía referencia a la defensa del Estado desde una perspectiva militar territorial </w:t>
      </w:r>
      <w:sdt>
        <w:sdtPr>
          <w:rPr>
            <w:rFonts w:ascii="Times New Roman" w:hAnsi="Times New Roman" w:cs="Times New Roman"/>
            <w:sz w:val="24"/>
            <w:szCs w:val="24"/>
          </w:rPr>
          <w:id w:val="-46538011"/>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 CITATION Fon12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(Font &amp; Ortega, 2012)</w:t>
          </w:r>
          <w:r w:rsidRPr="00185F1A">
            <w:rPr>
              <w:rFonts w:ascii="Times New Roman" w:hAnsi="Times New Roman" w:cs="Times New Roman"/>
              <w:sz w:val="24"/>
              <w:szCs w:val="24"/>
            </w:rPr>
            <w:fldChar w:fldCharType="end"/>
          </w:r>
        </w:sdtContent>
      </w:sdt>
      <w:r w:rsidR="00F27134" w:rsidRPr="00185F1A">
        <w:rPr>
          <w:rFonts w:ascii="Times New Roman" w:hAnsi="Times New Roman" w:cs="Times New Roman"/>
          <w:sz w:val="24"/>
          <w:szCs w:val="24"/>
        </w:rPr>
        <w:t xml:space="preserve">, el enfoque tradicional. Hoy en día se reconocen nuevos tipos de amenazas como son la corrupción, el </w:t>
      </w:r>
      <w:r w:rsidR="00622779" w:rsidRPr="00185F1A">
        <w:rPr>
          <w:rFonts w:ascii="Times New Roman" w:hAnsi="Times New Roman" w:cs="Times New Roman"/>
          <w:sz w:val="24"/>
          <w:szCs w:val="24"/>
        </w:rPr>
        <w:t>terrorismo, entre</w:t>
      </w:r>
      <w:r w:rsidR="00F27134" w:rsidRPr="00185F1A">
        <w:rPr>
          <w:rFonts w:ascii="Times New Roman" w:hAnsi="Times New Roman" w:cs="Times New Roman"/>
          <w:sz w:val="24"/>
          <w:szCs w:val="24"/>
        </w:rPr>
        <w:t xml:space="preserve"> otros, en un mundo globalizado e hiperconectado donde la tecnología y las innovaciones pueden intervenir positivamente en el desarrollo </w:t>
      </w:r>
      <w:r w:rsidR="00CA7CA9" w:rsidRPr="00185F1A">
        <w:rPr>
          <w:rFonts w:ascii="Times New Roman" w:hAnsi="Times New Roman" w:cs="Times New Roman"/>
          <w:sz w:val="24"/>
          <w:szCs w:val="24"/>
        </w:rPr>
        <w:t>humano,</w:t>
      </w:r>
      <w:r w:rsidR="00F27134" w:rsidRPr="00185F1A">
        <w:rPr>
          <w:rFonts w:ascii="Times New Roman" w:hAnsi="Times New Roman" w:cs="Times New Roman"/>
          <w:sz w:val="24"/>
          <w:szCs w:val="24"/>
        </w:rPr>
        <w:t xml:space="preserve"> pero también ser mal utilizadas por las redes del crimen </w:t>
      </w:r>
      <w:sdt>
        <w:sdtPr>
          <w:rPr>
            <w:rFonts w:ascii="Times New Roman" w:hAnsi="Times New Roman" w:cs="Times New Roman"/>
            <w:sz w:val="24"/>
            <w:szCs w:val="24"/>
          </w:rPr>
          <w:id w:val="-1605191420"/>
          <w:citation/>
        </w:sdtPr>
        <w:sdtContent>
          <w:r w:rsidR="001E3ABD" w:rsidRPr="00185F1A">
            <w:rPr>
              <w:rFonts w:ascii="Times New Roman" w:hAnsi="Times New Roman" w:cs="Times New Roman"/>
              <w:sz w:val="24"/>
              <w:szCs w:val="24"/>
            </w:rPr>
            <w:fldChar w:fldCharType="begin"/>
          </w:r>
          <w:r w:rsidR="001E3ABD" w:rsidRPr="00185F1A">
            <w:rPr>
              <w:rFonts w:ascii="Times New Roman" w:hAnsi="Times New Roman" w:cs="Times New Roman"/>
              <w:sz w:val="24"/>
              <w:szCs w:val="24"/>
            </w:rPr>
            <w:instrText xml:space="preserve"> CITATION Bla15 \l 3082 </w:instrText>
          </w:r>
          <w:r w:rsidR="001E3ABD" w:rsidRPr="00185F1A">
            <w:rPr>
              <w:rFonts w:ascii="Times New Roman" w:hAnsi="Times New Roman" w:cs="Times New Roman"/>
              <w:sz w:val="24"/>
              <w:szCs w:val="24"/>
            </w:rPr>
            <w:fldChar w:fldCharType="separate"/>
          </w:r>
          <w:r w:rsidR="001E3ABD" w:rsidRPr="00185F1A">
            <w:rPr>
              <w:rFonts w:ascii="Times New Roman" w:hAnsi="Times New Roman" w:cs="Times New Roman"/>
              <w:noProof/>
              <w:sz w:val="24"/>
              <w:szCs w:val="24"/>
            </w:rPr>
            <w:t>(Blackwell, 2015)</w:t>
          </w:r>
          <w:r w:rsidR="001E3ABD" w:rsidRPr="00185F1A">
            <w:rPr>
              <w:rFonts w:ascii="Times New Roman" w:hAnsi="Times New Roman" w:cs="Times New Roman"/>
              <w:sz w:val="24"/>
              <w:szCs w:val="24"/>
            </w:rPr>
            <w:fldChar w:fldCharType="end"/>
          </w:r>
        </w:sdtContent>
      </w:sdt>
      <w:r w:rsidR="001E3ABD" w:rsidRPr="00185F1A">
        <w:rPr>
          <w:rFonts w:ascii="Times New Roman" w:hAnsi="Times New Roman" w:cs="Times New Roman"/>
          <w:sz w:val="24"/>
          <w:szCs w:val="24"/>
        </w:rPr>
        <w:t>.</w:t>
      </w:r>
      <w:r w:rsidR="008E0AF8" w:rsidRPr="00185F1A">
        <w:rPr>
          <w:rFonts w:ascii="Times New Roman" w:hAnsi="Times New Roman" w:cs="Times New Roman"/>
          <w:sz w:val="24"/>
          <w:szCs w:val="24"/>
        </w:rPr>
        <w:t xml:space="preserve"> </w:t>
      </w:r>
    </w:p>
    <w:p w14:paraId="3430EA5C" w14:textId="7AB944D6" w:rsidR="008E0AF8" w:rsidRPr="00185F1A" w:rsidRDefault="002753A2" w:rsidP="00185F1A">
      <w:pPr>
        <w:spacing w:line="240" w:lineRule="auto"/>
        <w:ind w:firstLine="567"/>
        <w:jc w:val="both"/>
        <w:rPr>
          <w:rFonts w:ascii="Times New Roman" w:hAnsi="Times New Roman" w:cs="Times New Roman"/>
          <w:sz w:val="24"/>
          <w:szCs w:val="24"/>
        </w:rPr>
      </w:pPr>
      <w:r w:rsidRPr="00185F1A">
        <w:rPr>
          <w:rFonts w:ascii="Times New Roman" w:hAnsi="Times New Roman" w:cs="Times New Roman"/>
          <w:sz w:val="24"/>
          <w:szCs w:val="24"/>
        </w:rPr>
        <w:t>L</w:t>
      </w:r>
      <w:r w:rsidR="00F27134" w:rsidRPr="00185F1A">
        <w:rPr>
          <w:rFonts w:ascii="Times New Roman" w:hAnsi="Times New Roman" w:cs="Times New Roman"/>
          <w:sz w:val="24"/>
          <w:szCs w:val="24"/>
        </w:rPr>
        <w:t>a pobreza también</w:t>
      </w:r>
      <w:r w:rsidR="008210DA" w:rsidRPr="00185F1A">
        <w:rPr>
          <w:rFonts w:ascii="Times New Roman" w:hAnsi="Times New Roman" w:cs="Times New Roman"/>
          <w:sz w:val="24"/>
          <w:szCs w:val="24"/>
        </w:rPr>
        <w:t xml:space="preserve"> afecta </w:t>
      </w:r>
      <w:r w:rsidR="000A789C">
        <w:rPr>
          <w:rFonts w:ascii="Times New Roman" w:hAnsi="Times New Roman" w:cs="Times New Roman"/>
          <w:sz w:val="24"/>
          <w:szCs w:val="24"/>
        </w:rPr>
        <w:t xml:space="preserve">a </w:t>
      </w:r>
      <w:r w:rsidR="008210DA" w:rsidRPr="00185F1A">
        <w:rPr>
          <w:rFonts w:ascii="Times New Roman" w:hAnsi="Times New Roman" w:cs="Times New Roman"/>
          <w:sz w:val="24"/>
          <w:szCs w:val="24"/>
        </w:rPr>
        <w:t xml:space="preserve">la seguridad </w:t>
      </w:r>
      <w:r w:rsidR="00F27134" w:rsidRPr="00185F1A">
        <w:rPr>
          <w:rFonts w:ascii="Times New Roman" w:hAnsi="Times New Roman" w:cs="Times New Roman"/>
          <w:sz w:val="24"/>
          <w:szCs w:val="24"/>
        </w:rPr>
        <w:t>multidimensional</w:t>
      </w:r>
      <w:r w:rsidR="000A789C">
        <w:rPr>
          <w:rFonts w:ascii="Times New Roman" w:hAnsi="Times New Roman" w:cs="Times New Roman"/>
          <w:sz w:val="24"/>
          <w:szCs w:val="24"/>
        </w:rPr>
        <w:t>,</w:t>
      </w:r>
      <w:r w:rsidR="008210DA" w:rsidRPr="00185F1A">
        <w:rPr>
          <w:rFonts w:ascii="Times New Roman" w:hAnsi="Times New Roman" w:cs="Times New Roman"/>
          <w:sz w:val="24"/>
          <w:szCs w:val="24"/>
        </w:rPr>
        <w:t xml:space="preserve"> pues crea condiciones en los ciudadanos que los hace vulnerables ante situaciones de descontento social, </w:t>
      </w:r>
      <w:r w:rsidR="00E31F15" w:rsidRPr="00185F1A">
        <w:rPr>
          <w:rFonts w:ascii="Times New Roman" w:hAnsi="Times New Roman" w:cs="Times New Roman"/>
          <w:sz w:val="24"/>
          <w:szCs w:val="24"/>
        </w:rPr>
        <w:t xml:space="preserve">y de </w:t>
      </w:r>
      <w:r w:rsidR="008210DA" w:rsidRPr="00185F1A">
        <w:rPr>
          <w:rFonts w:ascii="Times New Roman" w:hAnsi="Times New Roman" w:cs="Times New Roman"/>
          <w:sz w:val="24"/>
          <w:szCs w:val="24"/>
        </w:rPr>
        <w:t>criminalidad</w:t>
      </w:r>
      <w:r w:rsidR="00F27134" w:rsidRPr="00185F1A">
        <w:rPr>
          <w:rFonts w:ascii="Times New Roman" w:hAnsi="Times New Roman" w:cs="Times New Roman"/>
          <w:sz w:val="24"/>
          <w:szCs w:val="24"/>
        </w:rPr>
        <w:t xml:space="preserve"> </w:t>
      </w:r>
      <w:sdt>
        <w:sdtPr>
          <w:rPr>
            <w:rFonts w:ascii="Times New Roman" w:hAnsi="Times New Roman" w:cs="Times New Roman"/>
            <w:sz w:val="24"/>
            <w:szCs w:val="24"/>
          </w:rPr>
          <w:id w:val="-270242830"/>
          <w:citation/>
        </w:sdtPr>
        <w:sdtContent>
          <w:r w:rsidR="00F27134" w:rsidRPr="00185F1A">
            <w:rPr>
              <w:rFonts w:ascii="Times New Roman" w:hAnsi="Times New Roman" w:cs="Times New Roman"/>
              <w:sz w:val="24"/>
              <w:szCs w:val="24"/>
            </w:rPr>
            <w:fldChar w:fldCharType="begin"/>
          </w:r>
          <w:r w:rsidR="00F27134" w:rsidRPr="00185F1A">
            <w:rPr>
              <w:rFonts w:ascii="Times New Roman" w:hAnsi="Times New Roman" w:cs="Times New Roman"/>
              <w:sz w:val="24"/>
              <w:szCs w:val="24"/>
            </w:rPr>
            <w:instrText xml:space="preserve"> CITATION Bla15 \l 3082 </w:instrText>
          </w:r>
          <w:r w:rsidR="00F27134" w:rsidRPr="00185F1A">
            <w:rPr>
              <w:rFonts w:ascii="Times New Roman" w:hAnsi="Times New Roman" w:cs="Times New Roman"/>
              <w:sz w:val="24"/>
              <w:szCs w:val="24"/>
            </w:rPr>
            <w:fldChar w:fldCharType="separate"/>
          </w:r>
          <w:r w:rsidR="00F27134" w:rsidRPr="00185F1A">
            <w:rPr>
              <w:rFonts w:ascii="Times New Roman" w:hAnsi="Times New Roman" w:cs="Times New Roman"/>
              <w:noProof/>
              <w:sz w:val="24"/>
              <w:szCs w:val="24"/>
            </w:rPr>
            <w:t>(Blackwell, 2015)</w:t>
          </w:r>
          <w:r w:rsidR="00F27134" w:rsidRPr="00185F1A">
            <w:rPr>
              <w:rFonts w:ascii="Times New Roman" w:hAnsi="Times New Roman" w:cs="Times New Roman"/>
              <w:sz w:val="24"/>
              <w:szCs w:val="24"/>
            </w:rPr>
            <w:fldChar w:fldCharType="end"/>
          </w:r>
        </w:sdtContent>
      </w:sdt>
      <w:r w:rsidR="00F27134" w:rsidRPr="00185F1A">
        <w:rPr>
          <w:rFonts w:ascii="Times New Roman" w:hAnsi="Times New Roman" w:cs="Times New Roman"/>
          <w:sz w:val="24"/>
          <w:szCs w:val="24"/>
        </w:rPr>
        <w:t>.</w:t>
      </w:r>
      <w:r w:rsidR="008210DA" w:rsidRPr="00185F1A">
        <w:rPr>
          <w:rFonts w:ascii="Times New Roman" w:hAnsi="Times New Roman" w:cs="Times New Roman"/>
          <w:sz w:val="24"/>
          <w:szCs w:val="24"/>
        </w:rPr>
        <w:t xml:space="preserve"> </w:t>
      </w:r>
      <w:r w:rsidR="004E3C40" w:rsidRPr="00185F1A">
        <w:rPr>
          <w:rFonts w:ascii="Times New Roman" w:hAnsi="Times New Roman" w:cs="Times New Roman"/>
          <w:sz w:val="24"/>
          <w:szCs w:val="24"/>
        </w:rPr>
        <w:t xml:space="preserve">Ul Haq </w:t>
      </w:r>
      <w:sdt>
        <w:sdtPr>
          <w:rPr>
            <w:rFonts w:ascii="Times New Roman" w:hAnsi="Times New Roman" w:cs="Times New Roman"/>
            <w:sz w:val="24"/>
            <w:szCs w:val="24"/>
          </w:rPr>
          <w:id w:val="1439259511"/>
          <w:citation/>
        </w:sdtPr>
        <w:sdtContent>
          <w:r w:rsidR="004E3C40" w:rsidRPr="00185F1A">
            <w:rPr>
              <w:rFonts w:ascii="Times New Roman" w:hAnsi="Times New Roman" w:cs="Times New Roman"/>
              <w:sz w:val="24"/>
              <w:szCs w:val="24"/>
            </w:rPr>
            <w:fldChar w:fldCharType="begin"/>
          </w:r>
          <w:r w:rsidR="004E3C40" w:rsidRPr="00185F1A">
            <w:rPr>
              <w:rFonts w:ascii="Times New Roman" w:hAnsi="Times New Roman" w:cs="Times New Roman"/>
              <w:sz w:val="24"/>
              <w:szCs w:val="24"/>
            </w:rPr>
            <w:instrText xml:space="preserve"> CITATION Her20 \l 3082 </w:instrText>
          </w:r>
          <w:r w:rsidR="004E3C40" w:rsidRPr="00185F1A">
            <w:rPr>
              <w:rFonts w:ascii="Times New Roman" w:hAnsi="Times New Roman" w:cs="Times New Roman"/>
              <w:sz w:val="24"/>
              <w:szCs w:val="24"/>
            </w:rPr>
            <w:fldChar w:fldCharType="separate"/>
          </w:r>
          <w:r w:rsidR="004E3C40" w:rsidRPr="00185F1A">
            <w:rPr>
              <w:rFonts w:ascii="Times New Roman" w:hAnsi="Times New Roman" w:cs="Times New Roman"/>
              <w:noProof/>
              <w:sz w:val="24"/>
              <w:szCs w:val="24"/>
            </w:rPr>
            <w:t>(Hernández, 2020)</w:t>
          </w:r>
          <w:r w:rsidR="004E3C40" w:rsidRPr="00185F1A">
            <w:rPr>
              <w:rFonts w:ascii="Times New Roman" w:hAnsi="Times New Roman" w:cs="Times New Roman"/>
              <w:sz w:val="24"/>
              <w:szCs w:val="24"/>
            </w:rPr>
            <w:fldChar w:fldCharType="end"/>
          </w:r>
        </w:sdtContent>
      </w:sdt>
      <w:r w:rsidR="004E3C40" w:rsidRPr="00185F1A">
        <w:rPr>
          <w:rFonts w:ascii="Times New Roman" w:hAnsi="Times New Roman" w:cs="Times New Roman"/>
          <w:sz w:val="24"/>
          <w:szCs w:val="24"/>
        </w:rPr>
        <w:t xml:space="preserve"> identificó la necesidad de</w:t>
      </w:r>
      <w:r w:rsidR="000E326C" w:rsidRPr="00185F1A">
        <w:rPr>
          <w:rFonts w:ascii="Times New Roman" w:hAnsi="Times New Roman" w:cs="Times New Roman"/>
          <w:sz w:val="24"/>
          <w:szCs w:val="24"/>
        </w:rPr>
        <w:t xml:space="preserve"> los Estados de contar con una situación de estabilidad para que pueda haber desarrollo y estableció el vínculo entre seguridad y desarrollo por lo que consideró necesario asegurar el desarrollo humano como proceso. </w:t>
      </w:r>
    </w:p>
    <w:p w14:paraId="7258AD49" w14:textId="45D76F30" w:rsidR="000E326C" w:rsidRPr="00185F1A" w:rsidRDefault="008210DA" w:rsidP="000A789C">
      <w:pPr>
        <w:spacing w:line="240" w:lineRule="auto"/>
        <w:ind w:firstLine="567"/>
        <w:jc w:val="both"/>
        <w:rPr>
          <w:rFonts w:ascii="Times New Roman" w:hAnsi="Times New Roman" w:cs="Times New Roman"/>
          <w:sz w:val="24"/>
          <w:szCs w:val="24"/>
        </w:rPr>
      </w:pPr>
      <w:r w:rsidRPr="00185F1A">
        <w:rPr>
          <w:rFonts w:ascii="Times New Roman" w:hAnsi="Times New Roman" w:cs="Times New Roman"/>
          <w:sz w:val="24"/>
          <w:szCs w:val="24"/>
        </w:rPr>
        <w:t>De ahí</w:t>
      </w:r>
      <w:r w:rsidR="000A789C">
        <w:rPr>
          <w:rFonts w:ascii="Times New Roman" w:hAnsi="Times New Roman" w:cs="Times New Roman"/>
          <w:sz w:val="24"/>
          <w:szCs w:val="24"/>
        </w:rPr>
        <w:t>, entonces,</w:t>
      </w:r>
      <w:r w:rsidRPr="00185F1A">
        <w:rPr>
          <w:rFonts w:ascii="Times New Roman" w:hAnsi="Times New Roman" w:cs="Times New Roman"/>
          <w:sz w:val="24"/>
          <w:szCs w:val="24"/>
        </w:rPr>
        <w:t xml:space="preserve"> la importancia de mejorar las condiciones de vida de los ciudadanos</w:t>
      </w:r>
      <w:r w:rsidR="002753A2" w:rsidRPr="00185F1A">
        <w:rPr>
          <w:rFonts w:ascii="Times New Roman" w:hAnsi="Times New Roman" w:cs="Times New Roman"/>
          <w:sz w:val="24"/>
          <w:szCs w:val="24"/>
        </w:rPr>
        <w:t>.</w:t>
      </w:r>
      <w:r w:rsidR="00E31F15" w:rsidRPr="00185F1A">
        <w:rPr>
          <w:rFonts w:ascii="Times New Roman" w:hAnsi="Times New Roman" w:cs="Times New Roman"/>
          <w:sz w:val="24"/>
          <w:szCs w:val="24"/>
        </w:rPr>
        <w:t xml:space="preserve"> </w:t>
      </w:r>
      <w:r w:rsidR="008234CF" w:rsidRPr="00185F1A">
        <w:rPr>
          <w:rFonts w:ascii="Times New Roman" w:hAnsi="Times New Roman" w:cs="Times New Roman"/>
          <w:sz w:val="24"/>
          <w:szCs w:val="24"/>
        </w:rPr>
        <w:t>C</w:t>
      </w:r>
      <w:r w:rsidR="00E31F15" w:rsidRPr="00185F1A">
        <w:rPr>
          <w:rFonts w:ascii="Times New Roman" w:hAnsi="Times New Roman" w:cs="Times New Roman"/>
          <w:sz w:val="24"/>
          <w:szCs w:val="24"/>
        </w:rPr>
        <w:t>abe resaltar</w:t>
      </w:r>
      <w:r w:rsidR="008234CF" w:rsidRPr="00185F1A">
        <w:rPr>
          <w:rFonts w:ascii="Times New Roman" w:hAnsi="Times New Roman" w:cs="Times New Roman"/>
          <w:sz w:val="24"/>
          <w:szCs w:val="24"/>
        </w:rPr>
        <w:t>,</w:t>
      </w:r>
      <w:r w:rsidR="00E31F15" w:rsidRPr="00185F1A">
        <w:rPr>
          <w:rFonts w:ascii="Times New Roman" w:hAnsi="Times New Roman" w:cs="Times New Roman"/>
          <w:sz w:val="24"/>
          <w:szCs w:val="24"/>
        </w:rPr>
        <w:t xml:space="preserve"> que desplegar </w:t>
      </w:r>
      <w:r w:rsidRPr="00185F1A">
        <w:rPr>
          <w:rFonts w:ascii="Times New Roman" w:hAnsi="Times New Roman" w:cs="Times New Roman"/>
          <w:sz w:val="24"/>
          <w:szCs w:val="24"/>
        </w:rPr>
        <w:t>estrategias para mejorar la seguridad multidimensional</w:t>
      </w:r>
      <w:r w:rsidR="000E326C" w:rsidRPr="00185F1A">
        <w:rPr>
          <w:rFonts w:ascii="Times New Roman" w:hAnsi="Times New Roman" w:cs="Times New Roman"/>
          <w:sz w:val="24"/>
          <w:szCs w:val="24"/>
        </w:rPr>
        <w:t xml:space="preserve"> y/o humana</w:t>
      </w:r>
      <w:r w:rsidRPr="00185F1A">
        <w:rPr>
          <w:rFonts w:ascii="Times New Roman" w:hAnsi="Times New Roman" w:cs="Times New Roman"/>
          <w:sz w:val="24"/>
          <w:szCs w:val="24"/>
        </w:rPr>
        <w:t xml:space="preserve"> de una población tomará un tiempo </w:t>
      </w:r>
      <w:r w:rsidR="00622779" w:rsidRPr="00185F1A">
        <w:rPr>
          <w:rFonts w:ascii="Times New Roman" w:hAnsi="Times New Roman" w:cs="Times New Roman"/>
          <w:sz w:val="24"/>
          <w:szCs w:val="24"/>
        </w:rPr>
        <w:t>mayor que</w:t>
      </w:r>
      <w:r w:rsidRPr="00185F1A">
        <w:rPr>
          <w:rFonts w:ascii="Times New Roman" w:hAnsi="Times New Roman" w:cs="Times New Roman"/>
          <w:sz w:val="24"/>
          <w:szCs w:val="24"/>
        </w:rPr>
        <w:t xml:space="preserve"> las estrategias de accion</w:t>
      </w:r>
      <w:r w:rsidR="00C1190E" w:rsidRPr="00185F1A">
        <w:rPr>
          <w:rFonts w:ascii="Times New Roman" w:hAnsi="Times New Roman" w:cs="Times New Roman"/>
          <w:sz w:val="24"/>
          <w:szCs w:val="24"/>
        </w:rPr>
        <w:t>es de seguridad tradicional</w:t>
      </w:r>
      <w:r w:rsidR="000E326C" w:rsidRPr="00185F1A">
        <w:rPr>
          <w:rFonts w:ascii="Times New Roman" w:hAnsi="Times New Roman" w:cs="Times New Roman"/>
          <w:sz w:val="24"/>
          <w:szCs w:val="24"/>
        </w:rPr>
        <w:t xml:space="preserve"> (</w:t>
      </w:r>
      <w:r w:rsidR="00E31F15" w:rsidRPr="00185F1A">
        <w:rPr>
          <w:rFonts w:ascii="Times New Roman" w:hAnsi="Times New Roman" w:cs="Times New Roman"/>
          <w:sz w:val="24"/>
          <w:szCs w:val="24"/>
        </w:rPr>
        <w:t xml:space="preserve">vinculada </w:t>
      </w:r>
      <w:r w:rsidR="000E326C" w:rsidRPr="00185F1A">
        <w:rPr>
          <w:rFonts w:ascii="Times New Roman" w:hAnsi="Times New Roman" w:cs="Times New Roman"/>
          <w:sz w:val="24"/>
          <w:szCs w:val="24"/>
        </w:rPr>
        <w:t xml:space="preserve">esta </w:t>
      </w:r>
      <w:r w:rsidR="00E31F15" w:rsidRPr="00185F1A">
        <w:rPr>
          <w:rFonts w:ascii="Times New Roman" w:hAnsi="Times New Roman" w:cs="Times New Roman"/>
          <w:sz w:val="24"/>
          <w:szCs w:val="24"/>
        </w:rPr>
        <w:t xml:space="preserve">con la seguridad </w:t>
      </w:r>
      <w:r w:rsidR="00622779" w:rsidRPr="00185F1A">
        <w:rPr>
          <w:rFonts w:ascii="Times New Roman" w:hAnsi="Times New Roman" w:cs="Times New Roman"/>
          <w:sz w:val="24"/>
          <w:szCs w:val="24"/>
        </w:rPr>
        <w:t>ciudadana</w:t>
      </w:r>
      <w:r w:rsidR="000E326C" w:rsidRPr="00185F1A">
        <w:rPr>
          <w:rFonts w:ascii="Times New Roman" w:hAnsi="Times New Roman" w:cs="Times New Roman"/>
          <w:sz w:val="24"/>
          <w:szCs w:val="24"/>
        </w:rPr>
        <w:t>),</w:t>
      </w:r>
      <w:r w:rsidR="00622779" w:rsidRPr="00185F1A">
        <w:rPr>
          <w:rFonts w:ascii="Times New Roman" w:hAnsi="Times New Roman" w:cs="Times New Roman"/>
          <w:sz w:val="24"/>
          <w:szCs w:val="24"/>
        </w:rPr>
        <w:t xml:space="preserve"> pero</w:t>
      </w:r>
      <w:r w:rsidRPr="00185F1A">
        <w:rPr>
          <w:rFonts w:ascii="Times New Roman" w:hAnsi="Times New Roman" w:cs="Times New Roman"/>
          <w:sz w:val="24"/>
          <w:szCs w:val="24"/>
        </w:rPr>
        <w:t xml:space="preserve"> los resultados serán de mayor </w:t>
      </w:r>
      <w:r w:rsidR="00CA7CA9" w:rsidRPr="00185F1A">
        <w:rPr>
          <w:rFonts w:ascii="Times New Roman" w:hAnsi="Times New Roman" w:cs="Times New Roman"/>
          <w:sz w:val="24"/>
          <w:szCs w:val="24"/>
        </w:rPr>
        <w:t>efectividad en</w:t>
      </w:r>
      <w:r w:rsidR="00C1190E" w:rsidRPr="00185F1A">
        <w:rPr>
          <w:rFonts w:ascii="Times New Roman" w:hAnsi="Times New Roman" w:cs="Times New Roman"/>
          <w:sz w:val="24"/>
          <w:szCs w:val="24"/>
        </w:rPr>
        <w:t xml:space="preserve"> el largo plazo </w:t>
      </w:r>
      <w:sdt>
        <w:sdtPr>
          <w:rPr>
            <w:rFonts w:ascii="Times New Roman" w:hAnsi="Times New Roman" w:cs="Times New Roman"/>
            <w:sz w:val="24"/>
            <w:szCs w:val="24"/>
          </w:rPr>
          <w:id w:val="1299188197"/>
          <w:citation/>
        </w:sdtPr>
        <w:sdtContent>
          <w:r w:rsidR="00C1190E" w:rsidRPr="00185F1A">
            <w:rPr>
              <w:rFonts w:ascii="Times New Roman" w:hAnsi="Times New Roman" w:cs="Times New Roman"/>
              <w:sz w:val="24"/>
              <w:szCs w:val="24"/>
            </w:rPr>
            <w:fldChar w:fldCharType="begin"/>
          </w:r>
          <w:r w:rsidR="00C1190E" w:rsidRPr="00185F1A">
            <w:rPr>
              <w:rFonts w:ascii="Times New Roman" w:hAnsi="Times New Roman" w:cs="Times New Roman"/>
              <w:sz w:val="24"/>
              <w:szCs w:val="24"/>
            </w:rPr>
            <w:instrText xml:space="preserve"> CITATION Var22 \l 3082 </w:instrText>
          </w:r>
          <w:r w:rsidR="00C1190E" w:rsidRPr="00185F1A">
            <w:rPr>
              <w:rFonts w:ascii="Times New Roman" w:hAnsi="Times New Roman" w:cs="Times New Roman"/>
              <w:sz w:val="24"/>
              <w:szCs w:val="24"/>
            </w:rPr>
            <w:fldChar w:fldCharType="separate"/>
          </w:r>
          <w:r w:rsidR="00C1190E" w:rsidRPr="00185F1A">
            <w:rPr>
              <w:rFonts w:ascii="Times New Roman" w:hAnsi="Times New Roman" w:cs="Times New Roman"/>
              <w:noProof/>
              <w:sz w:val="24"/>
              <w:szCs w:val="24"/>
            </w:rPr>
            <w:t>(Vargas, 2022)</w:t>
          </w:r>
          <w:r w:rsidR="00C1190E" w:rsidRPr="00185F1A">
            <w:rPr>
              <w:rFonts w:ascii="Times New Roman" w:hAnsi="Times New Roman" w:cs="Times New Roman"/>
              <w:sz w:val="24"/>
              <w:szCs w:val="24"/>
            </w:rPr>
            <w:fldChar w:fldCharType="end"/>
          </w:r>
        </w:sdtContent>
      </w:sdt>
      <w:r w:rsidR="00C1190E" w:rsidRPr="00185F1A">
        <w:rPr>
          <w:rFonts w:ascii="Times New Roman" w:hAnsi="Times New Roman" w:cs="Times New Roman"/>
          <w:sz w:val="24"/>
          <w:szCs w:val="24"/>
        </w:rPr>
        <w:t>.</w:t>
      </w:r>
      <w:r w:rsidR="008234CF" w:rsidRPr="00185F1A">
        <w:rPr>
          <w:rFonts w:ascii="Times New Roman" w:hAnsi="Times New Roman" w:cs="Times New Roman"/>
          <w:sz w:val="24"/>
          <w:szCs w:val="24"/>
        </w:rPr>
        <w:t xml:space="preserve"> </w:t>
      </w:r>
    </w:p>
    <w:p w14:paraId="46A4332E" w14:textId="2DAA1E49" w:rsidR="008210DA" w:rsidRPr="00185F1A" w:rsidRDefault="008234CF" w:rsidP="000A789C">
      <w:pPr>
        <w:spacing w:line="240" w:lineRule="auto"/>
        <w:ind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Sin embargo, la seguridad turística es una componente importante en el desarrollo turístico y forma parte de la calidad turística, en el marco de un turismo sostenible. </w:t>
      </w:r>
      <w:sdt>
        <w:sdtPr>
          <w:rPr>
            <w:rFonts w:ascii="Times New Roman" w:hAnsi="Times New Roman" w:cs="Times New Roman"/>
            <w:sz w:val="24"/>
            <w:szCs w:val="24"/>
          </w:rPr>
          <w:id w:val="-490717931"/>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 CITATION Jim18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(Jiménez García &amp; Pérez Delgado, 2018)</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 Se quiere el resguardo de los visitantes y asegurar que estos tengan un retorno asegurado en las mejores condiciones</w:t>
      </w:r>
      <w:r w:rsidR="008E0AF8" w:rsidRPr="00185F1A">
        <w:rPr>
          <w:rFonts w:ascii="Times New Roman" w:hAnsi="Times New Roman" w:cs="Times New Roman"/>
          <w:sz w:val="24"/>
          <w:szCs w:val="24"/>
        </w:rPr>
        <w:t>,</w:t>
      </w:r>
      <w:r w:rsidRPr="00185F1A">
        <w:rPr>
          <w:rFonts w:ascii="Times New Roman" w:hAnsi="Times New Roman" w:cs="Times New Roman"/>
          <w:sz w:val="24"/>
          <w:szCs w:val="24"/>
        </w:rPr>
        <w:t xml:space="preserve"> pero también se busca seguridad para los residentes y el entorno.</w:t>
      </w:r>
    </w:p>
    <w:p w14:paraId="2658A918" w14:textId="251B4C85" w:rsidR="00E30F06" w:rsidRPr="00185F1A" w:rsidRDefault="00994388" w:rsidP="000A789C">
      <w:pPr>
        <w:pStyle w:val="Prrafodelista"/>
        <w:spacing w:line="240" w:lineRule="auto"/>
        <w:ind w:left="0"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La </w:t>
      </w:r>
      <w:r w:rsidR="00622779" w:rsidRPr="00185F1A">
        <w:rPr>
          <w:rFonts w:ascii="Times New Roman" w:hAnsi="Times New Roman" w:cs="Times New Roman"/>
          <w:sz w:val="24"/>
          <w:szCs w:val="24"/>
        </w:rPr>
        <w:t>OMT define</w:t>
      </w:r>
      <w:r w:rsidRPr="00185F1A">
        <w:rPr>
          <w:rFonts w:ascii="Times New Roman" w:hAnsi="Times New Roman" w:cs="Times New Roman"/>
          <w:sz w:val="24"/>
          <w:szCs w:val="24"/>
        </w:rPr>
        <w:t xml:space="preserve"> la Seguridad Turística como las acciones necesarias para asegurar la protección de la vida, la salud, la integridad física, psicológica y económica de los visitantes, prestadores de servicios y miembros de las comunidades receptoras </w:t>
      </w:r>
      <w:sdt>
        <w:sdtPr>
          <w:rPr>
            <w:rFonts w:ascii="Times New Roman" w:hAnsi="Times New Roman" w:cs="Times New Roman"/>
            <w:sz w:val="24"/>
            <w:szCs w:val="24"/>
          </w:rPr>
          <w:id w:val="269294193"/>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 CITATION Org13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(Organización de los Estados Americanos - OEA, 2013)</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w:t>
      </w:r>
      <w:r w:rsidR="00FD3050" w:rsidRPr="00185F1A">
        <w:rPr>
          <w:rFonts w:ascii="Times New Roman" w:hAnsi="Times New Roman" w:cs="Times New Roman"/>
          <w:sz w:val="24"/>
          <w:szCs w:val="24"/>
        </w:rPr>
        <w:t xml:space="preserve"> </w:t>
      </w:r>
      <w:r w:rsidR="000E326C" w:rsidRPr="00185F1A">
        <w:rPr>
          <w:rFonts w:ascii="Times New Roman" w:hAnsi="Times New Roman" w:cs="Times New Roman"/>
          <w:sz w:val="24"/>
          <w:szCs w:val="24"/>
        </w:rPr>
        <w:t>En este contexto</w:t>
      </w:r>
      <w:r w:rsidRPr="00185F1A">
        <w:rPr>
          <w:rFonts w:ascii="Times New Roman" w:hAnsi="Times New Roman" w:cs="Times New Roman"/>
          <w:sz w:val="24"/>
          <w:szCs w:val="24"/>
        </w:rPr>
        <w:t>, la seguridad turística es una variable de la seguridad ciudadana y se propone que deba ser analizada como parte de un sistema de seguridad integral</w:t>
      </w:r>
      <w:r w:rsidR="00D33441" w:rsidRPr="00185F1A">
        <w:rPr>
          <w:rFonts w:ascii="Times New Roman" w:hAnsi="Times New Roman" w:cs="Times New Roman"/>
          <w:sz w:val="24"/>
          <w:szCs w:val="24"/>
        </w:rPr>
        <w:t xml:space="preserve">, </w:t>
      </w:r>
      <w:r w:rsidRPr="00185F1A">
        <w:rPr>
          <w:rFonts w:ascii="Times New Roman" w:hAnsi="Times New Roman" w:cs="Times New Roman"/>
          <w:sz w:val="24"/>
          <w:szCs w:val="24"/>
        </w:rPr>
        <w:t>pero con sus propios indicadores o ejes de trabajo</w:t>
      </w:r>
      <w:sdt>
        <w:sdtPr>
          <w:rPr>
            <w:rFonts w:ascii="Times New Roman" w:hAnsi="Times New Roman" w:cs="Times New Roman"/>
            <w:sz w:val="24"/>
            <w:szCs w:val="24"/>
          </w:rPr>
          <w:id w:val="1383132414"/>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 CITATION Grü12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 xml:space="preserve"> (Grünewald, 2012)</w:t>
          </w:r>
          <w:r w:rsidRPr="00185F1A">
            <w:rPr>
              <w:rFonts w:ascii="Times New Roman" w:hAnsi="Times New Roman" w:cs="Times New Roman"/>
              <w:sz w:val="24"/>
              <w:szCs w:val="24"/>
            </w:rPr>
            <w:fldChar w:fldCharType="end"/>
          </w:r>
        </w:sdtContent>
      </w:sdt>
      <w:r w:rsidR="000E326C" w:rsidRPr="00185F1A">
        <w:rPr>
          <w:rFonts w:ascii="Times New Roman" w:hAnsi="Times New Roman" w:cs="Times New Roman"/>
          <w:sz w:val="24"/>
          <w:szCs w:val="24"/>
        </w:rPr>
        <w:t xml:space="preserve">. Grünewald (2012) por su parte </w:t>
      </w:r>
      <w:r w:rsidR="00E30F06" w:rsidRPr="00185F1A">
        <w:rPr>
          <w:rFonts w:ascii="Times New Roman" w:hAnsi="Times New Roman" w:cs="Times New Roman"/>
          <w:sz w:val="24"/>
          <w:szCs w:val="24"/>
        </w:rPr>
        <w:t>propone indicadores básicos que deberían tomarse en cuenta para la implementación de una política de seguridad en turismo</w:t>
      </w:r>
      <w:r w:rsidR="008E0AF8" w:rsidRPr="00185F1A">
        <w:rPr>
          <w:rFonts w:ascii="Times New Roman" w:hAnsi="Times New Roman" w:cs="Times New Roman"/>
          <w:sz w:val="24"/>
          <w:szCs w:val="24"/>
        </w:rPr>
        <w:t>.</w:t>
      </w:r>
      <w:r w:rsidR="000E326C" w:rsidRPr="00185F1A">
        <w:rPr>
          <w:rFonts w:ascii="Times New Roman" w:hAnsi="Times New Roman" w:cs="Times New Roman"/>
          <w:sz w:val="24"/>
          <w:szCs w:val="24"/>
        </w:rPr>
        <w:t xml:space="preserve"> Estos indicadores se pueden observar en la Figura </w:t>
      </w:r>
      <w:r w:rsidR="00F56B30" w:rsidRPr="00185F1A">
        <w:rPr>
          <w:rFonts w:ascii="Times New Roman" w:hAnsi="Times New Roman" w:cs="Times New Roman"/>
          <w:sz w:val="24"/>
          <w:szCs w:val="24"/>
        </w:rPr>
        <w:t>6 y se puede observar que el autor ha tomado en consideración, aspectos relacionados algunos aspectos relacionados con la seguridad multidimensional.</w:t>
      </w:r>
    </w:p>
    <w:p w14:paraId="05E97428" w14:textId="77777777" w:rsidR="000E326C" w:rsidRDefault="000E326C" w:rsidP="00185F1A">
      <w:pPr>
        <w:pStyle w:val="Prrafodelista"/>
        <w:ind w:left="0"/>
        <w:jc w:val="both"/>
        <w:rPr>
          <w:rFonts w:ascii="Times New Roman" w:hAnsi="Times New Roman" w:cs="Times New Roman"/>
          <w:b/>
          <w:bCs/>
          <w:sz w:val="24"/>
          <w:szCs w:val="24"/>
        </w:rPr>
      </w:pPr>
    </w:p>
    <w:p w14:paraId="7A35C8D3" w14:textId="77777777" w:rsidR="000A789C" w:rsidRDefault="000A789C" w:rsidP="00185F1A">
      <w:pPr>
        <w:pStyle w:val="Prrafodelista"/>
        <w:ind w:left="0"/>
        <w:jc w:val="both"/>
        <w:rPr>
          <w:rFonts w:ascii="Times New Roman" w:hAnsi="Times New Roman" w:cs="Times New Roman"/>
          <w:b/>
          <w:bCs/>
          <w:sz w:val="24"/>
          <w:szCs w:val="24"/>
        </w:rPr>
      </w:pPr>
    </w:p>
    <w:p w14:paraId="214282A3" w14:textId="77777777" w:rsidR="000A789C" w:rsidRDefault="000A789C" w:rsidP="00185F1A">
      <w:pPr>
        <w:pStyle w:val="Prrafodelista"/>
        <w:ind w:left="0"/>
        <w:jc w:val="both"/>
        <w:rPr>
          <w:rFonts w:ascii="Times New Roman" w:hAnsi="Times New Roman" w:cs="Times New Roman"/>
          <w:b/>
          <w:bCs/>
          <w:sz w:val="24"/>
          <w:szCs w:val="24"/>
        </w:rPr>
      </w:pPr>
    </w:p>
    <w:p w14:paraId="6A430947" w14:textId="77777777" w:rsidR="000A789C" w:rsidRPr="00185F1A" w:rsidRDefault="000A789C" w:rsidP="00185F1A">
      <w:pPr>
        <w:pStyle w:val="Prrafodelista"/>
        <w:ind w:left="0"/>
        <w:jc w:val="both"/>
        <w:rPr>
          <w:rFonts w:ascii="Times New Roman" w:hAnsi="Times New Roman" w:cs="Times New Roman"/>
          <w:b/>
          <w:bCs/>
          <w:sz w:val="24"/>
          <w:szCs w:val="24"/>
        </w:rPr>
      </w:pPr>
    </w:p>
    <w:p w14:paraId="6FFCB993" w14:textId="1BAD70DA" w:rsidR="00E30F06" w:rsidRPr="000A789C" w:rsidRDefault="00BA787B"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 xml:space="preserve">Figura </w:t>
      </w:r>
      <w:r w:rsidR="00355408" w:rsidRPr="00185F1A">
        <w:rPr>
          <w:rFonts w:ascii="Times New Roman" w:hAnsi="Times New Roman" w:cs="Times New Roman"/>
          <w:b/>
          <w:bCs/>
          <w:sz w:val="24"/>
          <w:szCs w:val="24"/>
        </w:rPr>
        <w:t>6</w:t>
      </w:r>
      <w:r w:rsidR="000A789C">
        <w:rPr>
          <w:rFonts w:ascii="Times New Roman" w:hAnsi="Times New Roman" w:cs="Times New Roman"/>
          <w:b/>
          <w:bCs/>
          <w:sz w:val="24"/>
          <w:szCs w:val="24"/>
        </w:rPr>
        <w:t xml:space="preserve">. </w:t>
      </w:r>
      <w:r w:rsidRPr="000A789C">
        <w:rPr>
          <w:rFonts w:ascii="Times New Roman" w:hAnsi="Times New Roman" w:cs="Times New Roman"/>
          <w:b/>
          <w:bCs/>
          <w:sz w:val="24"/>
          <w:szCs w:val="24"/>
        </w:rPr>
        <w:t>Elementos básicos para la elaboración de una política de seguridad turística</w:t>
      </w:r>
    </w:p>
    <w:p w14:paraId="30357434" w14:textId="77777777" w:rsidR="00CA7CA9" w:rsidRPr="000A789C" w:rsidRDefault="00CA7CA9" w:rsidP="00185F1A">
      <w:pPr>
        <w:pStyle w:val="Prrafodelista"/>
        <w:ind w:left="0"/>
        <w:jc w:val="both"/>
        <w:rPr>
          <w:rFonts w:ascii="Times New Roman" w:hAnsi="Times New Roman" w:cs="Times New Roman"/>
          <w:b/>
          <w:bCs/>
          <w:sz w:val="24"/>
          <w:szCs w:val="24"/>
        </w:rPr>
      </w:pPr>
    </w:p>
    <w:p w14:paraId="31B925C4" w14:textId="41532FA7" w:rsidR="00E30F06" w:rsidRPr="00185F1A" w:rsidRDefault="005252D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noProof/>
          <w:sz w:val="24"/>
          <w:szCs w:val="24"/>
        </w:rPr>
        <w:drawing>
          <wp:anchor distT="0" distB="0" distL="114300" distR="114300" simplePos="0" relativeHeight="251672576" behindDoc="1" locked="0" layoutInCell="1" allowOverlap="1" wp14:anchorId="0CB0F08A" wp14:editId="7C3B5DFC">
            <wp:simplePos x="0" y="0"/>
            <wp:positionH relativeFrom="column">
              <wp:posOffset>183515</wp:posOffset>
            </wp:positionH>
            <wp:positionV relativeFrom="paragraph">
              <wp:posOffset>69850</wp:posOffset>
            </wp:positionV>
            <wp:extent cx="5400040" cy="2844800"/>
            <wp:effectExtent l="0" t="0" r="0" b="12700"/>
            <wp:wrapTight wrapText="bothSides">
              <wp:wrapPolygon edited="0">
                <wp:start x="9068" y="0"/>
                <wp:lineTo x="5182" y="2025"/>
                <wp:lineTo x="5258" y="6943"/>
                <wp:lineTo x="2591" y="7232"/>
                <wp:lineTo x="2286" y="7377"/>
                <wp:lineTo x="2286" y="12295"/>
                <wp:lineTo x="5486" y="13886"/>
                <wp:lineTo x="6782" y="13886"/>
                <wp:lineTo x="1753" y="14609"/>
                <wp:lineTo x="1295" y="14754"/>
                <wp:lineTo x="1295" y="19816"/>
                <wp:lineTo x="5029" y="20829"/>
                <wp:lineTo x="9296" y="20829"/>
                <wp:lineTo x="9982" y="21552"/>
                <wp:lineTo x="10058" y="21552"/>
                <wp:lineTo x="11506" y="21552"/>
                <wp:lineTo x="11659" y="21552"/>
                <wp:lineTo x="12344" y="20829"/>
                <wp:lineTo x="16230" y="20829"/>
                <wp:lineTo x="20421" y="19671"/>
                <wp:lineTo x="20498" y="14754"/>
                <wp:lineTo x="19736" y="14464"/>
                <wp:lineTo x="14706" y="13886"/>
                <wp:lineTo x="16078" y="13886"/>
                <wp:lineTo x="19355" y="12295"/>
                <wp:lineTo x="19431" y="7521"/>
                <wp:lineTo x="18974" y="7232"/>
                <wp:lineTo x="16383" y="6943"/>
                <wp:lineTo x="16535" y="2170"/>
                <wp:lineTo x="15545" y="1446"/>
                <wp:lineTo x="12497" y="0"/>
                <wp:lineTo x="9068" y="0"/>
              </wp:wrapPolygon>
            </wp:wrapTight>
            <wp:docPr id="462118117"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p>
    <w:p w14:paraId="10FDB707" w14:textId="77777777" w:rsidR="00E30F06" w:rsidRPr="00185F1A" w:rsidRDefault="00E30F06" w:rsidP="00185F1A">
      <w:pPr>
        <w:pStyle w:val="Prrafodelista"/>
        <w:ind w:left="0"/>
        <w:jc w:val="both"/>
        <w:rPr>
          <w:rFonts w:ascii="Times New Roman" w:hAnsi="Times New Roman" w:cs="Times New Roman"/>
          <w:sz w:val="24"/>
          <w:szCs w:val="24"/>
        </w:rPr>
      </w:pPr>
    </w:p>
    <w:p w14:paraId="2C0107CA" w14:textId="77777777" w:rsidR="00E30F06" w:rsidRPr="00185F1A" w:rsidRDefault="00E30F06" w:rsidP="00185F1A">
      <w:pPr>
        <w:pStyle w:val="Prrafodelista"/>
        <w:ind w:left="0"/>
        <w:jc w:val="both"/>
        <w:rPr>
          <w:rFonts w:ascii="Times New Roman" w:hAnsi="Times New Roman" w:cs="Times New Roman"/>
          <w:sz w:val="24"/>
          <w:szCs w:val="24"/>
        </w:rPr>
      </w:pPr>
    </w:p>
    <w:p w14:paraId="654B014B" w14:textId="77777777" w:rsidR="00E30F06" w:rsidRPr="00185F1A" w:rsidRDefault="00E30F06" w:rsidP="00185F1A">
      <w:pPr>
        <w:pStyle w:val="Prrafodelista"/>
        <w:ind w:left="0"/>
        <w:jc w:val="both"/>
        <w:rPr>
          <w:rFonts w:ascii="Times New Roman" w:hAnsi="Times New Roman" w:cs="Times New Roman"/>
          <w:sz w:val="24"/>
          <w:szCs w:val="24"/>
        </w:rPr>
      </w:pPr>
    </w:p>
    <w:p w14:paraId="64FD1941" w14:textId="77777777" w:rsidR="00FD3050" w:rsidRPr="00185F1A" w:rsidRDefault="00FD3050" w:rsidP="00185F1A">
      <w:pPr>
        <w:pStyle w:val="Prrafodelista"/>
        <w:ind w:left="0"/>
        <w:jc w:val="both"/>
        <w:rPr>
          <w:rFonts w:ascii="Times New Roman" w:hAnsi="Times New Roman" w:cs="Times New Roman"/>
          <w:sz w:val="24"/>
          <w:szCs w:val="24"/>
        </w:rPr>
      </w:pPr>
    </w:p>
    <w:p w14:paraId="1EF555BF" w14:textId="77777777" w:rsidR="00FD3050" w:rsidRPr="00185F1A" w:rsidRDefault="00FD3050" w:rsidP="00185F1A">
      <w:pPr>
        <w:pStyle w:val="Prrafodelista"/>
        <w:ind w:left="0"/>
        <w:jc w:val="both"/>
        <w:rPr>
          <w:rFonts w:ascii="Times New Roman" w:hAnsi="Times New Roman" w:cs="Times New Roman"/>
          <w:sz w:val="24"/>
          <w:szCs w:val="24"/>
        </w:rPr>
      </w:pPr>
    </w:p>
    <w:p w14:paraId="285ECCF8" w14:textId="482ECFA8" w:rsidR="00B30EB5" w:rsidRPr="00185F1A" w:rsidRDefault="00B30EB5" w:rsidP="00185F1A">
      <w:pPr>
        <w:pStyle w:val="Prrafodelista"/>
        <w:ind w:left="0"/>
        <w:jc w:val="both"/>
        <w:rPr>
          <w:rFonts w:ascii="Times New Roman" w:hAnsi="Times New Roman" w:cs="Times New Roman"/>
          <w:sz w:val="24"/>
          <w:szCs w:val="24"/>
        </w:rPr>
      </w:pPr>
    </w:p>
    <w:p w14:paraId="78C091CC" w14:textId="77777777" w:rsidR="005252D7" w:rsidRPr="00185F1A" w:rsidRDefault="005252D7" w:rsidP="00185F1A">
      <w:pPr>
        <w:pStyle w:val="Prrafodelista"/>
        <w:ind w:left="0"/>
        <w:jc w:val="both"/>
        <w:rPr>
          <w:rFonts w:ascii="Times New Roman" w:hAnsi="Times New Roman" w:cs="Times New Roman"/>
          <w:b/>
          <w:bCs/>
          <w:sz w:val="24"/>
          <w:szCs w:val="24"/>
        </w:rPr>
      </w:pPr>
    </w:p>
    <w:p w14:paraId="1B3C4D5C" w14:textId="77777777" w:rsidR="005252D7" w:rsidRPr="00185F1A" w:rsidRDefault="005252D7" w:rsidP="00185F1A">
      <w:pPr>
        <w:pStyle w:val="Prrafodelista"/>
        <w:ind w:left="0"/>
        <w:jc w:val="both"/>
        <w:rPr>
          <w:rFonts w:ascii="Times New Roman" w:hAnsi="Times New Roman" w:cs="Times New Roman"/>
          <w:b/>
          <w:bCs/>
          <w:sz w:val="24"/>
          <w:szCs w:val="24"/>
        </w:rPr>
      </w:pPr>
    </w:p>
    <w:p w14:paraId="3FCEC30B" w14:textId="77777777" w:rsidR="005252D7" w:rsidRPr="00185F1A" w:rsidRDefault="005252D7" w:rsidP="00185F1A">
      <w:pPr>
        <w:pStyle w:val="Prrafodelista"/>
        <w:ind w:left="0"/>
        <w:jc w:val="both"/>
        <w:rPr>
          <w:rFonts w:ascii="Times New Roman" w:hAnsi="Times New Roman" w:cs="Times New Roman"/>
          <w:b/>
          <w:bCs/>
          <w:sz w:val="24"/>
          <w:szCs w:val="24"/>
        </w:rPr>
      </w:pPr>
    </w:p>
    <w:p w14:paraId="4F630667" w14:textId="77777777" w:rsidR="005252D7" w:rsidRPr="00185F1A" w:rsidRDefault="005252D7" w:rsidP="00185F1A">
      <w:pPr>
        <w:pStyle w:val="Prrafodelista"/>
        <w:ind w:left="0"/>
        <w:jc w:val="both"/>
        <w:rPr>
          <w:rFonts w:ascii="Times New Roman" w:hAnsi="Times New Roman" w:cs="Times New Roman"/>
          <w:b/>
          <w:bCs/>
          <w:sz w:val="24"/>
          <w:szCs w:val="24"/>
        </w:rPr>
      </w:pPr>
    </w:p>
    <w:p w14:paraId="0FB783CB" w14:textId="77777777" w:rsidR="005252D7" w:rsidRPr="00185F1A" w:rsidRDefault="005252D7" w:rsidP="00185F1A">
      <w:pPr>
        <w:pStyle w:val="Prrafodelista"/>
        <w:ind w:left="0"/>
        <w:jc w:val="both"/>
        <w:rPr>
          <w:rFonts w:ascii="Times New Roman" w:hAnsi="Times New Roman" w:cs="Times New Roman"/>
          <w:b/>
          <w:bCs/>
          <w:sz w:val="24"/>
          <w:szCs w:val="24"/>
        </w:rPr>
      </w:pPr>
    </w:p>
    <w:p w14:paraId="6F7FC1E1" w14:textId="77777777" w:rsidR="005252D7" w:rsidRPr="00185F1A" w:rsidRDefault="005252D7" w:rsidP="00185F1A">
      <w:pPr>
        <w:pStyle w:val="Prrafodelista"/>
        <w:ind w:left="0"/>
        <w:jc w:val="both"/>
        <w:rPr>
          <w:rFonts w:ascii="Times New Roman" w:hAnsi="Times New Roman" w:cs="Times New Roman"/>
          <w:b/>
          <w:bCs/>
          <w:sz w:val="24"/>
          <w:szCs w:val="24"/>
        </w:rPr>
      </w:pPr>
    </w:p>
    <w:p w14:paraId="41A12707" w14:textId="77777777" w:rsidR="005252D7" w:rsidRPr="00185F1A" w:rsidRDefault="005252D7" w:rsidP="00185F1A">
      <w:pPr>
        <w:pStyle w:val="Prrafodelista"/>
        <w:ind w:left="0"/>
        <w:jc w:val="both"/>
        <w:rPr>
          <w:rFonts w:ascii="Times New Roman" w:hAnsi="Times New Roman" w:cs="Times New Roman"/>
          <w:b/>
          <w:bCs/>
          <w:sz w:val="24"/>
          <w:szCs w:val="24"/>
        </w:rPr>
      </w:pPr>
    </w:p>
    <w:p w14:paraId="560982CA" w14:textId="77777777" w:rsidR="000A789C" w:rsidRDefault="000A789C" w:rsidP="00185F1A">
      <w:pPr>
        <w:pStyle w:val="Prrafodelista"/>
        <w:ind w:left="0"/>
        <w:jc w:val="both"/>
        <w:rPr>
          <w:rFonts w:ascii="Times New Roman" w:hAnsi="Times New Roman" w:cs="Times New Roman"/>
          <w:b/>
          <w:bCs/>
          <w:sz w:val="24"/>
          <w:szCs w:val="24"/>
        </w:rPr>
      </w:pPr>
    </w:p>
    <w:p w14:paraId="7525FF33" w14:textId="77777777" w:rsidR="000A789C" w:rsidRDefault="000A789C" w:rsidP="00185F1A">
      <w:pPr>
        <w:pStyle w:val="Prrafodelista"/>
        <w:ind w:left="0"/>
        <w:jc w:val="both"/>
        <w:rPr>
          <w:rFonts w:ascii="Times New Roman" w:hAnsi="Times New Roman" w:cs="Times New Roman"/>
          <w:b/>
          <w:bCs/>
          <w:sz w:val="24"/>
          <w:szCs w:val="24"/>
        </w:rPr>
      </w:pPr>
    </w:p>
    <w:p w14:paraId="471F1076" w14:textId="77777777" w:rsidR="000A789C" w:rsidRDefault="000A789C" w:rsidP="00185F1A">
      <w:pPr>
        <w:pStyle w:val="Prrafodelista"/>
        <w:ind w:left="0"/>
        <w:jc w:val="both"/>
        <w:rPr>
          <w:rFonts w:ascii="Times New Roman" w:hAnsi="Times New Roman" w:cs="Times New Roman"/>
          <w:b/>
          <w:bCs/>
          <w:sz w:val="24"/>
          <w:szCs w:val="24"/>
        </w:rPr>
      </w:pPr>
    </w:p>
    <w:p w14:paraId="1A6AC518" w14:textId="4DBC2D34" w:rsidR="005252D7" w:rsidRPr="00185F1A" w:rsidRDefault="005252D7"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 xml:space="preserve">Fuente: </w:t>
      </w:r>
      <w:sdt>
        <w:sdtPr>
          <w:rPr>
            <w:rFonts w:ascii="Times New Roman" w:hAnsi="Times New Roman" w:cs="Times New Roman"/>
            <w:b/>
            <w:bCs/>
            <w:sz w:val="24"/>
            <w:szCs w:val="24"/>
          </w:rPr>
          <w:id w:val="94526378"/>
          <w:citation/>
        </w:sdtPr>
        <w:sdtContent>
          <w:r w:rsidRPr="00185F1A">
            <w:rPr>
              <w:rFonts w:ascii="Times New Roman" w:hAnsi="Times New Roman" w:cs="Times New Roman"/>
              <w:b/>
              <w:bCs/>
              <w:sz w:val="24"/>
              <w:szCs w:val="24"/>
            </w:rPr>
            <w:fldChar w:fldCharType="begin"/>
          </w:r>
          <w:r w:rsidRPr="00185F1A">
            <w:rPr>
              <w:rFonts w:ascii="Times New Roman" w:hAnsi="Times New Roman" w:cs="Times New Roman"/>
              <w:b/>
              <w:bCs/>
              <w:sz w:val="24"/>
              <w:szCs w:val="24"/>
            </w:rPr>
            <w:instrText xml:space="preserve"> CITATION Grü12 \l 3082 </w:instrText>
          </w:r>
          <w:r w:rsidRPr="00185F1A">
            <w:rPr>
              <w:rFonts w:ascii="Times New Roman" w:hAnsi="Times New Roman" w:cs="Times New Roman"/>
              <w:b/>
              <w:bCs/>
              <w:sz w:val="24"/>
              <w:szCs w:val="24"/>
            </w:rPr>
            <w:fldChar w:fldCharType="separate"/>
          </w:r>
          <w:r w:rsidRPr="00185F1A">
            <w:rPr>
              <w:rFonts w:ascii="Times New Roman" w:hAnsi="Times New Roman" w:cs="Times New Roman"/>
              <w:noProof/>
              <w:sz w:val="24"/>
              <w:szCs w:val="24"/>
            </w:rPr>
            <w:t>(Grünewald, 2012)</w:t>
          </w:r>
          <w:r w:rsidRPr="00185F1A">
            <w:rPr>
              <w:rFonts w:ascii="Times New Roman" w:hAnsi="Times New Roman" w:cs="Times New Roman"/>
              <w:b/>
              <w:bCs/>
              <w:sz w:val="24"/>
              <w:szCs w:val="24"/>
            </w:rPr>
            <w:fldChar w:fldCharType="end"/>
          </w:r>
        </w:sdtContent>
      </w:sdt>
    </w:p>
    <w:p w14:paraId="4AC2B983" w14:textId="77777777" w:rsidR="009A3A45" w:rsidRPr="00185F1A" w:rsidRDefault="009A3A45" w:rsidP="00185F1A">
      <w:pPr>
        <w:pStyle w:val="Prrafodelista"/>
        <w:ind w:left="0"/>
        <w:jc w:val="both"/>
        <w:rPr>
          <w:rFonts w:ascii="Times New Roman" w:hAnsi="Times New Roman" w:cs="Times New Roman"/>
          <w:b/>
          <w:bCs/>
          <w:sz w:val="24"/>
          <w:szCs w:val="24"/>
        </w:rPr>
      </w:pPr>
    </w:p>
    <w:p w14:paraId="3F6DDC58" w14:textId="77777777" w:rsidR="000E326C" w:rsidRPr="00185F1A" w:rsidRDefault="000E326C" w:rsidP="00185F1A">
      <w:pPr>
        <w:pStyle w:val="Prrafodelista"/>
        <w:spacing w:line="360" w:lineRule="auto"/>
        <w:ind w:left="0"/>
        <w:jc w:val="both"/>
        <w:rPr>
          <w:rFonts w:ascii="Times New Roman" w:hAnsi="Times New Roman" w:cs="Times New Roman"/>
          <w:sz w:val="24"/>
          <w:szCs w:val="24"/>
        </w:rPr>
      </w:pPr>
    </w:p>
    <w:p w14:paraId="256353CC" w14:textId="6819C37F" w:rsidR="008E0AF8" w:rsidRPr="00185F1A" w:rsidRDefault="008E0AF8" w:rsidP="000A789C">
      <w:pPr>
        <w:pStyle w:val="Prrafodelista"/>
        <w:spacing w:line="240" w:lineRule="auto"/>
        <w:ind w:left="0"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La seguridad humana y seguridad multidimensional son conceptos que engloban casi los mismos aspectos, sin embargo, existen diferencias entre ambos conceptos. Mientras que la seguridad humana se enfoca en el ser humano para brindarle condiciones de desarrollo y de bienestar, la seguridad multidimensional concibe amenazas de diferente naturaleza que pueden crear inestabilidad para el Estado, incluidos los aspectos de seguridad humana. </w:t>
      </w:r>
      <w:sdt>
        <w:sdtPr>
          <w:rPr>
            <w:rFonts w:ascii="Times New Roman" w:hAnsi="Times New Roman" w:cs="Times New Roman"/>
            <w:sz w:val="24"/>
            <w:szCs w:val="24"/>
          </w:rPr>
          <w:id w:val="-1839466171"/>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 CITATION Ace22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(Acevedo-Navas, Ballesteros-Betancur, &amp; Corcione, 2022)</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 En el 2016, Naciones Unidas publicó las condiciones, elementos y principios fundamentales para la seguridad humana, que comprenden siete dimensiones:</w:t>
      </w:r>
    </w:p>
    <w:p w14:paraId="76000C12" w14:textId="77777777" w:rsidR="002303D4" w:rsidRPr="00185F1A" w:rsidRDefault="002303D4" w:rsidP="00185F1A">
      <w:pPr>
        <w:pStyle w:val="Prrafodelista"/>
        <w:ind w:left="0"/>
        <w:jc w:val="both"/>
        <w:rPr>
          <w:rFonts w:ascii="Times New Roman" w:hAnsi="Times New Roman" w:cs="Times New Roman"/>
          <w:b/>
          <w:bCs/>
          <w:sz w:val="24"/>
          <w:szCs w:val="24"/>
        </w:rPr>
      </w:pPr>
    </w:p>
    <w:p w14:paraId="6016082A" w14:textId="6302F2CA" w:rsidR="008E0AF8" w:rsidRPr="00DD13E9"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 xml:space="preserve">Tabla </w:t>
      </w:r>
      <w:r w:rsidR="009F3ED0" w:rsidRPr="00185F1A">
        <w:rPr>
          <w:rFonts w:ascii="Times New Roman" w:hAnsi="Times New Roman" w:cs="Times New Roman"/>
          <w:b/>
          <w:bCs/>
          <w:sz w:val="24"/>
          <w:szCs w:val="24"/>
        </w:rPr>
        <w:t>1</w:t>
      </w:r>
      <w:r w:rsidR="00DD13E9">
        <w:rPr>
          <w:rFonts w:ascii="Times New Roman" w:hAnsi="Times New Roman" w:cs="Times New Roman"/>
          <w:b/>
          <w:bCs/>
          <w:sz w:val="24"/>
          <w:szCs w:val="24"/>
        </w:rPr>
        <w:t xml:space="preserve">. </w:t>
      </w:r>
      <w:r w:rsidRPr="00DD13E9">
        <w:rPr>
          <w:rFonts w:ascii="Times New Roman" w:hAnsi="Times New Roman" w:cs="Times New Roman"/>
          <w:b/>
          <w:bCs/>
          <w:sz w:val="24"/>
          <w:szCs w:val="24"/>
        </w:rPr>
        <w:t>Dimensiones de la Seguridad Humana</w:t>
      </w:r>
    </w:p>
    <w:p w14:paraId="48442FB7" w14:textId="77777777" w:rsidR="008E0AF8" w:rsidRPr="00DD13E9" w:rsidRDefault="008E0AF8" w:rsidP="00185F1A">
      <w:pPr>
        <w:pStyle w:val="Prrafodelista"/>
        <w:ind w:left="0"/>
        <w:jc w:val="both"/>
        <w:rPr>
          <w:rFonts w:ascii="Times New Roman" w:hAnsi="Times New Roman" w:cs="Times New Roman"/>
          <w:b/>
          <w:bCs/>
          <w:sz w:val="24"/>
          <w:szCs w:val="24"/>
        </w:rPr>
      </w:pPr>
    </w:p>
    <w:tbl>
      <w:tblPr>
        <w:tblStyle w:val="Tablaconcuadrcula"/>
        <w:tblW w:w="8642" w:type="dxa"/>
        <w:tblBorders>
          <w:top w:val="single" w:sz="4" w:space="0" w:color="215E99" w:themeColor="text2" w:themeTint="BF"/>
          <w:left w:val="single" w:sz="4" w:space="0" w:color="215E99" w:themeColor="text2" w:themeTint="BF"/>
          <w:bottom w:val="single" w:sz="4" w:space="0" w:color="215E99" w:themeColor="text2" w:themeTint="BF"/>
          <w:right w:val="single" w:sz="4" w:space="0" w:color="215E99" w:themeColor="text2" w:themeTint="BF"/>
          <w:insideH w:val="single" w:sz="4" w:space="0" w:color="215E99" w:themeColor="text2" w:themeTint="BF"/>
          <w:insideV w:val="single" w:sz="4" w:space="0" w:color="215E99" w:themeColor="text2" w:themeTint="BF"/>
        </w:tblBorders>
        <w:tblLook w:val="04A0" w:firstRow="1" w:lastRow="0" w:firstColumn="1" w:lastColumn="0" w:noHBand="0" w:noVBand="1"/>
      </w:tblPr>
      <w:tblGrid>
        <w:gridCol w:w="2547"/>
        <w:gridCol w:w="6095"/>
      </w:tblGrid>
      <w:tr w:rsidR="008E0AF8" w:rsidRPr="00185F1A" w14:paraId="16A863FE" w14:textId="77777777" w:rsidTr="008E0AF8">
        <w:trPr>
          <w:trHeight w:val="458"/>
        </w:trPr>
        <w:tc>
          <w:tcPr>
            <w:tcW w:w="8642" w:type="dxa"/>
            <w:gridSpan w:val="2"/>
            <w:shd w:val="clear" w:color="auto" w:fill="DAE9F7" w:themeFill="text2" w:themeFillTint="1A"/>
            <w:vAlign w:val="center"/>
          </w:tcPr>
          <w:p w14:paraId="7AE74E01"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Dimensiones de la Seguridad Humana</w:t>
            </w:r>
          </w:p>
        </w:tc>
      </w:tr>
      <w:tr w:rsidR="008E0AF8" w:rsidRPr="00185F1A" w14:paraId="14CB99D2" w14:textId="77777777" w:rsidTr="008E0AF8">
        <w:tc>
          <w:tcPr>
            <w:tcW w:w="2547" w:type="dxa"/>
            <w:vAlign w:val="center"/>
          </w:tcPr>
          <w:p w14:paraId="5510C2D7"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Seguridad económica</w:t>
            </w:r>
          </w:p>
        </w:tc>
        <w:tc>
          <w:tcPr>
            <w:tcW w:w="6095" w:type="dxa"/>
            <w:vAlign w:val="center"/>
          </w:tcPr>
          <w:p w14:paraId="7F0F9B73" w14:textId="77777777" w:rsidR="008E0AF8" w:rsidRPr="00185F1A" w:rsidRDefault="008E0AF8"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Reducidas brechas de pobreza. Empleo digno. Acceso al crédito formal responsable</w:t>
            </w:r>
          </w:p>
        </w:tc>
      </w:tr>
      <w:tr w:rsidR="008E0AF8" w:rsidRPr="00185F1A" w14:paraId="0EE87C8B" w14:textId="77777777" w:rsidTr="008E0AF8">
        <w:tc>
          <w:tcPr>
            <w:tcW w:w="2547" w:type="dxa"/>
            <w:vAlign w:val="center"/>
          </w:tcPr>
          <w:p w14:paraId="61D8B752"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Seguridad alimentaria</w:t>
            </w:r>
          </w:p>
        </w:tc>
        <w:tc>
          <w:tcPr>
            <w:tcW w:w="6095" w:type="dxa"/>
            <w:vAlign w:val="center"/>
          </w:tcPr>
          <w:p w14:paraId="51FDC12B" w14:textId="77777777" w:rsidR="008E0AF8" w:rsidRPr="00185F1A" w:rsidRDefault="008E0AF8"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Hambre cero. Precio justo de los alimentos y accesibilidad a los mismos</w:t>
            </w:r>
          </w:p>
        </w:tc>
      </w:tr>
      <w:tr w:rsidR="008E0AF8" w:rsidRPr="00185F1A" w14:paraId="47796C3F" w14:textId="77777777" w:rsidTr="008E0AF8">
        <w:tc>
          <w:tcPr>
            <w:tcW w:w="2547" w:type="dxa"/>
            <w:vAlign w:val="center"/>
          </w:tcPr>
          <w:p w14:paraId="07FEA5E2"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Seguridad en Salud</w:t>
            </w:r>
          </w:p>
        </w:tc>
        <w:tc>
          <w:tcPr>
            <w:tcW w:w="6095" w:type="dxa"/>
            <w:vAlign w:val="center"/>
          </w:tcPr>
          <w:p w14:paraId="4F2E8A38" w14:textId="77777777" w:rsidR="008E0AF8" w:rsidRPr="00185F1A" w:rsidRDefault="008E0AF8"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Hospitales adecuados. Acceso a servicios básicos de salud. Nutrición adecuada. Reducción de enfermedades endémicas y epidémicas.</w:t>
            </w:r>
          </w:p>
        </w:tc>
      </w:tr>
      <w:tr w:rsidR="008E0AF8" w:rsidRPr="00185F1A" w14:paraId="1C6C452A" w14:textId="77777777" w:rsidTr="008E0AF8">
        <w:tc>
          <w:tcPr>
            <w:tcW w:w="2547" w:type="dxa"/>
            <w:vAlign w:val="center"/>
          </w:tcPr>
          <w:p w14:paraId="183A87ED"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lastRenderedPageBreak/>
              <w:t>Seguridad ambiental</w:t>
            </w:r>
          </w:p>
        </w:tc>
        <w:tc>
          <w:tcPr>
            <w:tcW w:w="6095" w:type="dxa"/>
            <w:vAlign w:val="center"/>
          </w:tcPr>
          <w:p w14:paraId="187D5D2D" w14:textId="77777777" w:rsidR="008E0AF8" w:rsidRPr="00185F1A" w:rsidRDefault="008E0AF8"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Protección del medio ambiente. Uso sostenible de los recursos naturales. Estrategias de economía circular. Prevención de desastres.</w:t>
            </w:r>
          </w:p>
        </w:tc>
      </w:tr>
      <w:tr w:rsidR="008E0AF8" w:rsidRPr="00185F1A" w14:paraId="194B75B5" w14:textId="77777777" w:rsidTr="008E0AF8">
        <w:tc>
          <w:tcPr>
            <w:tcW w:w="2547" w:type="dxa"/>
            <w:vAlign w:val="center"/>
          </w:tcPr>
          <w:p w14:paraId="00A6307B"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Seguridad Personal</w:t>
            </w:r>
          </w:p>
        </w:tc>
        <w:tc>
          <w:tcPr>
            <w:tcW w:w="6095" w:type="dxa"/>
            <w:vAlign w:val="center"/>
          </w:tcPr>
          <w:p w14:paraId="029E9875" w14:textId="77777777" w:rsidR="008E0AF8" w:rsidRPr="00185F1A" w:rsidRDefault="008E0AF8"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Reducción de la violencia física en todas sus formas, reducción de la trata de personas y la explotación infantil.</w:t>
            </w:r>
          </w:p>
        </w:tc>
      </w:tr>
      <w:tr w:rsidR="008E0AF8" w:rsidRPr="00185F1A" w14:paraId="0AC4D234" w14:textId="77777777" w:rsidTr="008E0AF8">
        <w:tc>
          <w:tcPr>
            <w:tcW w:w="2547" w:type="dxa"/>
            <w:vAlign w:val="center"/>
          </w:tcPr>
          <w:p w14:paraId="7EEF5E60"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Seguridad de la Comunidad</w:t>
            </w:r>
          </w:p>
        </w:tc>
        <w:tc>
          <w:tcPr>
            <w:tcW w:w="6095" w:type="dxa"/>
            <w:vAlign w:val="center"/>
          </w:tcPr>
          <w:p w14:paraId="40049494" w14:textId="77777777" w:rsidR="008E0AF8" w:rsidRPr="00185F1A" w:rsidRDefault="008E0AF8"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Terrorismo, crimen organizado y conflictos sociales reducidos.</w:t>
            </w:r>
          </w:p>
        </w:tc>
      </w:tr>
      <w:tr w:rsidR="008E0AF8" w:rsidRPr="00185F1A" w14:paraId="0212DF7A" w14:textId="77777777" w:rsidTr="008E0AF8">
        <w:tc>
          <w:tcPr>
            <w:tcW w:w="2547" w:type="dxa"/>
            <w:vAlign w:val="center"/>
          </w:tcPr>
          <w:p w14:paraId="3BC0BF9A" w14:textId="77777777" w:rsidR="008E0AF8" w:rsidRPr="00185F1A" w:rsidRDefault="008E0AF8"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Seguridad Política</w:t>
            </w:r>
          </w:p>
        </w:tc>
        <w:tc>
          <w:tcPr>
            <w:tcW w:w="6095" w:type="dxa"/>
            <w:vAlign w:val="center"/>
          </w:tcPr>
          <w:p w14:paraId="6C833EF3" w14:textId="77777777" w:rsidR="008E0AF8" w:rsidRPr="00185F1A" w:rsidRDefault="008E0AF8"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Respeto por los derechos humanos, la ley y la justicia, inexistencia de represión política.</w:t>
            </w:r>
          </w:p>
        </w:tc>
      </w:tr>
    </w:tbl>
    <w:p w14:paraId="2913EDB7" w14:textId="77777777" w:rsidR="008E0AF8" w:rsidRPr="00185F1A" w:rsidRDefault="008E0AF8" w:rsidP="00185F1A">
      <w:pPr>
        <w:jc w:val="both"/>
        <w:rPr>
          <w:rFonts w:ascii="Times New Roman" w:hAnsi="Times New Roman" w:cs="Times New Roman"/>
          <w:sz w:val="24"/>
          <w:szCs w:val="24"/>
        </w:rPr>
      </w:pPr>
      <w:r w:rsidRPr="00DD13E9">
        <w:rPr>
          <w:rFonts w:ascii="Times New Roman" w:hAnsi="Times New Roman" w:cs="Times New Roman"/>
          <w:b/>
          <w:bCs/>
          <w:sz w:val="24"/>
          <w:szCs w:val="24"/>
        </w:rPr>
        <w:t>Fuente:</w:t>
      </w:r>
      <w:r w:rsidRPr="00185F1A">
        <w:rPr>
          <w:rFonts w:ascii="Times New Roman" w:hAnsi="Times New Roman" w:cs="Times New Roman"/>
          <w:sz w:val="24"/>
          <w:szCs w:val="24"/>
        </w:rPr>
        <w:t xml:space="preserve"> </w:t>
      </w:r>
      <w:sdt>
        <w:sdtPr>
          <w:rPr>
            <w:rFonts w:ascii="Times New Roman" w:hAnsi="Times New Roman" w:cs="Times New Roman"/>
            <w:sz w:val="24"/>
            <w:szCs w:val="24"/>
          </w:rPr>
          <w:id w:val="-436592017"/>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CITATION Uni16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(United Nations, 2016)</w:t>
          </w:r>
          <w:r w:rsidRPr="00185F1A">
            <w:rPr>
              <w:rFonts w:ascii="Times New Roman" w:hAnsi="Times New Roman" w:cs="Times New Roman"/>
              <w:sz w:val="24"/>
              <w:szCs w:val="24"/>
            </w:rPr>
            <w:fldChar w:fldCharType="end"/>
          </w:r>
        </w:sdtContent>
      </w:sdt>
    </w:p>
    <w:p w14:paraId="5CA92F75" w14:textId="77777777" w:rsidR="00DD13E9" w:rsidRDefault="00DD13E9" w:rsidP="00185F1A">
      <w:pPr>
        <w:pStyle w:val="Prrafodelista"/>
        <w:spacing w:line="240" w:lineRule="auto"/>
        <w:ind w:left="0"/>
        <w:jc w:val="both"/>
        <w:rPr>
          <w:rFonts w:ascii="Times New Roman" w:hAnsi="Times New Roman" w:cs="Times New Roman"/>
          <w:sz w:val="24"/>
          <w:szCs w:val="24"/>
        </w:rPr>
      </w:pPr>
    </w:p>
    <w:p w14:paraId="3921FEFA" w14:textId="03292626" w:rsidR="008E0AF8" w:rsidRPr="00185F1A" w:rsidRDefault="008E0AF8" w:rsidP="00DD13E9">
      <w:pPr>
        <w:pStyle w:val="Prrafodelista"/>
        <w:spacing w:line="240" w:lineRule="auto"/>
        <w:ind w:left="0" w:firstLine="708"/>
        <w:jc w:val="both"/>
        <w:rPr>
          <w:rFonts w:ascii="Times New Roman" w:hAnsi="Times New Roman" w:cs="Times New Roman"/>
          <w:sz w:val="24"/>
          <w:szCs w:val="24"/>
        </w:rPr>
      </w:pPr>
      <w:r w:rsidRPr="00185F1A">
        <w:rPr>
          <w:rFonts w:ascii="Times New Roman" w:hAnsi="Times New Roman" w:cs="Times New Roman"/>
          <w:sz w:val="24"/>
          <w:szCs w:val="24"/>
        </w:rPr>
        <w:t>Estas dimensiones sintetizan las necesidades en seguridad que la población de un territorio necesita para poder alcanzar el desarrollo sostenible, por ell</w:t>
      </w:r>
      <w:r w:rsidR="000E326C" w:rsidRPr="00185F1A">
        <w:rPr>
          <w:rFonts w:ascii="Times New Roman" w:hAnsi="Times New Roman" w:cs="Times New Roman"/>
          <w:sz w:val="24"/>
          <w:szCs w:val="24"/>
        </w:rPr>
        <w:t>o la</w:t>
      </w:r>
      <w:r w:rsidRPr="00185F1A">
        <w:rPr>
          <w:rFonts w:ascii="Times New Roman" w:hAnsi="Times New Roman" w:cs="Times New Roman"/>
          <w:sz w:val="24"/>
          <w:szCs w:val="24"/>
        </w:rPr>
        <w:t xml:space="preserve"> importancia del rol del Estado en la creación de condiciones para fortalecer a la población frente a las diferentes amenazas que puedan afectar su seguridad </w:t>
      </w:r>
      <w:sdt>
        <w:sdtPr>
          <w:rPr>
            <w:rFonts w:ascii="Times New Roman" w:hAnsi="Times New Roman" w:cs="Times New Roman"/>
            <w:sz w:val="24"/>
            <w:szCs w:val="24"/>
          </w:rPr>
          <w:id w:val="1164515363"/>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 CITATION Gar11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(García Cobarrubias, 2011)</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 xml:space="preserve"> que luego será la base para trabajar la competitividad de los destinos turísticos </w:t>
      </w:r>
      <w:sdt>
        <w:sdtPr>
          <w:rPr>
            <w:rFonts w:ascii="Times New Roman" w:hAnsi="Times New Roman" w:cs="Times New Roman"/>
            <w:sz w:val="24"/>
            <w:szCs w:val="24"/>
          </w:rPr>
          <w:id w:val="-229224973"/>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 CITATION Per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(Perles, 2022)</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w:t>
      </w:r>
    </w:p>
    <w:p w14:paraId="46564A1B" w14:textId="2B9ED250" w:rsidR="009A3A45" w:rsidRDefault="00E93807" w:rsidP="00185F1A">
      <w:pPr>
        <w:pStyle w:val="Prrafodelista"/>
        <w:spacing w:line="240" w:lineRule="auto"/>
        <w:ind w:left="0"/>
        <w:jc w:val="both"/>
        <w:rPr>
          <w:rFonts w:ascii="Times New Roman" w:hAnsi="Times New Roman" w:cs="Times New Roman"/>
          <w:sz w:val="24"/>
          <w:szCs w:val="24"/>
        </w:rPr>
      </w:pPr>
      <w:r w:rsidRPr="00185F1A">
        <w:rPr>
          <w:rFonts w:ascii="Times New Roman" w:hAnsi="Times New Roman" w:cs="Times New Roman"/>
          <w:sz w:val="24"/>
          <w:szCs w:val="24"/>
        </w:rPr>
        <w:t xml:space="preserve">Asimismo, la OMT </w:t>
      </w:r>
      <w:r w:rsidR="000E326C" w:rsidRPr="00185F1A">
        <w:rPr>
          <w:rFonts w:ascii="Times New Roman" w:hAnsi="Times New Roman" w:cs="Times New Roman"/>
          <w:sz w:val="24"/>
          <w:szCs w:val="24"/>
        </w:rPr>
        <w:t xml:space="preserve">en común colaboración con </w:t>
      </w:r>
      <w:r w:rsidRPr="00185F1A">
        <w:rPr>
          <w:rFonts w:ascii="Times New Roman" w:hAnsi="Times New Roman" w:cs="Times New Roman"/>
          <w:sz w:val="24"/>
          <w:szCs w:val="24"/>
        </w:rPr>
        <w:t xml:space="preserve">la Agencia de Desarrollo de la Unión Africana y </w:t>
      </w:r>
      <w:r w:rsidR="009A20C8" w:rsidRPr="00185F1A">
        <w:rPr>
          <w:rFonts w:ascii="Times New Roman" w:hAnsi="Times New Roman" w:cs="Times New Roman"/>
          <w:sz w:val="24"/>
          <w:szCs w:val="24"/>
        </w:rPr>
        <w:t>la Unión Económica y Monetaria del Oeste Africano</w:t>
      </w:r>
      <w:r w:rsidR="009A20C8" w:rsidRPr="00185F1A">
        <w:rPr>
          <w:rFonts w:ascii="Times New Roman" w:hAnsi="Times New Roman" w:cs="Times New Roman"/>
          <w:b/>
          <w:bCs/>
          <w:sz w:val="24"/>
          <w:szCs w:val="24"/>
        </w:rPr>
        <w:t xml:space="preserve"> </w:t>
      </w:r>
      <w:sdt>
        <w:sdtPr>
          <w:rPr>
            <w:rFonts w:ascii="Times New Roman" w:hAnsi="Times New Roman" w:cs="Times New Roman"/>
            <w:b/>
            <w:bCs/>
            <w:sz w:val="24"/>
            <w:szCs w:val="24"/>
          </w:rPr>
          <w:id w:val="-1590923014"/>
          <w:citation/>
        </w:sdtPr>
        <w:sdtContent>
          <w:r w:rsidR="009A3A45" w:rsidRPr="00185F1A">
            <w:rPr>
              <w:rFonts w:ascii="Times New Roman" w:hAnsi="Times New Roman" w:cs="Times New Roman"/>
              <w:b/>
              <w:bCs/>
              <w:sz w:val="24"/>
              <w:szCs w:val="24"/>
            </w:rPr>
            <w:fldChar w:fldCharType="begin"/>
          </w:r>
          <w:r w:rsidR="009A3A45" w:rsidRPr="00185F1A">
            <w:rPr>
              <w:rFonts w:ascii="Times New Roman" w:hAnsi="Times New Roman" w:cs="Times New Roman"/>
              <w:b/>
              <w:bCs/>
              <w:sz w:val="24"/>
              <w:szCs w:val="24"/>
            </w:rPr>
            <w:instrText xml:space="preserve">CITATION Org \n  \t  \l 3082 </w:instrText>
          </w:r>
          <w:r w:rsidR="009A3A45" w:rsidRPr="00185F1A">
            <w:rPr>
              <w:rFonts w:ascii="Times New Roman" w:hAnsi="Times New Roman" w:cs="Times New Roman"/>
              <w:b/>
              <w:bCs/>
              <w:sz w:val="24"/>
              <w:szCs w:val="24"/>
            </w:rPr>
            <w:fldChar w:fldCharType="separate"/>
          </w:r>
          <w:r w:rsidR="009A3A45" w:rsidRPr="00185F1A">
            <w:rPr>
              <w:rFonts w:ascii="Times New Roman" w:hAnsi="Times New Roman" w:cs="Times New Roman"/>
              <w:noProof/>
              <w:sz w:val="24"/>
              <w:szCs w:val="24"/>
            </w:rPr>
            <w:t>(2020)</w:t>
          </w:r>
          <w:r w:rsidR="009A3A45" w:rsidRPr="00185F1A">
            <w:rPr>
              <w:rFonts w:ascii="Times New Roman" w:hAnsi="Times New Roman" w:cs="Times New Roman"/>
              <w:b/>
              <w:bCs/>
              <w:sz w:val="24"/>
              <w:szCs w:val="24"/>
            </w:rPr>
            <w:fldChar w:fldCharType="end"/>
          </w:r>
        </w:sdtContent>
      </w:sdt>
      <w:r w:rsidR="009A20C8" w:rsidRPr="00185F1A">
        <w:rPr>
          <w:rFonts w:ascii="Times New Roman" w:hAnsi="Times New Roman" w:cs="Times New Roman"/>
          <w:b/>
          <w:bCs/>
          <w:sz w:val="24"/>
          <w:szCs w:val="24"/>
        </w:rPr>
        <w:t xml:space="preserve"> </w:t>
      </w:r>
      <w:r w:rsidR="009A20C8" w:rsidRPr="00185F1A">
        <w:rPr>
          <w:rFonts w:ascii="Times New Roman" w:hAnsi="Times New Roman" w:cs="Times New Roman"/>
          <w:sz w:val="24"/>
          <w:szCs w:val="24"/>
        </w:rPr>
        <w:t xml:space="preserve">elaboraron el </w:t>
      </w:r>
      <w:r w:rsidR="009A20C8" w:rsidRPr="00185F1A">
        <w:rPr>
          <w:rFonts w:ascii="Times New Roman" w:hAnsi="Times New Roman" w:cs="Times New Roman"/>
          <w:i/>
          <w:iCs/>
          <w:sz w:val="24"/>
          <w:szCs w:val="24"/>
        </w:rPr>
        <w:t>Libro Blanco de la Seguridad de Turismo</w:t>
      </w:r>
      <w:r w:rsidR="009A20C8" w:rsidRPr="00185F1A">
        <w:rPr>
          <w:rFonts w:ascii="Times New Roman" w:hAnsi="Times New Roman" w:cs="Times New Roman"/>
          <w:sz w:val="24"/>
          <w:szCs w:val="24"/>
        </w:rPr>
        <w:t xml:space="preserve"> donde se menciona que las inversiones en iniciativas destinadas a mejorar la seguridad en los destinos turísticos son necesarias para el desarrollo de la competitividad de </w:t>
      </w:r>
      <w:r w:rsidR="000E326C" w:rsidRPr="00185F1A">
        <w:rPr>
          <w:rFonts w:ascii="Times New Roman" w:hAnsi="Times New Roman" w:cs="Times New Roman"/>
          <w:sz w:val="24"/>
          <w:szCs w:val="24"/>
        </w:rPr>
        <w:t>estos</w:t>
      </w:r>
      <w:r w:rsidR="009A20C8" w:rsidRPr="00185F1A">
        <w:rPr>
          <w:rFonts w:ascii="Times New Roman" w:hAnsi="Times New Roman" w:cs="Times New Roman"/>
          <w:sz w:val="24"/>
          <w:szCs w:val="24"/>
        </w:rPr>
        <w:t>. Sin embargo, estas inversiones deben partir de un fuerte compromiso político, en el largo plazo, de los tomadores de decisiones</w:t>
      </w:r>
      <w:r w:rsidR="00B676D9" w:rsidRPr="00185F1A">
        <w:rPr>
          <w:rFonts w:ascii="Times New Roman" w:hAnsi="Times New Roman" w:cs="Times New Roman"/>
          <w:sz w:val="24"/>
          <w:szCs w:val="24"/>
        </w:rPr>
        <w:t>,</w:t>
      </w:r>
      <w:r w:rsidR="009A20C8" w:rsidRPr="00185F1A">
        <w:rPr>
          <w:rFonts w:ascii="Times New Roman" w:hAnsi="Times New Roman" w:cs="Times New Roman"/>
          <w:sz w:val="24"/>
          <w:szCs w:val="24"/>
        </w:rPr>
        <w:t xml:space="preserve"> para desarrollar un sector turístico atractivo, resiliente y sostenible.</w:t>
      </w:r>
    </w:p>
    <w:p w14:paraId="343AF6FC" w14:textId="77777777" w:rsidR="00DD13E9" w:rsidRPr="00185F1A" w:rsidRDefault="00DD13E9" w:rsidP="00185F1A">
      <w:pPr>
        <w:pStyle w:val="Prrafodelista"/>
        <w:spacing w:line="240" w:lineRule="auto"/>
        <w:ind w:left="0"/>
        <w:jc w:val="both"/>
        <w:rPr>
          <w:rFonts w:ascii="Times New Roman" w:hAnsi="Times New Roman" w:cs="Times New Roman"/>
          <w:sz w:val="24"/>
          <w:szCs w:val="24"/>
        </w:rPr>
      </w:pPr>
    </w:p>
    <w:p w14:paraId="477943D1" w14:textId="137F3919" w:rsidR="009A20C8" w:rsidRDefault="009A20C8" w:rsidP="00DD13E9">
      <w:pPr>
        <w:pStyle w:val="Prrafodelista"/>
        <w:spacing w:line="240" w:lineRule="auto"/>
        <w:ind w:left="0" w:firstLine="708"/>
        <w:jc w:val="both"/>
        <w:rPr>
          <w:rFonts w:ascii="Times New Roman" w:hAnsi="Times New Roman" w:cs="Times New Roman"/>
          <w:sz w:val="24"/>
          <w:szCs w:val="24"/>
        </w:rPr>
      </w:pPr>
      <w:r w:rsidRPr="00185F1A">
        <w:rPr>
          <w:rFonts w:ascii="Times New Roman" w:hAnsi="Times New Roman" w:cs="Times New Roman"/>
          <w:sz w:val="24"/>
          <w:szCs w:val="24"/>
        </w:rPr>
        <w:t>En este estudio se resalta que las crisis pueden desestabilizar toda la economía de un territorio sobre todo en el sector turismo por ser altamente sensible a las crisis exógenas que ponen en peligro su habitual desarrollo. Las crisis se deben a la materialización de uno o varios riesgos donde la causa potencial es llamada amenaza.</w:t>
      </w:r>
      <w:r w:rsidR="00DD13E9">
        <w:rPr>
          <w:rFonts w:ascii="Times New Roman" w:hAnsi="Times New Roman" w:cs="Times New Roman"/>
          <w:sz w:val="24"/>
          <w:szCs w:val="24"/>
        </w:rPr>
        <w:t xml:space="preserve"> </w:t>
      </w:r>
      <w:r w:rsidRPr="00185F1A">
        <w:rPr>
          <w:rFonts w:ascii="Times New Roman" w:hAnsi="Times New Roman" w:cs="Times New Roman"/>
          <w:sz w:val="24"/>
          <w:szCs w:val="24"/>
        </w:rPr>
        <w:t xml:space="preserve">Sin embargo, </w:t>
      </w:r>
      <w:r w:rsidR="005F0A83" w:rsidRPr="00185F1A">
        <w:rPr>
          <w:rFonts w:ascii="Times New Roman" w:hAnsi="Times New Roman" w:cs="Times New Roman"/>
          <w:sz w:val="24"/>
          <w:szCs w:val="24"/>
        </w:rPr>
        <w:t>desarrollar estrategias de seguridad en el sector turismo puede dinamizar toda la economía en un territorio en tiempos de paz y mejorar las condiciones de resiliencia en tiempos de crisis. Una actividad turística más segura atrae más visitantes y mejorará la experiencia turística de los visitantes, compartir buenas opiniones y aumenta</w:t>
      </w:r>
      <w:r w:rsidR="00B676D9" w:rsidRPr="00185F1A">
        <w:rPr>
          <w:rFonts w:ascii="Times New Roman" w:hAnsi="Times New Roman" w:cs="Times New Roman"/>
          <w:sz w:val="24"/>
          <w:szCs w:val="24"/>
        </w:rPr>
        <w:t>r</w:t>
      </w:r>
      <w:r w:rsidR="005F0A83" w:rsidRPr="00185F1A">
        <w:rPr>
          <w:rFonts w:ascii="Times New Roman" w:hAnsi="Times New Roman" w:cs="Times New Roman"/>
          <w:sz w:val="24"/>
          <w:szCs w:val="24"/>
        </w:rPr>
        <w:t xml:space="preserve"> las probabilidades de realizar una segunda visita al territorio </w:t>
      </w:r>
      <w:sdt>
        <w:sdtPr>
          <w:rPr>
            <w:rFonts w:ascii="Times New Roman" w:hAnsi="Times New Roman" w:cs="Times New Roman"/>
            <w:sz w:val="24"/>
            <w:szCs w:val="24"/>
          </w:rPr>
          <w:id w:val="-1666083501"/>
          <w:citation/>
        </w:sdtPr>
        <w:sdtContent>
          <w:r w:rsidR="005F0A83" w:rsidRPr="00185F1A">
            <w:rPr>
              <w:rFonts w:ascii="Times New Roman" w:hAnsi="Times New Roman" w:cs="Times New Roman"/>
              <w:sz w:val="24"/>
              <w:szCs w:val="24"/>
            </w:rPr>
            <w:fldChar w:fldCharType="begin"/>
          </w:r>
          <w:r w:rsidR="005F0A83" w:rsidRPr="00185F1A">
            <w:rPr>
              <w:rFonts w:ascii="Times New Roman" w:hAnsi="Times New Roman" w:cs="Times New Roman"/>
              <w:sz w:val="24"/>
              <w:szCs w:val="24"/>
            </w:rPr>
            <w:instrText xml:space="preserve"> CITATION Org \l 3082 </w:instrText>
          </w:r>
          <w:r w:rsidR="005F0A83" w:rsidRPr="00185F1A">
            <w:rPr>
              <w:rFonts w:ascii="Times New Roman" w:hAnsi="Times New Roman" w:cs="Times New Roman"/>
              <w:sz w:val="24"/>
              <w:szCs w:val="24"/>
            </w:rPr>
            <w:fldChar w:fldCharType="separate"/>
          </w:r>
          <w:r w:rsidR="005F0A83" w:rsidRPr="00185F1A">
            <w:rPr>
              <w:rFonts w:ascii="Times New Roman" w:hAnsi="Times New Roman" w:cs="Times New Roman"/>
              <w:noProof/>
              <w:sz w:val="24"/>
              <w:szCs w:val="24"/>
            </w:rPr>
            <w:t>(Organización Mundial del Turismo (OMT); Agence du développement de l'Union Africaine (AUDA-NEPAD); Union Économique Monétaire Ouest Africaine (UEMOA), 2020)</w:t>
          </w:r>
          <w:r w:rsidR="005F0A83" w:rsidRPr="00185F1A">
            <w:rPr>
              <w:rFonts w:ascii="Times New Roman" w:hAnsi="Times New Roman" w:cs="Times New Roman"/>
              <w:sz w:val="24"/>
              <w:szCs w:val="24"/>
            </w:rPr>
            <w:fldChar w:fldCharType="end"/>
          </w:r>
        </w:sdtContent>
      </w:sdt>
      <w:r w:rsidR="005F0A83" w:rsidRPr="00185F1A">
        <w:rPr>
          <w:rFonts w:ascii="Times New Roman" w:hAnsi="Times New Roman" w:cs="Times New Roman"/>
          <w:sz w:val="24"/>
          <w:szCs w:val="24"/>
        </w:rPr>
        <w:t xml:space="preserve"> </w:t>
      </w:r>
      <w:sdt>
        <w:sdtPr>
          <w:rPr>
            <w:rFonts w:ascii="Times New Roman" w:hAnsi="Times New Roman" w:cs="Times New Roman"/>
            <w:sz w:val="24"/>
            <w:szCs w:val="24"/>
          </w:rPr>
          <w:id w:val="1161203261"/>
          <w:citation/>
        </w:sdtPr>
        <w:sdtContent>
          <w:r w:rsidR="005F0A83" w:rsidRPr="00185F1A">
            <w:rPr>
              <w:rFonts w:ascii="Times New Roman" w:hAnsi="Times New Roman" w:cs="Times New Roman"/>
              <w:sz w:val="24"/>
              <w:szCs w:val="24"/>
            </w:rPr>
            <w:fldChar w:fldCharType="begin"/>
          </w:r>
          <w:r w:rsidR="005F0A83" w:rsidRPr="00185F1A">
            <w:rPr>
              <w:rFonts w:ascii="Times New Roman" w:hAnsi="Times New Roman" w:cs="Times New Roman"/>
              <w:sz w:val="24"/>
              <w:szCs w:val="24"/>
            </w:rPr>
            <w:instrText xml:space="preserve"> CITATION Grü12 \l 3082 </w:instrText>
          </w:r>
          <w:r w:rsidR="005F0A83" w:rsidRPr="00185F1A">
            <w:rPr>
              <w:rFonts w:ascii="Times New Roman" w:hAnsi="Times New Roman" w:cs="Times New Roman"/>
              <w:sz w:val="24"/>
              <w:szCs w:val="24"/>
            </w:rPr>
            <w:fldChar w:fldCharType="separate"/>
          </w:r>
          <w:r w:rsidR="005F0A83" w:rsidRPr="00185F1A">
            <w:rPr>
              <w:rFonts w:ascii="Times New Roman" w:hAnsi="Times New Roman" w:cs="Times New Roman"/>
              <w:noProof/>
              <w:sz w:val="24"/>
              <w:szCs w:val="24"/>
            </w:rPr>
            <w:t>(Grünewald, 2012)</w:t>
          </w:r>
          <w:r w:rsidR="005F0A83" w:rsidRPr="00185F1A">
            <w:rPr>
              <w:rFonts w:ascii="Times New Roman" w:hAnsi="Times New Roman" w:cs="Times New Roman"/>
              <w:sz w:val="24"/>
              <w:szCs w:val="24"/>
            </w:rPr>
            <w:fldChar w:fldCharType="end"/>
          </w:r>
        </w:sdtContent>
      </w:sdt>
      <w:r w:rsidR="005F0A83" w:rsidRPr="00185F1A">
        <w:rPr>
          <w:rFonts w:ascii="Times New Roman" w:hAnsi="Times New Roman" w:cs="Times New Roman"/>
          <w:sz w:val="24"/>
          <w:szCs w:val="24"/>
        </w:rPr>
        <w:t xml:space="preserve"> </w:t>
      </w:r>
      <w:sdt>
        <w:sdtPr>
          <w:rPr>
            <w:rFonts w:ascii="Times New Roman" w:hAnsi="Times New Roman" w:cs="Times New Roman"/>
            <w:sz w:val="24"/>
            <w:szCs w:val="24"/>
          </w:rPr>
          <w:id w:val="-1788351110"/>
          <w:citation/>
        </w:sdtPr>
        <w:sdtContent>
          <w:r w:rsidR="005F0A83" w:rsidRPr="00185F1A">
            <w:rPr>
              <w:rFonts w:ascii="Times New Roman" w:hAnsi="Times New Roman" w:cs="Times New Roman"/>
              <w:sz w:val="24"/>
              <w:szCs w:val="24"/>
            </w:rPr>
            <w:fldChar w:fldCharType="begin"/>
          </w:r>
          <w:r w:rsidR="005F0A83" w:rsidRPr="00185F1A">
            <w:rPr>
              <w:rFonts w:ascii="Times New Roman" w:hAnsi="Times New Roman" w:cs="Times New Roman"/>
              <w:sz w:val="24"/>
              <w:szCs w:val="24"/>
            </w:rPr>
            <w:instrText xml:space="preserve"> CITATION Per \l 3082 </w:instrText>
          </w:r>
          <w:r w:rsidR="005F0A83" w:rsidRPr="00185F1A">
            <w:rPr>
              <w:rFonts w:ascii="Times New Roman" w:hAnsi="Times New Roman" w:cs="Times New Roman"/>
              <w:sz w:val="24"/>
              <w:szCs w:val="24"/>
            </w:rPr>
            <w:fldChar w:fldCharType="separate"/>
          </w:r>
          <w:r w:rsidR="005F0A83" w:rsidRPr="00185F1A">
            <w:rPr>
              <w:rFonts w:ascii="Times New Roman" w:hAnsi="Times New Roman" w:cs="Times New Roman"/>
              <w:noProof/>
              <w:sz w:val="24"/>
              <w:szCs w:val="24"/>
            </w:rPr>
            <w:t>(Perles, 2022)</w:t>
          </w:r>
          <w:r w:rsidR="005F0A83" w:rsidRPr="00185F1A">
            <w:rPr>
              <w:rFonts w:ascii="Times New Roman" w:hAnsi="Times New Roman" w:cs="Times New Roman"/>
              <w:sz w:val="24"/>
              <w:szCs w:val="24"/>
            </w:rPr>
            <w:fldChar w:fldCharType="end"/>
          </w:r>
        </w:sdtContent>
      </w:sdt>
      <w:r w:rsidR="005F0A83" w:rsidRPr="00185F1A">
        <w:rPr>
          <w:rFonts w:ascii="Times New Roman" w:hAnsi="Times New Roman" w:cs="Times New Roman"/>
          <w:sz w:val="24"/>
          <w:szCs w:val="24"/>
        </w:rPr>
        <w:t>.</w:t>
      </w:r>
    </w:p>
    <w:p w14:paraId="242B88AF" w14:textId="77777777" w:rsidR="00DD13E9" w:rsidRPr="00185F1A" w:rsidRDefault="00DD13E9" w:rsidP="00DD13E9">
      <w:pPr>
        <w:pStyle w:val="Prrafodelista"/>
        <w:spacing w:line="240" w:lineRule="auto"/>
        <w:ind w:left="0" w:firstLine="708"/>
        <w:jc w:val="both"/>
        <w:rPr>
          <w:rFonts w:ascii="Times New Roman" w:hAnsi="Times New Roman" w:cs="Times New Roman"/>
          <w:sz w:val="24"/>
          <w:szCs w:val="24"/>
        </w:rPr>
      </w:pPr>
    </w:p>
    <w:p w14:paraId="6DD2B97F" w14:textId="5D8ED187" w:rsidR="00B30EB5" w:rsidRPr="00185F1A" w:rsidRDefault="00B30EB5" w:rsidP="00185F1A">
      <w:pPr>
        <w:pStyle w:val="Prrafodelista"/>
        <w:numPr>
          <w:ilvl w:val="1"/>
          <w:numId w:val="3"/>
        </w:numPr>
        <w:spacing w:line="360" w:lineRule="auto"/>
        <w:ind w:left="567" w:hanging="578"/>
        <w:jc w:val="both"/>
        <w:rPr>
          <w:rFonts w:ascii="Times New Roman" w:hAnsi="Times New Roman" w:cs="Times New Roman"/>
          <w:b/>
          <w:bCs/>
          <w:sz w:val="24"/>
          <w:szCs w:val="24"/>
        </w:rPr>
      </w:pPr>
      <w:r w:rsidRPr="00185F1A">
        <w:rPr>
          <w:rFonts w:ascii="Times New Roman" w:hAnsi="Times New Roman" w:cs="Times New Roman"/>
          <w:b/>
          <w:bCs/>
          <w:sz w:val="24"/>
          <w:szCs w:val="24"/>
        </w:rPr>
        <w:t>Competitividad Turística</w:t>
      </w:r>
    </w:p>
    <w:p w14:paraId="13C6278D" w14:textId="1423FC2C" w:rsidR="00B30EB5" w:rsidRDefault="00887B55" w:rsidP="00185F1A">
      <w:pPr>
        <w:pStyle w:val="Prrafodelista"/>
        <w:spacing w:line="240" w:lineRule="auto"/>
        <w:ind w:left="0"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Para Porter </w:t>
      </w:r>
      <w:sdt>
        <w:sdtPr>
          <w:rPr>
            <w:rFonts w:ascii="Times New Roman" w:hAnsi="Times New Roman" w:cs="Times New Roman"/>
            <w:sz w:val="24"/>
            <w:szCs w:val="24"/>
          </w:rPr>
          <w:id w:val="1475642895"/>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CITATION Por91 \n  \t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(1991)</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 xml:space="preserve"> la competitividad no es algo que se hereda, sino que se construye. Surge de la capacidad de innovar y mejorar la utilización de los recursos del territorio de manera que las naciones </w:t>
      </w:r>
      <w:r w:rsidR="001D58A2" w:rsidRPr="00185F1A">
        <w:rPr>
          <w:rFonts w:ascii="Times New Roman" w:hAnsi="Times New Roman" w:cs="Times New Roman"/>
          <w:sz w:val="24"/>
          <w:szCs w:val="24"/>
        </w:rPr>
        <w:t>sean</w:t>
      </w:r>
      <w:r w:rsidRPr="00185F1A">
        <w:rPr>
          <w:rFonts w:ascii="Times New Roman" w:hAnsi="Times New Roman" w:cs="Times New Roman"/>
          <w:sz w:val="24"/>
          <w:szCs w:val="24"/>
        </w:rPr>
        <w:t xml:space="preserve"> capaces de incrementar su productividad. </w:t>
      </w:r>
      <w:r w:rsidR="00CA7CA9" w:rsidRPr="00185F1A">
        <w:rPr>
          <w:rFonts w:ascii="Times New Roman" w:hAnsi="Times New Roman" w:cs="Times New Roman"/>
          <w:sz w:val="24"/>
          <w:szCs w:val="24"/>
        </w:rPr>
        <w:t>Es un con</w:t>
      </w:r>
      <w:r w:rsidR="00B30EB5" w:rsidRPr="00185F1A">
        <w:rPr>
          <w:rFonts w:ascii="Times New Roman" w:hAnsi="Times New Roman" w:cs="Times New Roman"/>
          <w:sz w:val="24"/>
          <w:szCs w:val="24"/>
        </w:rPr>
        <w:t xml:space="preserve">cepto multidimensional y dinámico. La competitividad de los destinos turísticos se genera gracias a la innovación que las empresas y la economía en general son capaces de realizar en un destino. Esta innovación puede darse en productos, en procesos, así como en métodos de gestión. </w:t>
      </w:r>
      <w:sdt>
        <w:sdtPr>
          <w:rPr>
            <w:rFonts w:ascii="Times New Roman" w:hAnsi="Times New Roman" w:cs="Times New Roman"/>
            <w:sz w:val="24"/>
            <w:szCs w:val="24"/>
          </w:rPr>
          <w:id w:val="-941690108"/>
          <w:citation/>
        </w:sdtPr>
        <w:sdtContent>
          <w:r w:rsidR="00B30EB5" w:rsidRPr="00185F1A">
            <w:rPr>
              <w:rFonts w:ascii="Times New Roman" w:hAnsi="Times New Roman" w:cs="Times New Roman"/>
              <w:sz w:val="24"/>
              <w:szCs w:val="24"/>
            </w:rPr>
            <w:fldChar w:fldCharType="begin"/>
          </w:r>
          <w:r w:rsidR="00B30EB5" w:rsidRPr="00185F1A">
            <w:rPr>
              <w:rFonts w:ascii="Times New Roman" w:hAnsi="Times New Roman" w:cs="Times New Roman"/>
              <w:sz w:val="24"/>
              <w:szCs w:val="24"/>
            </w:rPr>
            <w:instrText xml:space="preserve">CITATION Yad18 \l 3082 </w:instrText>
          </w:r>
          <w:r w:rsidR="00B30EB5" w:rsidRPr="00185F1A">
            <w:rPr>
              <w:rFonts w:ascii="Times New Roman" w:hAnsi="Times New Roman" w:cs="Times New Roman"/>
              <w:sz w:val="24"/>
              <w:szCs w:val="24"/>
            </w:rPr>
            <w:fldChar w:fldCharType="separate"/>
          </w:r>
          <w:r w:rsidR="00B30EB5" w:rsidRPr="00185F1A">
            <w:rPr>
              <w:rFonts w:ascii="Times New Roman" w:hAnsi="Times New Roman" w:cs="Times New Roman"/>
              <w:noProof/>
              <w:sz w:val="24"/>
              <w:szCs w:val="24"/>
            </w:rPr>
            <w:t>(Pérez, Sarmiento, &amp; Paneca, 2018)</w:t>
          </w:r>
          <w:r w:rsidR="00B30EB5" w:rsidRPr="00185F1A">
            <w:rPr>
              <w:rFonts w:ascii="Times New Roman" w:hAnsi="Times New Roman" w:cs="Times New Roman"/>
              <w:sz w:val="24"/>
              <w:szCs w:val="24"/>
            </w:rPr>
            <w:fldChar w:fldCharType="end"/>
          </w:r>
        </w:sdtContent>
      </w:sdt>
      <w:r w:rsidR="00B676D9" w:rsidRPr="00185F1A">
        <w:rPr>
          <w:rFonts w:ascii="Times New Roman" w:hAnsi="Times New Roman" w:cs="Times New Roman"/>
          <w:sz w:val="24"/>
          <w:szCs w:val="24"/>
        </w:rPr>
        <w:t xml:space="preserve"> </w:t>
      </w:r>
      <w:sdt>
        <w:sdtPr>
          <w:rPr>
            <w:rFonts w:ascii="Times New Roman" w:hAnsi="Times New Roman" w:cs="Times New Roman"/>
            <w:sz w:val="24"/>
            <w:szCs w:val="24"/>
          </w:rPr>
          <w:id w:val="-1506896350"/>
          <w:citation/>
        </w:sdtPr>
        <w:sdtContent>
          <w:r w:rsidR="00B676D9" w:rsidRPr="00185F1A">
            <w:rPr>
              <w:rFonts w:ascii="Times New Roman" w:hAnsi="Times New Roman" w:cs="Times New Roman"/>
              <w:sz w:val="24"/>
              <w:szCs w:val="24"/>
            </w:rPr>
            <w:fldChar w:fldCharType="begin"/>
          </w:r>
          <w:r w:rsidR="00B676D9" w:rsidRPr="00185F1A">
            <w:rPr>
              <w:rFonts w:ascii="Times New Roman" w:hAnsi="Times New Roman" w:cs="Times New Roman"/>
              <w:sz w:val="24"/>
              <w:szCs w:val="24"/>
            </w:rPr>
            <w:instrText xml:space="preserve"> CITATION Ort18 \l 3082 </w:instrText>
          </w:r>
          <w:r w:rsidR="00B676D9" w:rsidRPr="00185F1A">
            <w:rPr>
              <w:rFonts w:ascii="Times New Roman" w:hAnsi="Times New Roman" w:cs="Times New Roman"/>
              <w:sz w:val="24"/>
              <w:szCs w:val="24"/>
            </w:rPr>
            <w:fldChar w:fldCharType="separate"/>
          </w:r>
          <w:r w:rsidR="00B676D9" w:rsidRPr="00185F1A">
            <w:rPr>
              <w:rFonts w:ascii="Times New Roman" w:hAnsi="Times New Roman" w:cs="Times New Roman"/>
              <w:noProof/>
              <w:sz w:val="24"/>
              <w:szCs w:val="24"/>
            </w:rPr>
            <w:t>(Ortíz, Robles, &amp; Guzmán, 2018)</w:t>
          </w:r>
          <w:r w:rsidR="00B676D9" w:rsidRPr="00185F1A">
            <w:rPr>
              <w:rFonts w:ascii="Times New Roman" w:hAnsi="Times New Roman" w:cs="Times New Roman"/>
              <w:sz w:val="24"/>
              <w:szCs w:val="24"/>
            </w:rPr>
            <w:fldChar w:fldCharType="end"/>
          </w:r>
        </w:sdtContent>
      </w:sdt>
      <w:r w:rsidR="00B676D9" w:rsidRPr="00185F1A">
        <w:rPr>
          <w:rFonts w:ascii="Times New Roman" w:hAnsi="Times New Roman" w:cs="Times New Roman"/>
          <w:sz w:val="24"/>
          <w:szCs w:val="24"/>
        </w:rPr>
        <w:t xml:space="preserve">. </w:t>
      </w:r>
    </w:p>
    <w:p w14:paraId="43216C6F" w14:textId="77777777" w:rsidR="00DD13E9" w:rsidRPr="00185F1A" w:rsidRDefault="00DD13E9" w:rsidP="00185F1A">
      <w:pPr>
        <w:pStyle w:val="Prrafodelista"/>
        <w:spacing w:line="240" w:lineRule="auto"/>
        <w:ind w:left="0" w:firstLine="567"/>
        <w:jc w:val="both"/>
        <w:rPr>
          <w:rFonts w:ascii="Times New Roman" w:hAnsi="Times New Roman" w:cs="Times New Roman"/>
          <w:sz w:val="24"/>
          <w:szCs w:val="24"/>
        </w:rPr>
      </w:pPr>
    </w:p>
    <w:p w14:paraId="29220B8D" w14:textId="23D7F2A5" w:rsidR="00237797" w:rsidRDefault="00887B55" w:rsidP="00DD13E9">
      <w:pPr>
        <w:pStyle w:val="Prrafodelista"/>
        <w:spacing w:line="240" w:lineRule="auto"/>
        <w:ind w:left="0"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Grünewald </w:t>
      </w:r>
      <w:sdt>
        <w:sdtPr>
          <w:rPr>
            <w:rFonts w:ascii="Times New Roman" w:hAnsi="Times New Roman" w:cs="Times New Roman"/>
            <w:sz w:val="24"/>
            <w:szCs w:val="24"/>
          </w:rPr>
          <w:id w:val="-1303837606"/>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CITATION Grü12 \n  \t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(2012)</w:t>
          </w:r>
          <w:r w:rsidRPr="00185F1A">
            <w:rPr>
              <w:rFonts w:ascii="Times New Roman" w:hAnsi="Times New Roman" w:cs="Times New Roman"/>
              <w:sz w:val="24"/>
              <w:szCs w:val="24"/>
            </w:rPr>
            <w:fldChar w:fldCharType="end"/>
          </w:r>
        </w:sdtContent>
      </w:sdt>
      <w:r w:rsidR="00CA7CA9" w:rsidRPr="00185F1A">
        <w:rPr>
          <w:rFonts w:ascii="Times New Roman" w:hAnsi="Times New Roman" w:cs="Times New Roman"/>
          <w:sz w:val="24"/>
          <w:szCs w:val="24"/>
        </w:rPr>
        <w:t xml:space="preserve"> por su parte, </w:t>
      </w:r>
      <w:r w:rsidRPr="00185F1A">
        <w:rPr>
          <w:rFonts w:ascii="Times New Roman" w:hAnsi="Times New Roman" w:cs="Times New Roman"/>
          <w:sz w:val="24"/>
          <w:szCs w:val="24"/>
        </w:rPr>
        <w:t xml:space="preserve">define competitividad de los destinos turísticos como la capacidad que estos tienen de alcanzar sus objetivos en forma sostenible y </w:t>
      </w:r>
      <w:r w:rsidRPr="00185F1A">
        <w:rPr>
          <w:rFonts w:ascii="Times New Roman" w:hAnsi="Times New Roman" w:cs="Times New Roman"/>
          <w:sz w:val="24"/>
          <w:szCs w:val="24"/>
        </w:rPr>
        <w:lastRenderedPageBreak/>
        <w:t>relaciona dos conceptos: la necesidad de ser competentes a través del conocimiento profundo del desarrollo de la actividad</w:t>
      </w:r>
      <w:r w:rsidR="00B676D9" w:rsidRPr="00185F1A">
        <w:rPr>
          <w:rFonts w:ascii="Times New Roman" w:hAnsi="Times New Roman" w:cs="Times New Roman"/>
          <w:sz w:val="24"/>
          <w:szCs w:val="24"/>
        </w:rPr>
        <w:t>,</w:t>
      </w:r>
      <w:r w:rsidR="00F83E90" w:rsidRPr="00185F1A">
        <w:rPr>
          <w:rFonts w:ascii="Times New Roman" w:hAnsi="Times New Roman" w:cs="Times New Roman"/>
          <w:sz w:val="24"/>
          <w:szCs w:val="24"/>
        </w:rPr>
        <w:t xml:space="preserve"> pero también de los competidores para poder reforzar las ventajas estratégicas del destino turístico.</w:t>
      </w:r>
    </w:p>
    <w:p w14:paraId="4CA383FD" w14:textId="77777777" w:rsidR="00DD13E9" w:rsidRPr="00185F1A" w:rsidRDefault="00DD13E9" w:rsidP="00DD13E9">
      <w:pPr>
        <w:pStyle w:val="Prrafodelista"/>
        <w:spacing w:line="240" w:lineRule="auto"/>
        <w:ind w:left="0" w:firstLine="567"/>
        <w:jc w:val="both"/>
        <w:rPr>
          <w:rFonts w:ascii="Times New Roman" w:hAnsi="Times New Roman" w:cs="Times New Roman"/>
          <w:sz w:val="24"/>
          <w:szCs w:val="24"/>
        </w:rPr>
      </w:pPr>
    </w:p>
    <w:p w14:paraId="79A7E141" w14:textId="3EE6D4CA" w:rsidR="00237797" w:rsidRDefault="00237797" w:rsidP="00DD13E9">
      <w:pPr>
        <w:pStyle w:val="Prrafodelista"/>
        <w:spacing w:line="240" w:lineRule="auto"/>
        <w:ind w:left="0"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Para ello Crouch y Ritchie </w:t>
      </w:r>
      <w:sdt>
        <w:sdtPr>
          <w:rPr>
            <w:rFonts w:ascii="Times New Roman" w:hAnsi="Times New Roman" w:cs="Times New Roman"/>
            <w:sz w:val="24"/>
            <w:szCs w:val="24"/>
          </w:rPr>
          <w:id w:val="-1894338578"/>
          <w:citation/>
        </w:sdtPr>
        <w:sdtContent>
          <w:r w:rsidR="004A4400" w:rsidRPr="00185F1A">
            <w:rPr>
              <w:rFonts w:ascii="Times New Roman" w:hAnsi="Times New Roman" w:cs="Times New Roman"/>
              <w:sz w:val="24"/>
              <w:szCs w:val="24"/>
            </w:rPr>
            <w:fldChar w:fldCharType="begin"/>
          </w:r>
          <w:r w:rsidR="004A4400" w:rsidRPr="00185F1A">
            <w:rPr>
              <w:rFonts w:ascii="Times New Roman" w:hAnsi="Times New Roman" w:cs="Times New Roman"/>
              <w:sz w:val="24"/>
              <w:szCs w:val="24"/>
            </w:rPr>
            <w:instrText xml:space="preserve">CITATION Cro99 \n  \t  \l 3082 </w:instrText>
          </w:r>
          <w:r w:rsidR="004A4400" w:rsidRPr="00185F1A">
            <w:rPr>
              <w:rFonts w:ascii="Times New Roman" w:hAnsi="Times New Roman" w:cs="Times New Roman"/>
              <w:sz w:val="24"/>
              <w:szCs w:val="24"/>
            </w:rPr>
            <w:fldChar w:fldCharType="separate"/>
          </w:r>
          <w:r w:rsidR="004A4400" w:rsidRPr="00185F1A">
            <w:rPr>
              <w:rFonts w:ascii="Times New Roman" w:hAnsi="Times New Roman" w:cs="Times New Roman"/>
              <w:noProof/>
              <w:sz w:val="24"/>
              <w:szCs w:val="24"/>
            </w:rPr>
            <w:t>(1999)</w:t>
          </w:r>
          <w:r w:rsidR="004A4400" w:rsidRPr="00185F1A">
            <w:rPr>
              <w:rFonts w:ascii="Times New Roman" w:hAnsi="Times New Roman" w:cs="Times New Roman"/>
              <w:sz w:val="24"/>
              <w:szCs w:val="24"/>
            </w:rPr>
            <w:fldChar w:fldCharType="end"/>
          </w:r>
        </w:sdtContent>
      </w:sdt>
      <w:r w:rsidR="004A4400" w:rsidRPr="00185F1A">
        <w:rPr>
          <w:rFonts w:ascii="Times New Roman" w:hAnsi="Times New Roman" w:cs="Times New Roman"/>
          <w:sz w:val="24"/>
          <w:szCs w:val="24"/>
        </w:rPr>
        <w:t xml:space="preserve"> </w:t>
      </w:r>
      <w:r w:rsidRPr="00185F1A">
        <w:rPr>
          <w:rFonts w:ascii="Times New Roman" w:hAnsi="Times New Roman" w:cs="Times New Roman"/>
          <w:sz w:val="24"/>
          <w:szCs w:val="24"/>
        </w:rPr>
        <w:t xml:space="preserve">en </w:t>
      </w:r>
      <w:sdt>
        <w:sdtPr>
          <w:rPr>
            <w:rFonts w:ascii="Times New Roman" w:hAnsi="Times New Roman" w:cs="Times New Roman"/>
            <w:sz w:val="24"/>
            <w:szCs w:val="24"/>
          </w:rPr>
          <w:id w:val="-770390912"/>
          <w:citation/>
        </w:sdtPr>
        <w:sdtContent>
          <w:r w:rsidR="00420C22" w:rsidRPr="00185F1A">
            <w:rPr>
              <w:rFonts w:ascii="Times New Roman" w:hAnsi="Times New Roman" w:cs="Times New Roman"/>
              <w:sz w:val="24"/>
              <w:szCs w:val="24"/>
            </w:rPr>
            <w:fldChar w:fldCharType="begin"/>
          </w:r>
          <w:r w:rsidR="00420C22" w:rsidRPr="00185F1A">
            <w:rPr>
              <w:rFonts w:ascii="Times New Roman" w:hAnsi="Times New Roman" w:cs="Times New Roman"/>
              <w:sz w:val="24"/>
              <w:szCs w:val="24"/>
            </w:rPr>
            <w:instrText xml:space="preserve">CITATION Per \l 3082 </w:instrText>
          </w:r>
          <w:r w:rsidR="00420C22" w:rsidRPr="00185F1A">
            <w:rPr>
              <w:rFonts w:ascii="Times New Roman" w:hAnsi="Times New Roman" w:cs="Times New Roman"/>
              <w:sz w:val="24"/>
              <w:szCs w:val="24"/>
            </w:rPr>
            <w:fldChar w:fldCharType="separate"/>
          </w:r>
          <w:r w:rsidR="00420C22" w:rsidRPr="00185F1A">
            <w:rPr>
              <w:rFonts w:ascii="Times New Roman" w:hAnsi="Times New Roman" w:cs="Times New Roman"/>
              <w:noProof/>
              <w:sz w:val="24"/>
              <w:szCs w:val="24"/>
            </w:rPr>
            <w:t>(Perles, 2022)</w:t>
          </w:r>
          <w:r w:rsidR="00420C22" w:rsidRPr="00185F1A">
            <w:rPr>
              <w:rFonts w:ascii="Times New Roman" w:hAnsi="Times New Roman" w:cs="Times New Roman"/>
              <w:sz w:val="24"/>
              <w:szCs w:val="24"/>
            </w:rPr>
            <w:fldChar w:fldCharType="end"/>
          </w:r>
        </w:sdtContent>
      </w:sdt>
      <w:r w:rsidR="00420C22" w:rsidRPr="00185F1A">
        <w:rPr>
          <w:rFonts w:ascii="Times New Roman" w:hAnsi="Times New Roman" w:cs="Times New Roman"/>
          <w:sz w:val="24"/>
          <w:szCs w:val="24"/>
        </w:rPr>
        <w:t xml:space="preserve"> mencionan que competitividad implica no solo incrementar el número de visitantes y mejorar los servicios ofrecidos sino también mejorar el nivel de vida de los residentes en el destino turístico, preservando el capital natural para incrementar el gasto turístico.</w:t>
      </w:r>
      <w:r w:rsidR="00B10D71" w:rsidRPr="00185F1A">
        <w:rPr>
          <w:rFonts w:ascii="Times New Roman" w:hAnsi="Times New Roman" w:cs="Times New Roman"/>
          <w:sz w:val="24"/>
          <w:szCs w:val="24"/>
        </w:rPr>
        <w:t xml:space="preserve"> </w:t>
      </w:r>
    </w:p>
    <w:p w14:paraId="262C8EDB" w14:textId="77777777" w:rsidR="00DD13E9" w:rsidRPr="00185F1A" w:rsidRDefault="00DD13E9" w:rsidP="00DD13E9">
      <w:pPr>
        <w:pStyle w:val="Prrafodelista"/>
        <w:spacing w:line="240" w:lineRule="auto"/>
        <w:ind w:left="0" w:firstLine="567"/>
        <w:jc w:val="both"/>
        <w:rPr>
          <w:rFonts w:ascii="Times New Roman" w:hAnsi="Times New Roman" w:cs="Times New Roman"/>
          <w:sz w:val="24"/>
          <w:szCs w:val="24"/>
        </w:rPr>
      </w:pPr>
    </w:p>
    <w:p w14:paraId="0F9380B1" w14:textId="522EC70F" w:rsidR="007472AD" w:rsidRDefault="00420C22" w:rsidP="00DD13E9">
      <w:pPr>
        <w:pStyle w:val="Prrafodelista"/>
        <w:spacing w:line="240" w:lineRule="auto"/>
        <w:ind w:left="0"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Por su parte Perles </w:t>
      </w:r>
      <w:sdt>
        <w:sdtPr>
          <w:rPr>
            <w:rFonts w:ascii="Times New Roman" w:hAnsi="Times New Roman" w:cs="Times New Roman"/>
            <w:sz w:val="24"/>
            <w:szCs w:val="24"/>
          </w:rPr>
          <w:id w:val="-1710402339"/>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CITATION Per \n  \t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(2022)</w:t>
          </w:r>
          <w:r w:rsidRPr="00185F1A">
            <w:rPr>
              <w:rFonts w:ascii="Times New Roman" w:hAnsi="Times New Roman" w:cs="Times New Roman"/>
              <w:sz w:val="24"/>
              <w:szCs w:val="24"/>
            </w:rPr>
            <w:fldChar w:fldCharType="end"/>
          </w:r>
        </w:sdtContent>
      </w:sdt>
      <w:r w:rsidR="00B10D71" w:rsidRPr="00185F1A">
        <w:rPr>
          <w:rFonts w:ascii="Times New Roman" w:hAnsi="Times New Roman" w:cs="Times New Roman"/>
          <w:sz w:val="24"/>
          <w:szCs w:val="24"/>
        </w:rPr>
        <w:t xml:space="preserve"> tiene su propio modelo para</w:t>
      </w:r>
      <w:r w:rsidR="00CA7CA9" w:rsidRPr="00185F1A">
        <w:rPr>
          <w:rFonts w:ascii="Times New Roman" w:hAnsi="Times New Roman" w:cs="Times New Roman"/>
          <w:sz w:val="24"/>
          <w:szCs w:val="24"/>
        </w:rPr>
        <w:t xml:space="preserve"> interpretar</w:t>
      </w:r>
      <w:r w:rsidR="00B10D71" w:rsidRPr="00185F1A">
        <w:rPr>
          <w:rFonts w:ascii="Times New Roman" w:hAnsi="Times New Roman" w:cs="Times New Roman"/>
          <w:sz w:val="24"/>
          <w:szCs w:val="24"/>
        </w:rPr>
        <w:t xml:space="preserve"> la competitividad  de los destinos turísticos</w:t>
      </w:r>
      <w:r w:rsidR="00CA7CA9" w:rsidRPr="00185F1A">
        <w:rPr>
          <w:rFonts w:ascii="Times New Roman" w:hAnsi="Times New Roman" w:cs="Times New Roman"/>
          <w:sz w:val="24"/>
          <w:szCs w:val="24"/>
        </w:rPr>
        <w:t>,</w:t>
      </w:r>
      <w:r w:rsidR="00B10D71" w:rsidRPr="00185F1A">
        <w:rPr>
          <w:rFonts w:ascii="Times New Roman" w:hAnsi="Times New Roman" w:cs="Times New Roman"/>
          <w:sz w:val="24"/>
          <w:szCs w:val="24"/>
        </w:rPr>
        <w:t xml:space="preserve"> cuyos factores básicos serian:  los recursos naturales del destino (clima, situación geográfica, entre otros) mano de obra no calificada que se podría considerar como una ventaja comparativa (mientras que la mano de obra calificada contribuiría en una ventaja competitiva); y sus factores avanzados serían la infraestructura de transporte, sanitarias, turísticas, mano de obra calificada, existencia de centros de investigación que serían importantes para explicar el éxito de un territorio pues hay que crearlos mediante un esfuerzo inversor y un espíritu emprendedor de los habitantes del destino y conforman las verdaderas ventajas competitivas del mismo.</w:t>
      </w:r>
    </w:p>
    <w:p w14:paraId="0F06D8D6" w14:textId="77777777" w:rsidR="00DD13E9" w:rsidRPr="00185F1A" w:rsidRDefault="00DD13E9" w:rsidP="00DD13E9">
      <w:pPr>
        <w:pStyle w:val="Prrafodelista"/>
        <w:spacing w:line="240" w:lineRule="auto"/>
        <w:ind w:left="0" w:firstLine="567"/>
        <w:jc w:val="both"/>
        <w:rPr>
          <w:rFonts w:ascii="Times New Roman" w:hAnsi="Times New Roman" w:cs="Times New Roman"/>
          <w:sz w:val="24"/>
          <w:szCs w:val="24"/>
        </w:rPr>
      </w:pPr>
    </w:p>
    <w:p w14:paraId="3F8F62A6" w14:textId="438DCDB8" w:rsidR="003166DB" w:rsidRPr="00185F1A" w:rsidRDefault="00D8139F" w:rsidP="00DD13E9">
      <w:pPr>
        <w:pStyle w:val="Prrafodelista"/>
        <w:spacing w:line="240" w:lineRule="auto"/>
        <w:ind w:left="0"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Sin embargo, </w:t>
      </w:r>
      <w:r w:rsidR="003166DB" w:rsidRPr="00185F1A">
        <w:rPr>
          <w:rFonts w:ascii="Times New Roman" w:hAnsi="Times New Roman" w:cs="Times New Roman"/>
          <w:sz w:val="24"/>
          <w:szCs w:val="24"/>
        </w:rPr>
        <w:t>en</w:t>
      </w:r>
      <w:r w:rsidRPr="00185F1A">
        <w:rPr>
          <w:rFonts w:ascii="Times New Roman" w:hAnsi="Times New Roman" w:cs="Times New Roman"/>
          <w:sz w:val="24"/>
          <w:szCs w:val="24"/>
        </w:rPr>
        <w:t xml:space="preserve"> un país diverso en todo sentido, un dato general a nivel país no reflejaría la realidad interna</w:t>
      </w:r>
      <w:r w:rsidR="003166DB" w:rsidRPr="00185F1A">
        <w:rPr>
          <w:rFonts w:ascii="Times New Roman" w:hAnsi="Times New Roman" w:cs="Times New Roman"/>
          <w:sz w:val="24"/>
          <w:szCs w:val="24"/>
        </w:rPr>
        <w:t xml:space="preserve">, en las </w:t>
      </w:r>
      <w:r w:rsidRPr="00185F1A">
        <w:rPr>
          <w:rFonts w:ascii="Times New Roman" w:hAnsi="Times New Roman" w:cs="Times New Roman"/>
          <w:sz w:val="24"/>
          <w:szCs w:val="24"/>
        </w:rPr>
        <w:t>diferentes</w:t>
      </w:r>
      <w:r w:rsidR="003166DB" w:rsidRPr="00185F1A">
        <w:rPr>
          <w:rFonts w:ascii="Times New Roman" w:hAnsi="Times New Roman" w:cs="Times New Roman"/>
          <w:sz w:val="24"/>
          <w:szCs w:val="24"/>
        </w:rPr>
        <w:t xml:space="preserve"> regiones del país</w:t>
      </w:r>
      <w:r w:rsidR="008F5355" w:rsidRPr="00185F1A">
        <w:rPr>
          <w:rFonts w:ascii="Times New Roman" w:hAnsi="Times New Roman" w:cs="Times New Roman"/>
          <w:sz w:val="24"/>
          <w:szCs w:val="24"/>
        </w:rPr>
        <w:t xml:space="preserve">. Por ello, la Sociedad de Comercio Exterior del Perú – COMEXPERÚ </w:t>
      </w:r>
      <w:sdt>
        <w:sdtPr>
          <w:rPr>
            <w:rFonts w:ascii="Times New Roman" w:hAnsi="Times New Roman" w:cs="Times New Roman"/>
            <w:sz w:val="24"/>
            <w:szCs w:val="24"/>
          </w:rPr>
          <w:id w:val="-1293902196"/>
          <w:citation/>
        </w:sdtPr>
        <w:sdtContent>
          <w:r w:rsidR="004A4400" w:rsidRPr="00185F1A">
            <w:rPr>
              <w:rFonts w:ascii="Times New Roman" w:hAnsi="Times New Roman" w:cs="Times New Roman"/>
              <w:sz w:val="24"/>
              <w:szCs w:val="24"/>
            </w:rPr>
            <w:fldChar w:fldCharType="begin"/>
          </w:r>
          <w:r w:rsidR="008F5355" w:rsidRPr="00185F1A">
            <w:rPr>
              <w:rFonts w:ascii="Times New Roman" w:hAnsi="Times New Roman" w:cs="Times New Roman"/>
              <w:sz w:val="24"/>
              <w:szCs w:val="24"/>
            </w:rPr>
            <w:instrText xml:space="preserve">CITATION Soc19 \n  \t  \l 3082 </w:instrText>
          </w:r>
          <w:r w:rsidR="004A4400" w:rsidRPr="00185F1A">
            <w:rPr>
              <w:rFonts w:ascii="Times New Roman" w:hAnsi="Times New Roman" w:cs="Times New Roman"/>
              <w:sz w:val="24"/>
              <w:szCs w:val="24"/>
            </w:rPr>
            <w:fldChar w:fldCharType="separate"/>
          </w:r>
          <w:r w:rsidR="008F5355" w:rsidRPr="00185F1A">
            <w:rPr>
              <w:rFonts w:ascii="Times New Roman" w:hAnsi="Times New Roman" w:cs="Times New Roman"/>
              <w:noProof/>
              <w:sz w:val="24"/>
              <w:szCs w:val="24"/>
            </w:rPr>
            <w:t>(2019)</w:t>
          </w:r>
          <w:r w:rsidR="004A4400" w:rsidRPr="00185F1A">
            <w:rPr>
              <w:rFonts w:ascii="Times New Roman" w:hAnsi="Times New Roman" w:cs="Times New Roman"/>
              <w:sz w:val="24"/>
              <w:szCs w:val="24"/>
            </w:rPr>
            <w:fldChar w:fldCharType="end"/>
          </w:r>
        </w:sdtContent>
      </w:sdt>
      <w:r w:rsidR="008F5355" w:rsidRPr="00185F1A">
        <w:rPr>
          <w:rFonts w:ascii="Times New Roman" w:hAnsi="Times New Roman" w:cs="Times New Roman"/>
          <w:sz w:val="24"/>
          <w:szCs w:val="24"/>
        </w:rPr>
        <w:t xml:space="preserve"> ha elaborado el índice de competitividad turística departamental – ICTD, con el objetivo de tener una mirada asociada al territorio que permita identificar los aciertos y deficiencias por regiones o departamentos y ser una herramienta para la toma de decisiones.</w:t>
      </w:r>
      <w:r w:rsidR="00B676D9" w:rsidRPr="00185F1A">
        <w:rPr>
          <w:rFonts w:ascii="Times New Roman" w:hAnsi="Times New Roman" w:cs="Times New Roman"/>
          <w:sz w:val="24"/>
          <w:szCs w:val="24"/>
        </w:rPr>
        <w:t xml:space="preserve"> En la tabla siguiente, se puede observar los cuatro pilares sobre los que se basa este índice, así como los indicadores asociados a cada pilar. </w:t>
      </w:r>
    </w:p>
    <w:p w14:paraId="4AF63EC8" w14:textId="77777777" w:rsidR="007119C4" w:rsidRPr="00185F1A" w:rsidRDefault="007119C4" w:rsidP="00185F1A">
      <w:pPr>
        <w:pStyle w:val="Prrafodelista"/>
        <w:spacing w:line="360" w:lineRule="auto"/>
        <w:ind w:left="0"/>
        <w:jc w:val="both"/>
        <w:rPr>
          <w:rFonts w:ascii="Times New Roman" w:hAnsi="Times New Roman" w:cs="Times New Roman"/>
          <w:b/>
          <w:bCs/>
          <w:sz w:val="24"/>
          <w:szCs w:val="24"/>
        </w:rPr>
      </w:pPr>
    </w:p>
    <w:p w14:paraId="667B9AF8" w14:textId="53035E82" w:rsidR="008F5355" w:rsidRDefault="00BA787B" w:rsidP="00185F1A">
      <w:pPr>
        <w:pStyle w:val="Prrafodelista"/>
        <w:spacing w:line="360" w:lineRule="auto"/>
        <w:ind w:left="0"/>
        <w:jc w:val="both"/>
        <w:rPr>
          <w:rFonts w:ascii="Times New Roman" w:hAnsi="Times New Roman" w:cs="Times New Roman"/>
          <w:b/>
          <w:bCs/>
          <w:sz w:val="24"/>
          <w:szCs w:val="24"/>
        </w:rPr>
      </w:pPr>
      <w:r w:rsidRPr="00185F1A">
        <w:rPr>
          <w:rFonts w:ascii="Times New Roman" w:hAnsi="Times New Roman" w:cs="Times New Roman"/>
          <w:b/>
          <w:bCs/>
          <w:sz w:val="24"/>
          <w:szCs w:val="24"/>
        </w:rPr>
        <w:t>Tabla 2</w:t>
      </w:r>
      <w:r w:rsidR="00DD13E9">
        <w:rPr>
          <w:rFonts w:ascii="Times New Roman" w:hAnsi="Times New Roman" w:cs="Times New Roman"/>
          <w:b/>
          <w:bCs/>
          <w:sz w:val="24"/>
          <w:szCs w:val="24"/>
        </w:rPr>
        <w:t xml:space="preserve">. </w:t>
      </w:r>
      <w:r w:rsidRPr="00185F1A">
        <w:rPr>
          <w:rFonts w:ascii="Times New Roman" w:hAnsi="Times New Roman" w:cs="Times New Roman"/>
          <w:b/>
          <w:bCs/>
          <w:sz w:val="24"/>
          <w:szCs w:val="24"/>
        </w:rPr>
        <w:t xml:space="preserve"> </w:t>
      </w:r>
      <w:r w:rsidRPr="00DD13E9">
        <w:rPr>
          <w:rFonts w:ascii="Times New Roman" w:hAnsi="Times New Roman" w:cs="Times New Roman"/>
          <w:b/>
          <w:bCs/>
          <w:sz w:val="24"/>
          <w:szCs w:val="24"/>
        </w:rPr>
        <w:t>Elementos del Índice de Competitividad Turística Departamental</w:t>
      </w:r>
    </w:p>
    <w:p w14:paraId="0F4323AB" w14:textId="77777777" w:rsidR="00DD13E9" w:rsidRPr="00185F1A" w:rsidRDefault="00DD13E9" w:rsidP="00185F1A">
      <w:pPr>
        <w:pStyle w:val="Prrafodelista"/>
        <w:spacing w:line="360" w:lineRule="auto"/>
        <w:ind w:left="0"/>
        <w:jc w:val="both"/>
        <w:rPr>
          <w:rFonts w:ascii="Times New Roman" w:hAnsi="Times New Roman" w:cs="Times New Roman"/>
          <w:i/>
          <w:iCs/>
          <w:sz w:val="24"/>
          <w:szCs w:val="24"/>
        </w:rPr>
      </w:pPr>
    </w:p>
    <w:tbl>
      <w:tblPr>
        <w:tblStyle w:val="Tablaconcuadrcula"/>
        <w:tblW w:w="8500"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2122"/>
        <w:gridCol w:w="6378"/>
      </w:tblGrid>
      <w:tr w:rsidR="00CF5AB7" w:rsidRPr="00185F1A" w14:paraId="30B0869A" w14:textId="77777777" w:rsidTr="00910236">
        <w:trPr>
          <w:trHeight w:val="274"/>
        </w:trPr>
        <w:tc>
          <w:tcPr>
            <w:tcW w:w="2122" w:type="dxa"/>
            <w:shd w:val="clear" w:color="auto" w:fill="DAE9F7" w:themeFill="text2" w:themeFillTint="1A"/>
            <w:vAlign w:val="center"/>
          </w:tcPr>
          <w:p w14:paraId="3BFBB9E4" w14:textId="3936DDF6" w:rsidR="00CF5AB7" w:rsidRPr="00185F1A" w:rsidRDefault="00CF5AB7"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PILAR</w:t>
            </w:r>
          </w:p>
        </w:tc>
        <w:tc>
          <w:tcPr>
            <w:tcW w:w="6378" w:type="dxa"/>
            <w:shd w:val="clear" w:color="auto" w:fill="DAE9F7" w:themeFill="text2" w:themeFillTint="1A"/>
            <w:vAlign w:val="center"/>
          </w:tcPr>
          <w:p w14:paraId="43173DA3" w14:textId="57528853" w:rsidR="00CF5AB7" w:rsidRPr="00185F1A" w:rsidRDefault="00CF5AB7"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INDICADORES</w:t>
            </w:r>
          </w:p>
        </w:tc>
      </w:tr>
      <w:tr w:rsidR="00CF5AB7" w:rsidRPr="00185F1A" w14:paraId="1B300A26" w14:textId="77777777" w:rsidTr="00910236">
        <w:trPr>
          <w:trHeight w:val="632"/>
        </w:trPr>
        <w:tc>
          <w:tcPr>
            <w:tcW w:w="2122" w:type="dxa"/>
            <w:vMerge w:val="restart"/>
            <w:shd w:val="clear" w:color="auto" w:fill="DAE9F7" w:themeFill="text2" w:themeFillTint="1A"/>
            <w:vAlign w:val="center"/>
          </w:tcPr>
          <w:p w14:paraId="24CB62F3" w14:textId="77777777" w:rsidR="00CF5AB7" w:rsidRPr="00185F1A" w:rsidRDefault="00CF5AB7"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Ambiente Apto</w:t>
            </w:r>
          </w:p>
          <w:p w14:paraId="7F289A22" w14:textId="5ADFB70A"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Captura condiciones socioeconómicas que caracterizan el contexto en el que opera el turismo dentro de un departamento</w:t>
            </w:r>
          </w:p>
        </w:tc>
        <w:tc>
          <w:tcPr>
            <w:tcW w:w="6378" w:type="dxa"/>
            <w:vAlign w:val="center"/>
          </w:tcPr>
          <w:p w14:paraId="53AE0289" w14:textId="501ED63C"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Ambiente de Negocios</w:t>
            </w:r>
            <w:r w:rsidR="00241435" w:rsidRPr="00185F1A">
              <w:rPr>
                <w:rFonts w:ascii="Times New Roman" w:hAnsi="Times New Roman" w:cs="Times New Roman"/>
                <w:b/>
                <w:bCs/>
                <w:sz w:val="24"/>
                <w:szCs w:val="24"/>
              </w:rPr>
              <w:t xml:space="preserve">: </w:t>
            </w:r>
            <w:r w:rsidRPr="00185F1A">
              <w:rPr>
                <w:rFonts w:ascii="Times New Roman" w:hAnsi="Times New Roman" w:cs="Times New Roman"/>
                <w:sz w:val="24"/>
                <w:szCs w:val="24"/>
              </w:rPr>
              <w:t xml:space="preserve">Contexto económico productivo, incluye elementos que fomentan la creación y funcionamiento competitivo de micro y pequeños negocios vinculados con sectores al turismo. </w:t>
            </w:r>
          </w:p>
        </w:tc>
      </w:tr>
      <w:tr w:rsidR="00CF5AB7" w:rsidRPr="00185F1A" w14:paraId="352A9F50" w14:textId="77777777" w:rsidTr="00910236">
        <w:trPr>
          <w:trHeight w:val="288"/>
        </w:trPr>
        <w:tc>
          <w:tcPr>
            <w:tcW w:w="2122" w:type="dxa"/>
            <w:vMerge/>
            <w:shd w:val="clear" w:color="auto" w:fill="DAE9F7" w:themeFill="text2" w:themeFillTint="1A"/>
            <w:vAlign w:val="center"/>
          </w:tcPr>
          <w:p w14:paraId="1D020B7B" w14:textId="77777777" w:rsidR="00CF5AB7" w:rsidRPr="00185F1A" w:rsidRDefault="00CF5AB7" w:rsidP="00185F1A">
            <w:pPr>
              <w:pStyle w:val="Prrafodelista"/>
              <w:ind w:left="0"/>
              <w:jc w:val="both"/>
              <w:rPr>
                <w:rFonts w:ascii="Times New Roman" w:hAnsi="Times New Roman" w:cs="Times New Roman"/>
                <w:sz w:val="24"/>
                <w:szCs w:val="24"/>
              </w:rPr>
            </w:pPr>
          </w:p>
        </w:tc>
        <w:tc>
          <w:tcPr>
            <w:tcW w:w="6378" w:type="dxa"/>
            <w:vAlign w:val="center"/>
          </w:tcPr>
          <w:p w14:paraId="727F1F95" w14:textId="14257A66"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Seguridad y protección</w:t>
            </w:r>
            <w:r w:rsidR="00241435" w:rsidRPr="00185F1A">
              <w:rPr>
                <w:rFonts w:ascii="Times New Roman" w:hAnsi="Times New Roman" w:cs="Times New Roman"/>
                <w:b/>
                <w:bCs/>
                <w:sz w:val="24"/>
                <w:szCs w:val="24"/>
              </w:rPr>
              <w:t xml:space="preserve">: </w:t>
            </w:r>
            <w:r w:rsidRPr="00185F1A">
              <w:rPr>
                <w:rFonts w:ascii="Times New Roman" w:hAnsi="Times New Roman" w:cs="Times New Roman"/>
                <w:sz w:val="24"/>
                <w:szCs w:val="24"/>
              </w:rPr>
              <w:t>Disponibilidad de servicios para atender la seguridad ciudadana.</w:t>
            </w:r>
          </w:p>
        </w:tc>
      </w:tr>
      <w:tr w:rsidR="00CF5AB7" w:rsidRPr="00185F1A" w14:paraId="5FC06852" w14:textId="77777777" w:rsidTr="00910236">
        <w:trPr>
          <w:trHeight w:val="559"/>
        </w:trPr>
        <w:tc>
          <w:tcPr>
            <w:tcW w:w="2122" w:type="dxa"/>
            <w:vMerge/>
            <w:shd w:val="clear" w:color="auto" w:fill="DAE9F7" w:themeFill="text2" w:themeFillTint="1A"/>
            <w:vAlign w:val="center"/>
          </w:tcPr>
          <w:p w14:paraId="3F2E9721" w14:textId="77777777" w:rsidR="00CF5AB7" w:rsidRPr="00185F1A" w:rsidRDefault="00CF5AB7" w:rsidP="00185F1A">
            <w:pPr>
              <w:pStyle w:val="Prrafodelista"/>
              <w:ind w:left="0"/>
              <w:jc w:val="both"/>
              <w:rPr>
                <w:rFonts w:ascii="Times New Roman" w:hAnsi="Times New Roman" w:cs="Times New Roman"/>
                <w:sz w:val="24"/>
                <w:szCs w:val="24"/>
              </w:rPr>
            </w:pPr>
          </w:p>
        </w:tc>
        <w:tc>
          <w:tcPr>
            <w:tcW w:w="6378" w:type="dxa"/>
            <w:vAlign w:val="center"/>
          </w:tcPr>
          <w:p w14:paraId="7968A95F" w14:textId="6E487057"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Salud e higiene</w:t>
            </w:r>
            <w:r w:rsidR="00241435" w:rsidRPr="00185F1A">
              <w:rPr>
                <w:rFonts w:ascii="Times New Roman" w:hAnsi="Times New Roman" w:cs="Times New Roman"/>
                <w:b/>
                <w:bCs/>
                <w:sz w:val="24"/>
                <w:szCs w:val="24"/>
              </w:rPr>
              <w:t xml:space="preserve">: </w:t>
            </w:r>
            <w:r w:rsidRPr="00185F1A">
              <w:rPr>
                <w:rFonts w:ascii="Times New Roman" w:hAnsi="Times New Roman" w:cs="Times New Roman"/>
                <w:sz w:val="24"/>
                <w:szCs w:val="24"/>
              </w:rPr>
              <w:t xml:space="preserve">Provisión de servicios de salud básicos, capacidad de respuesta ante la propagación de enfermedades y el adecuado abastecimiento de servicios públicos. </w:t>
            </w:r>
          </w:p>
        </w:tc>
      </w:tr>
      <w:tr w:rsidR="00CF5AB7" w:rsidRPr="00185F1A" w14:paraId="4E2CA0F1" w14:textId="77777777" w:rsidTr="00910236">
        <w:trPr>
          <w:trHeight w:val="402"/>
        </w:trPr>
        <w:tc>
          <w:tcPr>
            <w:tcW w:w="2122" w:type="dxa"/>
            <w:vMerge/>
            <w:shd w:val="clear" w:color="auto" w:fill="DAE9F7" w:themeFill="text2" w:themeFillTint="1A"/>
            <w:vAlign w:val="center"/>
          </w:tcPr>
          <w:p w14:paraId="745AF2BE" w14:textId="77777777" w:rsidR="00CF5AB7" w:rsidRPr="00185F1A" w:rsidRDefault="00CF5AB7" w:rsidP="00185F1A">
            <w:pPr>
              <w:pStyle w:val="Prrafodelista"/>
              <w:ind w:left="0"/>
              <w:jc w:val="both"/>
              <w:rPr>
                <w:rFonts w:ascii="Times New Roman" w:hAnsi="Times New Roman" w:cs="Times New Roman"/>
                <w:sz w:val="24"/>
                <w:szCs w:val="24"/>
              </w:rPr>
            </w:pPr>
          </w:p>
        </w:tc>
        <w:tc>
          <w:tcPr>
            <w:tcW w:w="6378" w:type="dxa"/>
            <w:vAlign w:val="center"/>
          </w:tcPr>
          <w:p w14:paraId="601F64F3" w14:textId="6DCF92C5"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Inclusión digital y financiera</w:t>
            </w:r>
            <w:r w:rsidR="00241435" w:rsidRPr="00185F1A">
              <w:rPr>
                <w:rFonts w:ascii="Times New Roman" w:hAnsi="Times New Roman" w:cs="Times New Roman"/>
                <w:b/>
                <w:bCs/>
                <w:sz w:val="24"/>
                <w:szCs w:val="24"/>
              </w:rPr>
              <w:t xml:space="preserve">: </w:t>
            </w:r>
            <w:r w:rsidRPr="00185F1A">
              <w:rPr>
                <w:rFonts w:ascii="Times New Roman" w:hAnsi="Times New Roman" w:cs="Times New Roman"/>
                <w:sz w:val="24"/>
                <w:szCs w:val="24"/>
              </w:rPr>
              <w:t xml:space="preserve">Conectividad digital y acceso a servicios </w:t>
            </w:r>
            <w:r w:rsidR="00241435" w:rsidRPr="00185F1A">
              <w:rPr>
                <w:rFonts w:ascii="Times New Roman" w:hAnsi="Times New Roman" w:cs="Times New Roman"/>
                <w:sz w:val="24"/>
                <w:szCs w:val="24"/>
              </w:rPr>
              <w:t>financieros van</w:t>
            </w:r>
            <w:r w:rsidRPr="00185F1A">
              <w:rPr>
                <w:rFonts w:ascii="Times New Roman" w:hAnsi="Times New Roman" w:cs="Times New Roman"/>
                <w:sz w:val="24"/>
                <w:szCs w:val="24"/>
              </w:rPr>
              <w:t xml:space="preserve"> de la mano en entornos competitivos</w:t>
            </w:r>
            <w:r w:rsidR="00241435" w:rsidRPr="00185F1A">
              <w:rPr>
                <w:rFonts w:ascii="Times New Roman" w:hAnsi="Times New Roman" w:cs="Times New Roman"/>
                <w:sz w:val="24"/>
                <w:szCs w:val="24"/>
              </w:rPr>
              <w:t xml:space="preserve"> ya que fomentan la capacidad de hacer negocios en turismo. </w:t>
            </w:r>
          </w:p>
        </w:tc>
      </w:tr>
      <w:tr w:rsidR="00CF5AB7" w:rsidRPr="00185F1A" w14:paraId="31BD9019" w14:textId="77777777" w:rsidTr="00910236">
        <w:trPr>
          <w:trHeight w:val="957"/>
        </w:trPr>
        <w:tc>
          <w:tcPr>
            <w:tcW w:w="2122" w:type="dxa"/>
            <w:vMerge w:val="restart"/>
            <w:shd w:val="clear" w:color="auto" w:fill="DAE9F7" w:themeFill="text2" w:themeFillTint="1A"/>
            <w:vAlign w:val="center"/>
          </w:tcPr>
          <w:p w14:paraId="041FE385" w14:textId="77777777" w:rsidR="00CF5AB7" w:rsidRPr="00185F1A" w:rsidRDefault="00CF5AB7"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Política de Viajes y Turismo y condiciones habilitadoras</w:t>
            </w:r>
          </w:p>
          <w:p w14:paraId="30BE0D9C" w14:textId="0B144218" w:rsidR="00241435" w:rsidRPr="00185F1A" w:rsidRDefault="00241435"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lastRenderedPageBreak/>
              <w:t>Priorización departamental del gasto público vinculado con el sector.</w:t>
            </w:r>
          </w:p>
        </w:tc>
        <w:tc>
          <w:tcPr>
            <w:tcW w:w="6378" w:type="dxa"/>
            <w:vAlign w:val="center"/>
          </w:tcPr>
          <w:p w14:paraId="061CE940" w14:textId="1ABFE934" w:rsidR="00241435"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lastRenderedPageBreak/>
              <w:t>Priorización gubernamental de viajes y turismo</w:t>
            </w:r>
            <w:r w:rsidR="00241435" w:rsidRPr="00185F1A">
              <w:rPr>
                <w:rFonts w:ascii="Times New Roman" w:hAnsi="Times New Roman" w:cs="Times New Roman"/>
                <w:b/>
                <w:bCs/>
                <w:sz w:val="24"/>
                <w:szCs w:val="24"/>
              </w:rPr>
              <w:t xml:space="preserve">: </w:t>
            </w:r>
            <w:r w:rsidR="00241435" w:rsidRPr="00185F1A">
              <w:rPr>
                <w:rFonts w:ascii="Times New Roman" w:hAnsi="Times New Roman" w:cs="Times New Roman"/>
                <w:sz w:val="24"/>
                <w:szCs w:val="24"/>
              </w:rPr>
              <w:t>Grado en el que los gobiernos subnacionales priorizan el sector pues atraen inversiones privadas y fomentan la integración de servicios y bienes públicos.</w:t>
            </w:r>
          </w:p>
        </w:tc>
      </w:tr>
      <w:tr w:rsidR="00CF5AB7" w:rsidRPr="00185F1A" w14:paraId="4EFB7730" w14:textId="77777777" w:rsidTr="00910236">
        <w:trPr>
          <w:trHeight w:val="588"/>
        </w:trPr>
        <w:tc>
          <w:tcPr>
            <w:tcW w:w="2122" w:type="dxa"/>
            <w:vMerge/>
            <w:shd w:val="clear" w:color="auto" w:fill="DAE9F7" w:themeFill="text2" w:themeFillTint="1A"/>
            <w:vAlign w:val="center"/>
          </w:tcPr>
          <w:p w14:paraId="19F5E2BA" w14:textId="77777777" w:rsidR="00CF5AB7" w:rsidRPr="00185F1A" w:rsidRDefault="00CF5AB7" w:rsidP="00185F1A">
            <w:pPr>
              <w:pStyle w:val="Prrafodelista"/>
              <w:ind w:left="0"/>
              <w:jc w:val="both"/>
              <w:rPr>
                <w:rFonts w:ascii="Times New Roman" w:hAnsi="Times New Roman" w:cs="Times New Roman"/>
                <w:sz w:val="24"/>
                <w:szCs w:val="24"/>
              </w:rPr>
            </w:pPr>
          </w:p>
        </w:tc>
        <w:tc>
          <w:tcPr>
            <w:tcW w:w="6378" w:type="dxa"/>
            <w:vAlign w:val="center"/>
          </w:tcPr>
          <w:p w14:paraId="0907C9D2" w14:textId="0696F4EC"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Sostenibilidad ambiental</w:t>
            </w:r>
            <w:r w:rsidR="00241435" w:rsidRPr="00185F1A">
              <w:rPr>
                <w:rFonts w:ascii="Times New Roman" w:hAnsi="Times New Roman" w:cs="Times New Roman"/>
                <w:sz w:val="24"/>
                <w:szCs w:val="24"/>
              </w:rPr>
              <w:t>: Factor clave para la sostenibilidad, conservación y manejo de residuos, ratios de pérdidas de bosque y áreas degradas por residuos.</w:t>
            </w:r>
          </w:p>
        </w:tc>
      </w:tr>
      <w:tr w:rsidR="00CF5AB7" w:rsidRPr="00185F1A" w14:paraId="7BE852AC" w14:textId="77777777" w:rsidTr="00910236">
        <w:trPr>
          <w:trHeight w:val="260"/>
        </w:trPr>
        <w:tc>
          <w:tcPr>
            <w:tcW w:w="2122" w:type="dxa"/>
            <w:vMerge w:val="restart"/>
            <w:shd w:val="clear" w:color="auto" w:fill="DAE9F7" w:themeFill="text2" w:themeFillTint="1A"/>
            <w:vAlign w:val="center"/>
          </w:tcPr>
          <w:p w14:paraId="4F2F8E6D" w14:textId="77777777" w:rsidR="00CF5AB7" w:rsidRPr="00185F1A" w:rsidRDefault="00CF5AB7"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Infraestructura Turística</w:t>
            </w:r>
          </w:p>
          <w:p w14:paraId="02121280" w14:textId="55F32F9D" w:rsidR="00241435" w:rsidRPr="00185F1A" w:rsidRDefault="00241435"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Disponibilidad y calidad del capital físico.</w:t>
            </w:r>
          </w:p>
        </w:tc>
        <w:tc>
          <w:tcPr>
            <w:tcW w:w="6378" w:type="dxa"/>
            <w:vAlign w:val="center"/>
          </w:tcPr>
          <w:p w14:paraId="0A5C7ABD" w14:textId="379A3D2F"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Transporte aéreo</w:t>
            </w:r>
            <w:r w:rsidR="00241435" w:rsidRPr="00185F1A">
              <w:rPr>
                <w:rFonts w:ascii="Times New Roman" w:hAnsi="Times New Roman" w:cs="Times New Roman"/>
                <w:sz w:val="24"/>
                <w:szCs w:val="24"/>
              </w:rPr>
              <w:t>: Acceso a servicios de conectividad aérea</w:t>
            </w:r>
            <w:r w:rsidR="00EA2AF3" w:rsidRPr="00185F1A">
              <w:rPr>
                <w:rFonts w:ascii="Times New Roman" w:hAnsi="Times New Roman" w:cs="Times New Roman"/>
                <w:sz w:val="24"/>
                <w:szCs w:val="24"/>
              </w:rPr>
              <w:t>.</w:t>
            </w:r>
          </w:p>
        </w:tc>
      </w:tr>
      <w:tr w:rsidR="00CF5AB7" w:rsidRPr="00185F1A" w14:paraId="4BEB137C" w14:textId="77777777" w:rsidTr="00910236">
        <w:trPr>
          <w:trHeight w:val="310"/>
        </w:trPr>
        <w:tc>
          <w:tcPr>
            <w:tcW w:w="2122" w:type="dxa"/>
            <w:vMerge/>
            <w:shd w:val="clear" w:color="auto" w:fill="DAE9F7" w:themeFill="text2" w:themeFillTint="1A"/>
            <w:vAlign w:val="center"/>
          </w:tcPr>
          <w:p w14:paraId="51E968CF" w14:textId="77777777" w:rsidR="00CF5AB7" w:rsidRPr="00185F1A" w:rsidRDefault="00CF5AB7" w:rsidP="00185F1A">
            <w:pPr>
              <w:pStyle w:val="Prrafodelista"/>
              <w:ind w:left="0"/>
              <w:jc w:val="both"/>
              <w:rPr>
                <w:rFonts w:ascii="Times New Roman" w:hAnsi="Times New Roman" w:cs="Times New Roman"/>
                <w:sz w:val="24"/>
                <w:szCs w:val="24"/>
              </w:rPr>
            </w:pPr>
          </w:p>
        </w:tc>
        <w:tc>
          <w:tcPr>
            <w:tcW w:w="6378" w:type="dxa"/>
            <w:vAlign w:val="center"/>
          </w:tcPr>
          <w:p w14:paraId="0266A16C" w14:textId="038C475C"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Transporte terrestre</w:t>
            </w:r>
            <w:r w:rsidR="00241435" w:rsidRPr="00185F1A">
              <w:rPr>
                <w:rFonts w:ascii="Times New Roman" w:hAnsi="Times New Roman" w:cs="Times New Roman"/>
                <w:sz w:val="24"/>
                <w:szCs w:val="24"/>
              </w:rPr>
              <w:t xml:space="preserve">: </w:t>
            </w:r>
            <w:r w:rsidR="00EA2AF3" w:rsidRPr="00185F1A">
              <w:rPr>
                <w:rFonts w:ascii="Times New Roman" w:hAnsi="Times New Roman" w:cs="Times New Roman"/>
                <w:sz w:val="24"/>
                <w:szCs w:val="24"/>
              </w:rPr>
              <w:t>Calidad de las vías terrestres, riesgos.</w:t>
            </w:r>
          </w:p>
        </w:tc>
      </w:tr>
      <w:tr w:rsidR="00CF5AB7" w:rsidRPr="00185F1A" w14:paraId="6DF2E8D6" w14:textId="77777777" w:rsidTr="00910236">
        <w:trPr>
          <w:trHeight w:val="50"/>
        </w:trPr>
        <w:tc>
          <w:tcPr>
            <w:tcW w:w="2122" w:type="dxa"/>
            <w:vMerge/>
            <w:shd w:val="clear" w:color="auto" w:fill="DAE9F7" w:themeFill="text2" w:themeFillTint="1A"/>
            <w:vAlign w:val="center"/>
          </w:tcPr>
          <w:p w14:paraId="24FD97DF" w14:textId="77777777" w:rsidR="00CF5AB7" w:rsidRPr="00185F1A" w:rsidRDefault="00CF5AB7" w:rsidP="00185F1A">
            <w:pPr>
              <w:pStyle w:val="Prrafodelista"/>
              <w:ind w:left="0"/>
              <w:jc w:val="both"/>
              <w:rPr>
                <w:rFonts w:ascii="Times New Roman" w:hAnsi="Times New Roman" w:cs="Times New Roman"/>
                <w:sz w:val="24"/>
                <w:szCs w:val="24"/>
              </w:rPr>
            </w:pPr>
          </w:p>
        </w:tc>
        <w:tc>
          <w:tcPr>
            <w:tcW w:w="6378" w:type="dxa"/>
            <w:vAlign w:val="center"/>
          </w:tcPr>
          <w:p w14:paraId="2FB816F0" w14:textId="207C3506"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Infraestructura de servicios turísticos</w:t>
            </w:r>
            <w:r w:rsidR="00EA2AF3" w:rsidRPr="00185F1A">
              <w:rPr>
                <w:rFonts w:ascii="Times New Roman" w:hAnsi="Times New Roman" w:cs="Times New Roman"/>
                <w:sz w:val="24"/>
                <w:szCs w:val="24"/>
              </w:rPr>
              <w:t>: Disponibilidad de servicios de acomodación y hospedaje.</w:t>
            </w:r>
          </w:p>
        </w:tc>
      </w:tr>
      <w:tr w:rsidR="00CF5AB7" w:rsidRPr="00185F1A" w14:paraId="5097F544" w14:textId="77777777" w:rsidTr="00910236">
        <w:trPr>
          <w:trHeight w:val="488"/>
        </w:trPr>
        <w:tc>
          <w:tcPr>
            <w:tcW w:w="2122" w:type="dxa"/>
            <w:vMerge w:val="restart"/>
            <w:shd w:val="clear" w:color="auto" w:fill="DAE9F7" w:themeFill="text2" w:themeFillTint="1A"/>
            <w:vAlign w:val="center"/>
          </w:tcPr>
          <w:p w14:paraId="0171EA64" w14:textId="77777777" w:rsidR="00CF5AB7" w:rsidRPr="00185F1A" w:rsidRDefault="00CF5AB7" w:rsidP="00185F1A">
            <w:pPr>
              <w:pStyle w:val="Prrafodelista"/>
              <w:ind w:left="0"/>
              <w:jc w:val="both"/>
              <w:rPr>
                <w:rFonts w:ascii="Times New Roman" w:hAnsi="Times New Roman" w:cs="Times New Roman"/>
                <w:b/>
                <w:bCs/>
                <w:sz w:val="24"/>
                <w:szCs w:val="24"/>
              </w:rPr>
            </w:pPr>
            <w:r w:rsidRPr="00185F1A">
              <w:rPr>
                <w:rFonts w:ascii="Times New Roman" w:hAnsi="Times New Roman" w:cs="Times New Roman"/>
                <w:b/>
                <w:bCs/>
                <w:sz w:val="24"/>
                <w:szCs w:val="24"/>
              </w:rPr>
              <w:t>Recursos Naturales y Culturales</w:t>
            </w:r>
          </w:p>
          <w:p w14:paraId="370AA9AD" w14:textId="44F49970" w:rsidR="00910236" w:rsidRPr="00185F1A" w:rsidRDefault="00910236" w:rsidP="00185F1A">
            <w:pPr>
              <w:pStyle w:val="Prrafodelista"/>
              <w:ind w:left="0"/>
              <w:jc w:val="both"/>
              <w:rPr>
                <w:rFonts w:ascii="Times New Roman" w:hAnsi="Times New Roman" w:cs="Times New Roman"/>
                <w:sz w:val="24"/>
                <w:szCs w:val="24"/>
              </w:rPr>
            </w:pPr>
            <w:r w:rsidRPr="00185F1A">
              <w:rPr>
                <w:rFonts w:ascii="Times New Roman" w:hAnsi="Times New Roman" w:cs="Times New Roman"/>
                <w:sz w:val="24"/>
                <w:szCs w:val="24"/>
              </w:rPr>
              <w:t>Puesta en valor del patrimonio.</w:t>
            </w:r>
          </w:p>
        </w:tc>
        <w:tc>
          <w:tcPr>
            <w:tcW w:w="6378" w:type="dxa"/>
            <w:vAlign w:val="center"/>
          </w:tcPr>
          <w:p w14:paraId="6816C856" w14:textId="77777777" w:rsidR="00910236" w:rsidRPr="00185F1A" w:rsidRDefault="00910236" w:rsidP="00185F1A">
            <w:pPr>
              <w:pStyle w:val="Prrafodelista"/>
              <w:ind w:left="0"/>
              <w:jc w:val="both"/>
              <w:rPr>
                <w:rFonts w:ascii="Times New Roman" w:hAnsi="Times New Roman" w:cs="Times New Roman"/>
                <w:b/>
                <w:bCs/>
                <w:sz w:val="24"/>
                <w:szCs w:val="24"/>
                <w:lang w:val="es-PE"/>
              </w:rPr>
            </w:pPr>
          </w:p>
          <w:p w14:paraId="11D515FE" w14:textId="06EDB3C9" w:rsidR="00CF5AB7" w:rsidRPr="00185F1A" w:rsidRDefault="00CF5AB7" w:rsidP="00185F1A">
            <w:pPr>
              <w:pStyle w:val="Prrafodelista"/>
              <w:ind w:left="0"/>
              <w:jc w:val="both"/>
              <w:rPr>
                <w:rFonts w:ascii="Times New Roman" w:hAnsi="Times New Roman" w:cs="Times New Roman"/>
                <w:sz w:val="24"/>
                <w:szCs w:val="24"/>
                <w:lang w:val="es-PE"/>
              </w:rPr>
            </w:pPr>
            <w:r w:rsidRPr="00185F1A">
              <w:rPr>
                <w:rFonts w:ascii="Times New Roman" w:hAnsi="Times New Roman" w:cs="Times New Roman"/>
                <w:b/>
                <w:bCs/>
                <w:sz w:val="24"/>
                <w:szCs w:val="24"/>
                <w:lang w:val="es-PE"/>
              </w:rPr>
              <w:t>Recursos naturales</w:t>
            </w:r>
            <w:r w:rsidR="00EA2AF3" w:rsidRPr="00185F1A">
              <w:rPr>
                <w:rFonts w:ascii="Times New Roman" w:hAnsi="Times New Roman" w:cs="Times New Roman"/>
                <w:sz w:val="24"/>
                <w:szCs w:val="24"/>
                <w:lang w:val="es-PE"/>
              </w:rPr>
              <w:t xml:space="preserve">: </w:t>
            </w:r>
            <w:r w:rsidR="00910236" w:rsidRPr="00185F1A">
              <w:rPr>
                <w:rFonts w:ascii="Times New Roman" w:hAnsi="Times New Roman" w:cs="Times New Roman"/>
                <w:sz w:val="24"/>
                <w:szCs w:val="24"/>
                <w:lang w:val="es-PE"/>
              </w:rPr>
              <w:t>Comprende las áreas naturales protegidas por el Estado (ANP).</w:t>
            </w:r>
          </w:p>
          <w:p w14:paraId="2F1C1C07" w14:textId="371686CD" w:rsidR="00910236" w:rsidRPr="00185F1A" w:rsidRDefault="00910236" w:rsidP="00185F1A">
            <w:pPr>
              <w:pStyle w:val="Prrafodelista"/>
              <w:ind w:left="0"/>
              <w:jc w:val="both"/>
              <w:rPr>
                <w:rFonts w:ascii="Times New Roman" w:hAnsi="Times New Roman" w:cs="Times New Roman"/>
                <w:sz w:val="24"/>
                <w:szCs w:val="24"/>
                <w:lang w:val="es-PE"/>
              </w:rPr>
            </w:pPr>
          </w:p>
        </w:tc>
      </w:tr>
      <w:tr w:rsidR="00CF5AB7" w:rsidRPr="00185F1A" w14:paraId="1FE388EA" w14:textId="77777777" w:rsidTr="00910236">
        <w:trPr>
          <w:trHeight w:val="482"/>
        </w:trPr>
        <w:tc>
          <w:tcPr>
            <w:tcW w:w="2122" w:type="dxa"/>
            <w:vMerge/>
            <w:shd w:val="clear" w:color="auto" w:fill="DAE9F7" w:themeFill="text2" w:themeFillTint="1A"/>
            <w:vAlign w:val="center"/>
          </w:tcPr>
          <w:p w14:paraId="0D770D52" w14:textId="77777777" w:rsidR="00CF5AB7" w:rsidRPr="00185F1A" w:rsidRDefault="00CF5AB7" w:rsidP="00185F1A">
            <w:pPr>
              <w:pStyle w:val="Prrafodelista"/>
              <w:ind w:left="0"/>
              <w:jc w:val="both"/>
              <w:rPr>
                <w:rFonts w:ascii="Times New Roman" w:hAnsi="Times New Roman" w:cs="Times New Roman"/>
                <w:sz w:val="24"/>
                <w:szCs w:val="24"/>
                <w:lang w:val="pt-BR"/>
              </w:rPr>
            </w:pPr>
          </w:p>
        </w:tc>
        <w:tc>
          <w:tcPr>
            <w:tcW w:w="6378" w:type="dxa"/>
            <w:vAlign w:val="center"/>
          </w:tcPr>
          <w:p w14:paraId="2B46BEBC" w14:textId="4E8AE2B2" w:rsidR="00CF5AB7" w:rsidRPr="00185F1A" w:rsidRDefault="00CF5AB7" w:rsidP="00185F1A">
            <w:pPr>
              <w:pStyle w:val="Prrafodelista"/>
              <w:ind w:left="0"/>
              <w:jc w:val="both"/>
              <w:rPr>
                <w:rFonts w:ascii="Times New Roman" w:hAnsi="Times New Roman" w:cs="Times New Roman"/>
                <w:sz w:val="24"/>
                <w:szCs w:val="24"/>
              </w:rPr>
            </w:pPr>
            <w:r w:rsidRPr="00185F1A">
              <w:rPr>
                <w:rFonts w:ascii="Times New Roman" w:hAnsi="Times New Roman" w:cs="Times New Roman"/>
                <w:b/>
                <w:bCs/>
                <w:sz w:val="24"/>
                <w:szCs w:val="24"/>
              </w:rPr>
              <w:t>Recursos culturales</w:t>
            </w:r>
            <w:r w:rsidR="00910236" w:rsidRPr="00185F1A">
              <w:rPr>
                <w:rFonts w:ascii="Times New Roman" w:hAnsi="Times New Roman" w:cs="Times New Roman"/>
                <w:sz w:val="24"/>
                <w:szCs w:val="24"/>
              </w:rPr>
              <w:t>: Vasta oferta cultural patrimonial.</w:t>
            </w:r>
          </w:p>
        </w:tc>
      </w:tr>
    </w:tbl>
    <w:p w14:paraId="76118E3A" w14:textId="377C6775" w:rsidR="003166DB" w:rsidRPr="00185F1A" w:rsidRDefault="008F5355" w:rsidP="00185F1A">
      <w:pPr>
        <w:pStyle w:val="Prrafodelista"/>
        <w:ind w:left="0"/>
        <w:jc w:val="both"/>
        <w:rPr>
          <w:rFonts w:ascii="Times New Roman" w:hAnsi="Times New Roman" w:cs="Times New Roman"/>
          <w:sz w:val="24"/>
          <w:szCs w:val="24"/>
        </w:rPr>
      </w:pPr>
      <w:r w:rsidRPr="00DD13E9">
        <w:rPr>
          <w:rFonts w:ascii="Times New Roman" w:hAnsi="Times New Roman" w:cs="Times New Roman"/>
          <w:b/>
          <w:bCs/>
          <w:sz w:val="24"/>
          <w:szCs w:val="24"/>
        </w:rPr>
        <w:t>Fuente:</w:t>
      </w:r>
      <w:r w:rsidRPr="00185F1A">
        <w:rPr>
          <w:rFonts w:ascii="Times New Roman" w:hAnsi="Times New Roman" w:cs="Times New Roman"/>
          <w:sz w:val="24"/>
          <w:szCs w:val="24"/>
        </w:rPr>
        <w:t xml:space="preserve"> COMEXPERÚ 2019. Elaboración propia.</w:t>
      </w:r>
    </w:p>
    <w:p w14:paraId="73A9D197" w14:textId="77777777" w:rsidR="003166DB" w:rsidRPr="00185F1A" w:rsidRDefault="003166DB" w:rsidP="00185F1A">
      <w:pPr>
        <w:pStyle w:val="Prrafodelista"/>
        <w:ind w:left="0"/>
        <w:jc w:val="both"/>
        <w:rPr>
          <w:rFonts w:ascii="Times New Roman" w:hAnsi="Times New Roman" w:cs="Times New Roman"/>
          <w:sz w:val="24"/>
          <w:szCs w:val="24"/>
        </w:rPr>
      </w:pPr>
    </w:p>
    <w:p w14:paraId="37C03F3F" w14:textId="1DBC1876" w:rsidR="009F7B94" w:rsidRPr="00185F1A" w:rsidRDefault="008E0AF8" w:rsidP="00DD13E9">
      <w:pPr>
        <w:pStyle w:val="Prrafodelista"/>
        <w:spacing w:line="240" w:lineRule="auto"/>
        <w:ind w:left="0" w:firstLine="567"/>
        <w:jc w:val="both"/>
        <w:rPr>
          <w:rFonts w:ascii="Times New Roman" w:hAnsi="Times New Roman" w:cs="Times New Roman"/>
          <w:sz w:val="24"/>
          <w:szCs w:val="24"/>
        </w:rPr>
      </w:pPr>
      <w:r w:rsidRPr="00185F1A">
        <w:rPr>
          <w:rFonts w:ascii="Times New Roman" w:hAnsi="Times New Roman" w:cs="Times New Roman"/>
          <w:sz w:val="24"/>
          <w:szCs w:val="24"/>
        </w:rPr>
        <w:t xml:space="preserve">Cada año se realiza un diagnóstico situacional en las regiones con el objetivo de actualizar el ICTD. Para fines del presente artículo, se tomará en cuenta </w:t>
      </w:r>
      <w:r w:rsidR="00575335" w:rsidRPr="00185F1A">
        <w:rPr>
          <w:rFonts w:ascii="Times New Roman" w:hAnsi="Times New Roman" w:cs="Times New Roman"/>
          <w:sz w:val="24"/>
          <w:szCs w:val="24"/>
        </w:rPr>
        <w:t xml:space="preserve">el primer pilar que se encuentra relacionado con la Seguridad Multidimensional. </w:t>
      </w:r>
      <w:r w:rsidR="006B4B4E" w:rsidRPr="00185F1A">
        <w:rPr>
          <w:rFonts w:ascii="Times New Roman" w:hAnsi="Times New Roman" w:cs="Times New Roman"/>
          <w:sz w:val="24"/>
          <w:szCs w:val="24"/>
        </w:rPr>
        <w:t>El indicador de sostenibilidad ambiental</w:t>
      </w:r>
      <w:r w:rsidR="001C6562" w:rsidRPr="00185F1A">
        <w:rPr>
          <w:rFonts w:ascii="Times New Roman" w:hAnsi="Times New Roman" w:cs="Times New Roman"/>
          <w:sz w:val="24"/>
          <w:szCs w:val="24"/>
        </w:rPr>
        <w:t xml:space="preserve"> que forma parte del segundo pilar,</w:t>
      </w:r>
      <w:r w:rsidR="006B4B4E" w:rsidRPr="00185F1A">
        <w:rPr>
          <w:rFonts w:ascii="Times New Roman" w:hAnsi="Times New Roman" w:cs="Times New Roman"/>
          <w:sz w:val="24"/>
          <w:szCs w:val="24"/>
        </w:rPr>
        <w:t xml:space="preserve"> no se ha tomado en cuenta para el análisis debido a que los resultados están enfocados a si los Gobiernos Locales cuentan o no con una oficina o unidad ambiental</w:t>
      </w:r>
      <w:r w:rsidR="00DB0118" w:rsidRPr="00185F1A">
        <w:rPr>
          <w:rFonts w:ascii="Times New Roman" w:hAnsi="Times New Roman" w:cs="Times New Roman"/>
          <w:sz w:val="24"/>
          <w:szCs w:val="24"/>
        </w:rPr>
        <w:t>.</w:t>
      </w:r>
    </w:p>
    <w:p w14:paraId="1E1E09D6" w14:textId="77777777" w:rsidR="007119C4" w:rsidRDefault="007119C4" w:rsidP="00185F1A">
      <w:pPr>
        <w:pStyle w:val="Prrafodelista"/>
        <w:spacing w:line="240" w:lineRule="auto"/>
        <w:ind w:left="0"/>
        <w:jc w:val="both"/>
        <w:rPr>
          <w:rFonts w:ascii="Times New Roman" w:hAnsi="Times New Roman" w:cs="Times New Roman"/>
          <w:sz w:val="24"/>
          <w:szCs w:val="24"/>
        </w:rPr>
      </w:pPr>
    </w:p>
    <w:p w14:paraId="185559C7" w14:textId="77777777" w:rsidR="00DD13E9" w:rsidRPr="00185F1A" w:rsidRDefault="00DD13E9" w:rsidP="00185F1A">
      <w:pPr>
        <w:pStyle w:val="Prrafodelista"/>
        <w:spacing w:line="240" w:lineRule="auto"/>
        <w:ind w:left="0"/>
        <w:jc w:val="both"/>
        <w:rPr>
          <w:rFonts w:ascii="Times New Roman" w:hAnsi="Times New Roman" w:cs="Times New Roman"/>
          <w:sz w:val="24"/>
          <w:szCs w:val="24"/>
        </w:rPr>
      </w:pPr>
    </w:p>
    <w:p w14:paraId="6B924D07" w14:textId="6681A9E0" w:rsidR="00B30EB5" w:rsidRPr="00185F1A" w:rsidRDefault="00B30EB5" w:rsidP="00185F1A">
      <w:pPr>
        <w:pStyle w:val="Prrafodelista"/>
        <w:numPr>
          <w:ilvl w:val="0"/>
          <w:numId w:val="3"/>
        </w:numPr>
        <w:ind w:left="567" w:hanging="567"/>
        <w:jc w:val="both"/>
        <w:rPr>
          <w:rFonts w:ascii="Times New Roman" w:hAnsi="Times New Roman" w:cs="Times New Roman"/>
          <w:b/>
          <w:bCs/>
          <w:sz w:val="24"/>
          <w:szCs w:val="24"/>
        </w:rPr>
      </w:pPr>
      <w:r w:rsidRPr="00185F1A">
        <w:rPr>
          <w:rFonts w:ascii="Times New Roman" w:hAnsi="Times New Roman" w:cs="Times New Roman"/>
          <w:b/>
          <w:bCs/>
          <w:sz w:val="24"/>
          <w:szCs w:val="24"/>
        </w:rPr>
        <w:t>Resultados</w:t>
      </w:r>
    </w:p>
    <w:p w14:paraId="61D9509D" w14:textId="0703C557" w:rsidR="00F83E90" w:rsidRDefault="00F83E90" w:rsidP="00185F1A">
      <w:pPr>
        <w:spacing w:after="0" w:line="240" w:lineRule="auto"/>
        <w:ind w:firstLine="567"/>
        <w:jc w:val="both"/>
        <w:rPr>
          <w:rFonts w:ascii="Times New Roman" w:hAnsi="Times New Roman" w:cs="Times New Roman"/>
          <w:sz w:val="24"/>
          <w:szCs w:val="24"/>
        </w:rPr>
      </w:pPr>
      <w:r w:rsidRPr="00185F1A">
        <w:rPr>
          <w:rFonts w:ascii="Times New Roman" w:hAnsi="Times New Roman" w:cs="Times New Roman"/>
          <w:sz w:val="24"/>
          <w:szCs w:val="24"/>
        </w:rPr>
        <w:t>En el caso peruano, Daries et al. (2021) mencionan que la competitividad turística</w:t>
      </w:r>
      <w:r w:rsidR="001F1DEE" w:rsidRPr="00185F1A">
        <w:rPr>
          <w:rFonts w:ascii="Times New Roman" w:hAnsi="Times New Roman" w:cs="Times New Roman"/>
          <w:sz w:val="24"/>
          <w:szCs w:val="24"/>
        </w:rPr>
        <w:t xml:space="preserve"> </w:t>
      </w:r>
      <w:r w:rsidRPr="00185F1A">
        <w:rPr>
          <w:rFonts w:ascii="Times New Roman" w:hAnsi="Times New Roman" w:cs="Times New Roman"/>
          <w:sz w:val="24"/>
          <w:szCs w:val="24"/>
        </w:rPr>
        <w:t xml:space="preserve">en el Perú es reducida, en términos generales, si bien ha mejorado en los últimos años. </w:t>
      </w:r>
      <w:r w:rsidR="00575335" w:rsidRPr="00185F1A">
        <w:rPr>
          <w:rFonts w:ascii="Times New Roman" w:hAnsi="Times New Roman" w:cs="Times New Roman"/>
          <w:sz w:val="24"/>
          <w:szCs w:val="24"/>
        </w:rPr>
        <w:t xml:space="preserve">Los autores de este informe preparado para el </w:t>
      </w:r>
      <w:r w:rsidR="004B67E0" w:rsidRPr="00185F1A">
        <w:rPr>
          <w:rFonts w:ascii="Times New Roman" w:hAnsi="Times New Roman" w:cs="Times New Roman"/>
          <w:sz w:val="24"/>
          <w:szCs w:val="24"/>
        </w:rPr>
        <w:t>BID</w:t>
      </w:r>
      <w:r w:rsidR="00575335" w:rsidRPr="00185F1A">
        <w:rPr>
          <w:rFonts w:ascii="Times New Roman" w:hAnsi="Times New Roman" w:cs="Times New Roman"/>
          <w:sz w:val="24"/>
          <w:szCs w:val="24"/>
        </w:rPr>
        <w:t xml:space="preserve"> p</w:t>
      </w:r>
      <w:r w:rsidRPr="00185F1A">
        <w:rPr>
          <w:rFonts w:ascii="Times New Roman" w:hAnsi="Times New Roman" w:cs="Times New Roman"/>
          <w:sz w:val="24"/>
          <w:szCs w:val="24"/>
        </w:rPr>
        <w:t xml:space="preserve">recisan </w:t>
      </w:r>
      <w:r w:rsidR="001C6562" w:rsidRPr="00185F1A">
        <w:rPr>
          <w:rFonts w:ascii="Times New Roman" w:hAnsi="Times New Roman" w:cs="Times New Roman"/>
          <w:sz w:val="24"/>
          <w:szCs w:val="24"/>
        </w:rPr>
        <w:t>que,</w:t>
      </w:r>
      <w:r w:rsidRPr="00185F1A">
        <w:rPr>
          <w:rFonts w:ascii="Times New Roman" w:hAnsi="Times New Roman" w:cs="Times New Roman"/>
          <w:sz w:val="24"/>
          <w:szCs w:val="24"/>
        </w:rPr>
        <w:t xml:space="preserve"> si se hace un análisis sobre determinados campos, se puede observar que todavía es necesario mejorar, como es el caso de la red vial y la conectividad aérea entre ciudades, sin tener que pasar por Lima. Asimismo, en lo que respecta la infraestructura de salud e higiene en la cual Perú se ubica en uno de los puestos más bajos comparativamente con destinos como Chile, Ecuador y Colombia</w:t>
      </w:r>
      <w:r w:rsidR="00575335" w:rsidRPr="00185F1A">
        <w:rPr>
          <w:rFonts w:ascii="Times New Roman" w:hAnsi="Times New Roman" w:cs="Times New Roman"/>
          <w:sz w:val="24"/>
          <w:szCs w:val="24"/>
        </w:rPr>
        <w:t>.</w:t>
      </w:r>
    </w:p>
    <w:p w14:paraId="50F827DF" w14:textId="77777777" w:rsidR="00DD13E9" w:rsidRPr="00185F1A" w:rsidRDefault="00DD13E9" w:rsidP="00185F1A">
      <w:pPr>
        <w:spacing w:after="0" w:line="240" w:lineRule="auto"/>
        <w:ind w:firstLine="567"/>
        <w:jc w:val="both"/>
        <w:rPr>
          <w:rFonts w:ascii="Times New Roman" w:hAnsi="Times New Roman" w:cs="Times New Roman"/>
          <w:sz w:val="24"/>
          <w:szCs w:val="24"/>
        </w:rPr>
      </w:pPr>
    </w:p>
    <w:p w14:paraId="5CEF9D29" w14:textId="518310FA" w:rsidR="00F44180" w:rsidRDefault="00F83E90" w:rsidP="00DD13E9">
      <w:pPr>
        <w:spacing w:after="0" w:line="240" w:lineRule="auto"/>
        <w:ind w:firstLine="567"/>
        <w:jc w:val="both"/>
        <w:rPr>
          <w:rFonts w:ascii="Times New Roman" w:hAnsi="Times New Roman" w:cs="Times New Roman"/>
          <w:sz w:val="24"/>
          <w:szCs w:val="24"/>
        </w:rPr>
      </w:pPr>
      <w:r w:rsidRPr="00185F1A">
        <w:rPr>
          <w:rFonts w:ascii="Times New Roman" w:hAnsi="Times New Roman" w:cs="Times New Roman"/>
          <w:sz w:val="24"/>
          <w:szCs w:val="24"/>
        </w:rPr>
        <w:t>Efectivamente, en el Índice de Desarrollo de Viajes y Turismo 2021 que publica el Foro Económico Mundial (WEF), Perú ocupó la posición 65 en el ranking, siendo superado por Chile, Brasil, Uruguay, Colombia y Argentina. En el análisis realizado por el WEF se pudo constatar que el país presenta deficiencias en el comportamiento de los subíndices como el de sostenibilidad, entorno propicio e infraestructura.</w:t>
      </w:r>
    </w:p>
    <w:p w14:paraId="3B483DC3" w14:textId="77777777" w:rsidR="00DD13E9" w:rsidRPr="00185F1A" w:rsidRDefault="00DD13E9" w:rsidP="00DD13E9">
      <w:pPr>
        <w:spacing w:after="0" w:line="240" w:lineRule="auto"/>
        <w:ind w:firstLine="567"/>
        <w:jc w:val="both"/>
        <w:rPr>
          <w:rFonts w:ascii="Times New Roman" w:hAnsi="Times New Roman" w:cs="Times New Roman"/>
          <w:sz w:val="24"/>
          <w:szCs w:val="24"/>
        </w:rPr>
      </w:pPr>
    </w:p>
    <w:p w14:paraId="5C2E2917" w14:textId="4404BCD8" w:rsidR="00575335" w:rsidRPr="00185F1A" w:rsidRDefault="00575335" w:rsidP="00DD13E9">
      <w:pPr>
        <w:spacing w:after="0" w:line="240" w:lineRule="auto"/>
        <w:ind w:firstLine="567"/>
        <w:jc w:val="both"/>
        <w:rPr>
          <w:rFonts w:ascii="Times New Roman" w:hAnsi="Times New Roman" w:cs="Times New Roman"/>
          <w:sz w:val="24"/>
          <w:szCs w:val="24"/>
        </w:rPr>
      </w:pPr>
      <w:r w:rsidRPr="00185F1A">
        <w:rPr>
          <w:rFonts w:ascii="Times New Roman" w:hAnsi="Times New Roman" w:cs="Times New Roman"/>
          <w:sz w:val="24"/>
          <w:szCs w:val="24"/>
        </w:rPr>
        <w:t>En cuanto al Índice de Competitividad Departamental</w:t>
      </w:r>
      <w:r w:rsidR="004B67E0" w:rsidRPr="00185F1A">
        <w:rPr>
          <w:rFonts w:ascii="Times New Roman" w:hAnsi="Times New Roman" w:cs="Times New Roman"/>
          <w:sz w:val="24"/>
          <w:szCs w:val="24"/>
        </w:rPr>
        <w:t xml:space="preserve"> que se presenta en la Figura 7</w:t>
      </w:r>
      <w:r w:rsidRPr="00185F1A">
        <w:rPr>
          <w:rFonts w:ascii="Times New Roman" w:hAnsi="Times New Roman" w:cs="Times New Roman"/>
          <w:sz w:val="24"/>
          <w:szCs w:val="24"/>
        </w:rPr>
        <w:t>, de manera general</w:t>
      </w:r>
      <w:r w:rsidR="004B67E0" w:rsidRPr="00185F1A">
        <w:rPr>
          <w:rFonts w:ascii="Times New Roman" w:hAnsi="Times New Roman" w:cs="Times New Roman"/>
          <w:sz w:val="24"/>
          <w:szCs w:val="24"/>
        </w:rPr>
        <w:t>,</w:t>
      </w:r>
      <w:r w:rsidRPr="00185F1A">
        <w:rPr>
          <w:rFonts w:ascii="Times New Roman" w:hAnsi="Times New Roman" w:cs="Times New Roman"/>
          <w:sz w:val="24"/>
          <w:szCs w:val="24"/>
        </w:rPr>
        <w:t xml:space="preserve"> se puede observar, por ejemplo, que el departamento de Cusco lidera en competitividad turística en el país</w:t>
      </w:r>
      <w:r w:rsidR="005D561A" w:rsidRPr="00185F1A">
        <w:rPr>
          <w:rFonts w:ascii="Times New Roman" w:hAnsi="Times New Roman" w:cs="Times New Roman"/>
          <w:sz w:val="24"/>
          <w:szCs w:val="24"/>
        </w:rPr>
        <w:t xml:space="preserve"> sin embargo en cuanto al primer pilar de este indicador, que corresponde al análisis de Ambiente Apto</w:t>
      </w:r>
      <w:r w:rsidR="004B67E0" w:rsidRPr="00185F1A">
        <w:rPr>
          <w:rFonts w:ascii="Times New Roman" w:hAnsi="Times New Roman" w:cs="Times New Roman"/>
          <w:sz w:val="24"/>
          <w:szCs w:val="24"/>
        </w:rPr>
        <w:t xml:space="preserve"> presentado en la Figura 8,</w:t>
      </w:r>
      <w:r w:rsidR="005D561A" w:rsidRPr="00185F1A">
        <w:rPr>
          <w:rFonts w:ascii="Times New Roman" w:hAnsi="Times New Roman" w:cs="Times New Roman"/>
          <w:sz w:val="24"/>
          <w:szCs w:val="24"/>
        </w:rPr>
        <w:t xml:space="preserve"> ocupa el noveno lugar. </w:t>
      </w:r>
    </w:p>
    <w:p w14:paraId="0E2497C2" w14:textId="77777777" w:rsidR="007119C4" w:rsidRPr="00185F1A" w:rsidRDefault="007119C4" w:rsidP="00185F1A">
      <w:pPr>
        <w:spacing w:after="0" w:line="240" w:lineRule="auto"/>
        <w:jc w:val="both"/>
        <w:rPr>
          <w:rFonts w:ascii="Times New Roman" w:hAnsi="Times New Roman" w:cs="Times New Roman"/>
          <w:sz w:val="24"/>
          <w:szCs w:val="24"/>
        </w:rPr>
      </w:pPr>
    </w:p>
    <w:p w14:paraId="1B91973F" w14:textId="77777777" w:rsidR="00DD13E9" w:rsidRDefault="00DD13E9" w:rsidP="00185F1A">
      <w:pPr>
        <w:spacing w:after="0" w:line="240" w:lineRule="auto"/>
        <w:jc w:val="both"/>
        <w:rPr>
          <w:rFonts w:ascii="Times New Roman" w:hAnsi="Times New Roman" w:cs="Times New Roman"/>
          <w:b/>
          <w:bCs/>
          <w:sz w:val="24"/>
          <w:szCs w:val="24"/>
        </w:rPr>
      </w:pPr>
    </w:p>
    <w:p w14:paraId="355DB3E1" w14:textId="7BB14FE0" w:rsidR="00DD658C" w:rsidRDefault="00BA787B" w:rsidP="00185F1A">
      <w:pPr>
        <w:spacing w:after="0" w:line="240" w:lineRule="auto"/>
        <w:jc w:val="both"/>
        <w:rPr>
          <w:rFonts w:ascii="Times New Roman" w:hAnsi="Times New Roman" w:cs="Times New Roman"/>
          <w:b/>
          <w:bCs/>
          <w:sz w:val="24"/>
          <w:szCs w:val="24"/>
        </w:rPr>
      </w:pPr>
      <w:r w:rsidRPr="00185F1A">
        <w:rPr>
          <w:rFonts w:ascii="Times New Roman" w:hAnsi="Times New Roman" w:cs="Times New Roman"/>
          <w:b/>
          <w:bCs/>
          <w:sz w:val="24"/>
          <w:szCs w:val="24"/>
        </w:rPr>
        <w:t xml:space="preserve">Figura </w:t>
      </w:r>
      <w:r w:rsidR="00355408" w:rsidRPr="00185F1A">
        <w:rPr>
          <w:rFonts w:ascii="Times New Roman" w:hAnsi="Times New Roman" w:cs="Times New Roman"/>
          <w:b/>
          <w:bCs/>
          <w:sz w:val="24"/>
          <w:szCs w:val="24"/>
        </w:rPr>
        <w:t>7</w:t>
      </w:r>
      <w:r w:rsidR="00DD13E9">
        <w:rPr>
          <w:rFonts w:ascii="Times New Roman" w:hAnsi="Times New Roman" w:cs="Times New Roman"/>
          <w:b/>
          <w:bCs/>
          <w:sz w:val="24"/>
          <w:szCs w:val="24"/>
        </w:rPr>
        <w:t xml:space="preserve">. </w:t>
      </w:r>
      <w:r w:rsidRPr="00DD13E9">
        <w:rPr>
          <w:rFonts w:ascii="Times New Roman" w:hAnsi="Times New Roman" w:cs="Times New Roman"/>
          <w:b/>
          <w:bCs/>
          <w:sz w:val="24"/>
          <w:szCs w:val="24"/>
        </w:rPr>
        <w:t>Índice de Competitividad Departamental años 2019 y 2022</w:t>
      </w:r>
    </w:p>
    <w:p w14:paraId="5C992271" w14:textId="77777777" w:rsidR="00DD13E9" w:rsidRPr="00DD13E9" w:rsidRDefault="00DD13E9" w:rsidP="00185F1A">
      <w:pPr>
        <w:spacing w:after="0" w:line="240" w:lineRule="auto"/>
        <w:jc w:val="both"/>
        <w:rPr>
          <w:rFonts w:ascii="Times New Roman" w:hAnsi="Times New Roman" w:cs="Times New Roman"/>
          <w:b/>
          <w:bCs/>
          <w:sz w:val="24"/>
          <w:szCs w:val="24"/>
        </w:rPr>
      </w:pPr>
    </w:p>
    <w:p w14:paraId="55F75603" w14:textId="3B4A5D90" w:rsidR="00F1445B" w:rsidRPr="00185F1A" w:rsidRDefault="00F1445B" w:rsidP="00185F1A">
      <w:pPr>
        <w:jc w:val="both"/>
        <w:rPr>
          <w:rFonts w:ascii="Times New Roman" w:hAnsi="Times New Roman" w:cs="Times New Roman"/>
          <w:sz w:val="24"/>
          <w:szCs w:val="24"/>
        </w:rPr>
      </w:pPr>
      <w:r w:rsidRPr="00185F1A">
        <w:rPr>
          <w:rFonts w:ascii="Times New Roman" w:hAnsi="Times New Roman" w:cs="Times New Roman"/>
          <w:noProof/>
          <w:sz w:val="24"/>
          <w:szCs w:val="24"/>
        </w:rPr>
        <w:drawing>
          <wp:inline distT="0" distB="0" distL="0" distR="0" wp14:anchorId="2EF44145" wp14:editId="37DF41ED">
            <wp:extent cx="5581650" cy="2667000"/>
            <wp:effectExtent l="0" t="0" r="0" b="0"/>
            <wp:docPr id="1157132140" name="Gráfico 1">
              <a:extLst xmlns:a="http://schemas.openxmlformats.org/drawingml/2006/main">
                <a:ext uri="{FF2B5EF4-FFF2-40B4-BE49-F238E27FC236}">
                  <a16:creationId xmlns:a16="http://schemas.microsoft.com/office/drawing/2014/main" id="{CEF26FB7-31CB-2B89-FA29-419C8B395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E92805" w14:textId="33695D64" w:rsidR="00F1445B" w:rsidRPr="00185F1A" w:rsidRDefault="00BA787B" w:rsidP="00185F1A">
      <w:pPr>
        <w:jc w:val="both"/>
        <w:rPr>
          <w:rFonts w:ascii="Times New Roman" w:hAnsi="Times New Roman" w:cs="Times New Roman"/>
          <w:sz w:val="24"/>
          <w:szCs w:val="24"/>
        </w:rPr>
      </w:pPr>
      <w:r w:rsidRPr="00DD13E9">
        <w:rPr>
          <w:rFonts w:ascii="Times New Roman" w:hAnsi="Times New Roman" w:cs="Times New Roman"/>
          <w:b/>
          <w:bCs/>
          <w:sz w:val="24"/>
          <w:szCs w:val="24"/>
        </w:rPr>
        <w:t>Fuente:</w:t>
      </w:r>
      <w:r w:rsidRPr="00185F1A">
        <w:rPr>
          <w:rFonts w:ascii="Times New Roman" w:hAnsi="Times New Roman" w:cs="Times New Roman"/>
          <w:sz w:val="24"/>
          <w:szCs w:val="24"/>
        </w:rPr>
        <w:t xml:space="preserve"> COMEXPERU 2019 - 2020</w:t>
      </w:r>
    </w:p>
    <w:p w14:paraId="71EB3B75" w14:textId="13D0AA22" w:rsidR="00575335" w:rsidRDefault="00575335"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Asimismo, </w:t>
      </w:r>
      <w:r w:rsidR="005D561A" w:rsidRPr="00185F1A">
        <w:rPr>
          <w:rFonts w:ascii="Times New Roman" w:hAnsi="Times New Roman" w:cs="Times New Roman"/>
          <w:sz w:val="24"/>
          <w:szCs w:val="24"/>
        </w:rPr>
        <w:t>se puede observar en el análisis de</w:t>
      </w:r>
      <w:r w:rsidRPr="00185F1A">
        <w:rPr>
          <w:rFonts w:ascii="Times New Roman" w:hAnsi="Times New Roman" w:cs="Times New Roman"/>
          <w:sz w:val="24"/>
          <w:szCs w:val="24"/>
        </w:rPr>
        <w:t xml:space="preserve"> las dimensiones del primer pilar del indicador de competitividad turística departamental, Ambiente Apto, que 10 departamentos (o regiones) presentan valores bajos en cuanto a salud e higiene, así como en cuanto a inclusión digital y financiera. Es interesante observar que se han realizado importantes esfuerzos por mejorar la seguridad y protección de los turistas, sin embargo, no se ha avanzado en la misma proporción en aspectos importantes como salud, higiene e inclusión digital y financiera como parte de la seguridad multidimensional, importante para avanzar en la competitividad turística, en el largo plazo.</w:t>
      </w:r>
    </w:p>
    <w:p w14:paraId="5CDDF613" w14:textId="5A7051C1" w:rsidR="00DD13E9" w:rsidRDefault="00524016" w:rsidP="00DD13E9">
      <w:pPr>
        <w:spacing w:after="0" w:line="240" w:lineRule="auto"/>
        <w:jc w:val="both"/>
        <w:rPr>
          <w:rFonts w:ascii="Times New Roman" w:hAnsi="Times New Roman" w:cs="Times New Roman"/>
          <w:b/>
          <w:bCs/>
          <w:sz w:val="24"/>
          <w:szCs w:val="24"/>
        </w:rPr>
      </w:pPr>
      <w:r w:rsidRPr="00185F1A">
        <w:rPr>
          <w:rFonts w:ascii="Times New Roman" w:hAnsi="Times New Roman" w:cs="Times New Roman"/>
          <w:b/>
          <w:bCs/>
          <w:sz w:val="24"/>
          <w:szCs w:val="24"/>
        </w:rPr>
        <w:t xml:space="preserve">Figura </w:t>
      </w:r>
      <w:r w:rsidR="00355408" w:rsidRPr="00185F1A">
        <w:rPr>
          <w:rFonts w:ascii="Times New Roman" w:hAnsi="Times New Roman" w:cs="Times New Roman"/>
          <w:b/>
          <w:bCs/>
          <w:sz w:val="24"/>
          <w:szCs w:val="24"/>
        </w:rPr>
        <w:t>8</w:t>
      </w:r>
      <w:r w:rsidR="00DD13E9">
        <w:rPr>
          <w:rFonts w:ascii="Times New Roman" w:hAnsi="Times New Roman" w:cs="Times New Roman"/>
          <w:b/>
          <w:bCs/>
          <w:sz w:val="24"/>
          <w:szCs w:val="24"/>
        </w:rPr>
        <w:t xml:space="preserve">. </w:t>
      </w:r>
      <w:r w:rsidRPr="00DD13E9">
        <w:rPr>
          <w:rFonts w:ascii="Times New Roman" w:hAnsi="Times New Roman" w:cs="Times New Roman"/>
          <w:b/>
          <w:bCs/>
          <w:sz w:val="24"/>
          <w:szCs w:val="24"/>
        </w:rPr>
        <w:t xml:space="preserve">Índice de Competitividad </w:t>
      </w:r>
      <w:r w:rsidR="003D181C" w:rsidRPr="00DD13E9">
        <w:rPr>
          <w:rFonts w:ascii="Times New Roman" w:hAnsi="Times New Roman" w:cs="Times New Roman"/>
          <w:b/>
          <w:bCs/>
          <w:sz w:val="24"/>
          <w:szCs w:val="24"/>
        </w:rPr>
        <w:t xml:space="preserve">Turística </w:t>
      </w:r>
      <w:r w:rsidRPr="00DD13E9">
        <w:rPr>
          <w:rFonts w:ascii="Times New Roman" w:hAnsi="Times New Roman" w:cs="Times New Roman"/>
          <w:b/>
          <w:bCs/>
          <w:sz w:val="24"/>
          <w:szCs w:val="24"/>
        </w:rPr>
        <w:t>Departamental</w:t>
      </w:r>
      <w:r w:rsidR="00046E75" w:rsidRPr="00DD13E9">
        <w:rPr>
          <w:rFonts w:ascii="Times New Roman" w:hAnsi="Times New Roman" w:cs="Times New Roman"/>
          <w:b/>
          <w:bCs/>
          <w:sz w:val="24"/>
          <w:szCs w:val="24"/>
        </w:rPr>
        <w:t xml:space="preserve"> </w:t>
      </w:r>
      <w:r w:rsidR="00E44C31" w:rsidRPr="00DD13E9">
        <w:rPr>
          <w:rFonts w:ascii="Times New Roman" w:hAnsi="Times New Roman" w:cs="Times New Roman"/>
          <w:b/>
          <w:bCs/>
          <w:sz w:val="24"/>
          <w:szCs w:val="24"/>
        </w:rPr>
        <w:t xml:space="preserve">- </w:t>
      </w:r>
      <w:r w:rsidRPr="00DD13E9">
        <w:rPr>
          <w:rFonts w:ascii="Times New Roman" w:hAnsi="Times New Roman" w:cs="Times New Roman"/>
          <w:b/>
          <w:bCs/>
          <w:sz w:val="24"/>
          <w:szCs w:val="24"/>
        </w:rPr>
        <w:t>Dimensión Ambiente</w:t>
      </w:r>
      <w:r w:rsidR="000E55D8">
        <w:rPr>
          <w:rFonts w:ascii="Times New Roman" w:hAnsi="Times New Roman" w:cs="Times New Roman"/>
          <w:b/>
          <w:bCs/>
          <w:sz w:val="24"/>
          <w:szCs w:val="24"/>
        </w:rPr>
        <w:t>.</w:t>
      </w:r>
    </w:p>
    <w:p w14:paraId="0E1D21A7" w14:textId="63038774" w:rsidR="00381290" w:rsidRPr="00DD13E9" w:rsidRDefault="00DD13E9" w:rsidP="00DD13E9">
      <w:pPr>
        <w:spacing w:after="0" w:line="240" w:lineRule="auto"/>
        <w:jc w:val="both"/>
        <w:rPr>
          <w:rFonts w:ascii="Times New Roman" w:hAnsi="Times New Roman" w:cs="Times New Roman"/>
          <w:b/>
          <w:bCs/>
          <w:i/>
          <w:iCs/>
          <w:sz w:val="24"/>
          <w:szCs w:val="24"/>
        </w:rPr>
      </w:pPr>
      <w:r w:rsidRPr="00DD13E9">
        <w:rPr>
          <w:rFonts w:ascii="Times New Roman" w:hAnsi="Times New Roman" w:cs="Times New Roman"/>
          <w:b/>
          <w:bCs/>
          <w:noProof/>
          <w:sz w:val="24"/>
          <w:szCs w:val="24"/>
        </w:rPr>
        <w:drawing>
          <wp:anchor distT="0" distB="0" distL="114300" distR="114300" simplePos="0" relativeHeight="251677696" behindDoc="1" locked="0" layoutInCell="1" allowOverlap="1" wp14:anchorId="0D029BCE" wp14:editId="457FC071">
            <wp:simplePos x="0" y="0"/>
            <wp:positionH relativeFrom="margin">
              <wp:posOffset>-635</wp:posOffset>
            </wp:positionH>
            <wp:positionV relativeFrom="paragraph">
              <wp:posOffset>264160</wp:posOffset>
            </wp:positionV>
            <wp:extent cx="5499100" cy="2851150"/>
            <wp:effectExtent l="0" t="0" r="6350" b="6350"/>
            <wp:wrapTight wrapText="bothSides">
              <wp:wrapPolygon edited="0">
                <wp:start x="0" y="0"/>
                <wp:lineTo x="0" y="21504"/>
                <wp:lineTo x="21550" y="21504"/>
                <wp:lineTo x="21550" y="0"/>
                <wp:lineTo x="0" y="0"/>
              </wp:wrapPolygon>
            </wp:wrapTight>
            <wp:docPr id="82143801" name="Gráfico 1">
              <a:extLst xmlns:a="http://schemas.openxmlformats.org/drawingml/2006/main">
                <a:ext uri="{FF2B5EF4-FFF2-40B4-BE49-F238E27FC236}">
                  <a16:creationId xmlns:a16="http://schemas.microsoft.com/office/drawing/2014/main" id="{0D0DD15F-FF91-5BCE-9C01-EDFA2B7A8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524016" w:rsidRPr="00DD13E9">
        <w:rPr>
          <w:rFonts w:ascii="Times New Roman" w:hAnsi="Times New Roman" w:cs="Times New Roman"/>
          <w:b/>
          <w:bCs/>
          <w:sz w:val="24"/>
          <w:szCs w:val="24"/>
        </w:rPr>
        <w:t>Apto</w:t>
      </w:r>
      <w:r w:rsidR="00046E75" w:rsidRPr="00DD13E9">
        <w:rPr>
          <w:rFonts w:ascii="Times New Roman" w:hAnsi="Times New Roman" w:cs="Times New Roman"/>
          <w:b/>
          <w:bCs/>
          <w:i/>
          <w:iCs/>
          <w:sz w:val="24"/>
          <w:szCs w:val="24"/>
        </w:rPr>
        <w:t xml:space="preserve"> </w:t>
      </w:r>
      <w:r w:rsidR="00046E75" w:rsidRPr="00DD13E9">
        <w:rPr>
          <w:rFonts w:ascii="Times New Roman" w:hAnsi="Times New Roman" w:cs="Times New Roman"/>
          <w:b/>
          <w:bCs/>
          <w:sz w:val="24"/>
          <w:szCs w:val="24"/>
        </w:rPr>
        <w:t xml:space="preserve">año </w:t>
      </w:r>
      <w:r w:rsidR="00524016" w:rsidRPr="00DD13E9">
        <w:rPr>
          <w:rFonts w:ascii="Times New Roman" w:hAnsi="Times New Roman" w:cs="Times New Roman"/>
          <w:b/>
          <w:bCs/>
          <w:sz w:val="24"/>
          <w:szCs w:val="24"/>
        </w:rPr>
        <w:t>2019</w:t>
      </w:r>
    </w:p>
    <w:p w14:paraId="050F4B01" w14:textId="51067AA7" w:rsidR="00DD658C" w:rsidRPr="00185F1A" w:rsidRDefault="00DD658C" w:rsidP="00185F1A">
      <w:pPr>
        <w:jc w:val="both"/>
        <w:rPr>
          <w:rFonts w:ascii="Times New Roman" w:hAnsi="Times New Roman" w:cs="Times New Roman"/>
          <w:sz w:val="24"/>
          <w:szCs w:val="24"/>
        </w:rPr>
      </w:pPr>
      <w:r w:rsidRPr="00DD13E9">
        <w:rPr>
          <w:rFonts w:ascii="Times New Roman" w:hAnsi="Times New Roman" w:cs="Times New Roman"/>
          <w:b/>
          <w:bCs/>
          <w:sz w:val="24"/>
          <w:szCs w:val="24"/>
        </w:rPr>
        <w:t>Fuente</w:t>
      </w:r>
      <w:r w:rsidR="00DD13E9">
        <w:rPr>
          <w:rFonts w:ascii="Times New Roman" w:hAnsi="Times New Roman" w:cs="Times New Roman"/>
          <w:sz w:val="24"/>
          <w:szCs w:val="24"/>
        </w:rPr>
        <w:t>:</w:t>
      </w:r>
      <w:r w:rsidRPr="00185F1A">
        <w:rPr>
          <w:rFonts w:ascii="Times New Roman" w:hAnsi="Times New Roman" w:cs="Times New Roman"/>
          <w:sz w:val="24"/>
          <w:szCs w:val="24"/>
        </w:rPr>
        <w:t xml:space="preserve"> COMEX 2019. Elaboración propia.</w:t>
      </w:r>
    </w:p>
    <w:p w14:paraId="04DFC4AB" w14:textId="77777777" w:rsidR="00DD13E9" w:rsidRDefault="00DD13E9" w:rsidP="00185F1A">
      <w:pPr>
        <w:spacing w:line="240" w:lineRule="auto"/>
        <w:jc w:val="both"/>
        <w:rPr>
          <w:rFonts w:ascii="Times New Roman" w:hAnsi="Times New Roman" w:cs="Times New Roman"/>
          <w:sz w:val="24"/>
          <w:szCs w:val="24"/>
        </w:rPr>
      </w:pPr>
    </w:p>
    <w:p w14:paraId="0BB4F401" w14:textId="77777777" w:rsidR="000E55D8" w:rsidRDefault="000E55D8" w:rsidP="00185F1A">
      <w:pPr>
        <w:spacing w:line="240" w:lineRule="auto"/>
        <w:jc w:val="both"/>
        <w:rPr>
          <w:rFonts w:ascii="Times New Roman" w:hAnsi="Times New Roman" w:cs="Times New Roman"/>
          <w:sz w:val="24"/>
          <w:szCs w:val="24"/>
        </w:rPr>
      </w:pPr>
    </w:p>
    <w:p w14:paraId="78747DAA" w14:textId="009C3D13" w:rsidR="006F311B" w:rsidRPr="00185F1A" w:rsidRDefault="00E44C31"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Por ejemplo, en el cuadro </w:t>
      </w:r>
      <w:r w:rsidR="00C10B29" w:rsidRPr="00185F1A">
        <w:rPr>
          <w:rFonts w:ascii="Times New Roman" w:hAnsi="Times New Roman" w:cs="Times New Roman"/>
          <w:sz w:val="24"/>
          <w:szCs w:val="24"/>
        </w:rPr>
        <w:t>estadístico anterior se puede ver que Lambayeque no cuenta con un ambiente de negocios muy adecuado y en cuanto a la variable de Salud e Higiene, hay todavía mucho que hacer. Sin embargo, cuenta con mejores niveles de inclusión digital y financiera, con respecto a Cusco y en lo que respecta a seguridad y protección turística, se ha</w:t>
      </w:r>
      <w:r w:rsidR="001C6562" w:rsidRPr="00185F1A">
        <w:rPr>
          <w:rFonts w:ascii="Times New Roman" w:hAnsi="Times New Roman" w:cs="Times New Roman"/>
          <w:sz w:val="24"/>
          <w:szCs w:val="24"/>
        </w:rPr>
        <w:t>n</w:t>
      </w:r>
      <w:r w:rsidR="00C10B29" w:rsidRPr="00185F1A">
        <w:rPr>
          <w:rFonts w:ascii="Times New Roman" w:hAnsi="Times New Roman" w:cs="Times New Roman"/>
          <w:sz w:val="24"/>
          <w:szCs w:val="24"/>
        </w:rPr>
        <w:t xml:space="preserve"> realizado enormes esfuerzos.</w:t>
      </w:r>
    </w:p>
    <w:p w14:paraId="0FD63D20" w14:textId="524848F7" w:rsidR="00DD658C" w:rsidRPr="00185F1A" w:rsidRDefault="00DD658C"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En efecto, tal como mencionan Perles </w:t>
      </w:r>
      <w:sdt>
        <w:sdtPr>
          <w:rPr>
            <w:rFonts w:ascii="Times New Roman" w:hAnsi="Times New Roman" w:cs="Times New Roman"/>
            <w:sz w:val="24"/>
            <w:szCs w:val="24"/>
          </w:rPr>
          <w:id w:val="1837957605"/>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CITATION Per \n  \t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(2022)</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 xml:space="preserve"> y Daríes et al. </w:t>
      </w:r>
      <w:sdt>
        <w:sdtPr>
          <w:rPr>
            <w:rFonts w:ascii="Times New Roman" w:hAnsi="Times New Roman" w:cs="Times New Roman"/>
            <w:sz w:val="24"/>
            <w:szCs w:val="24"/>
          </w:rPr>
          <w:id w:val="1984116688"/>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CITATION Dar \n  \t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(2021)</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 xml:space="preserve">, la competitividad de los destinos turísticos está ligado a la sostenibilidad de </w:t>
      </w:r>
      <w:r w:rsidR="00046E75" w:rsidRPr="00185F1A">
        <w:rPr>
          <w:rFonts w:ascii="Times New Roman" w:hAnsi="Times New Roman" w:cs="Times New Roman"/>
          <w:sz w:val="24"/>
          <w:szCs w:val="24"/>
        </w:rPr>
        <w:t>estos</w:t>
      </w:r>
      <w:r w:rsidRPr="00185F1A">
        <w:rPr>
          <w:rFonts w:ascii="Times New Roman" w:hAnsi="Times New Roman" w:cs="Times New Roman"/>
          <w:sz w:val="24"/>
          <w:szCs w:val="24"/>
        </w:rPr>
        <w:t xml:space="preserve"> que va más allá de las inversiones que se puedan realizar directamente en el sector, sino que intervienen las acciones que se realizan en el territorio desde la perspectiva de sostenibilidad y seguridad multidimensional. En tal sentido, la competitividad de la industria turística se ve afectada por ámbitos ajenos al sector, con lo cual la diversificación de la </w:t>
      </w:r>
      <w:r w:rsidR="00C10B29" w:rsidRPr="00185F1A">
        <w:rPr>
          <w:rFonts w:ascii="Times New Roman" w:hAnsi="Times New Roman" w:cs="Times New Roman"/>
          <w:sz w:val="24"/>
          <w:szCs w:val="24"/>
        </w:rPr>
        <w:t>actividad (</w:t>
      </w:r>
      <w:r w:rsidRPr="00185F1A">
        <w:rPr>
          <w:rFonts w:ascii="Times New Roman" w:hAnsi="Times New Roman" w:cs="Times New Roman"/>
          <w:sz w:val="24"/>
          <w:szCs w:val="24"/>
        </w:rPr>
        <w:t xml:space="preserve">turismo rural, ecoturismo, agroturismo, eventos </w:t>
      </w:r>
      <w:r w:rsidR="005D561A" w:rsidRPr="00185F1A">
        <w:rPr>
          <w:rFonts w:ascii="Times New Roman" w:hAnsi="Times New Roman" w:cs="Times New Roman"/>
          <w:sz w:val="24"/>
          <w:szCs w:val="24"/>
        </w:rPr>
        <w:t xml:space="preserve">y turismo de negocios, </w:t>
      </w:r>
      <w:r w:rsidR="00046E75" w:rsidRPr="00185F1A">
        <w:rPr>
          <w:rFonts w:ascii="Times New Roman" w:hAnsi="Times New Roman" w:cs="Times New Roman"/>
          <w:sz w:val="24"/>
          <w:szCs w:val="24"/>
        </w:rPr>
        <w:t>entre otros</w:t>
      </w:r>
      <w:r w:rsidRPr="00185F1A">
        <w:rPr>
          <w:rFonts w:ascii="Times New Roman" w:hAnsi="Times New Roman" w:cs="Times New Roman"/>
          <w:sz w:val="24"/>
          <w:szCs w:val="24"/>
        </w:rPr>
        <w:t xml:space="preserve">) se ve limitada por que, además, solo se ha priorizado el turismo </w:t>
      </w:r>
      <w:r w:rsidR="00C10B29" w:rsidRPr="00185F1A">
        <w:rPr>
          <w:rFonts w:ascii="Times New Roman" w:hAnsi="Times New Roman" w:cs="Times New Roman"/>
          <w:sz w:val="24"/>
          <w:szCs w:val="24"/>
        </w:rPr>
        <w:t xml:space="preserve">arqueológico </w:t>
      </w:r>
      <w:r w:rsidRPr="00185F1A">
        <w:rPr>
          <w:rFonts w:ascii="Times New Roman" w:hAnsi="Times New Roman" w:cs="Times New Roman"/>
          <w:sz w:val="24"/>
          <w:szCs w:val="24"/>
        </w:rPr>
        <w:t>cultural, principalmente en el sur del país.</w:t>
      </w:r>
    </w:p>
    <w:p w14:paraId="3ADEE950" w14:textId="6B2CCDCC" w:rsidR="0055267B" w:rsidRPr="00185F1A" w:rsidRDefault="00656148"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De acuerdo con la encuesta </w:t>
      </w:r>
      <w:r w:rsidR="005D561A" w:rsidRPr="00185F1A">
        <w:rPr>
          <w:rFonts w:ascii="Times New Roman" w:hAnsi="Times New Roman" w:cs="Times New Roman"/>
          <w:sz w:val="24"/>
          <w:szCs w:val="24"/>
        </w:rPr>
        <w:t>sobre el</w:t>
      </w:r>
      <w:r w:rsidRPr="00185F1A">
        <w:rPr>
          <w:rFonts w:ascii="Times New Roman" w:hAnsi="Times New Roman" w:cs="Times New Roman"/>
          <w:sz w:val="24"/>
          <w:szCs w:val="24"/>
        </w:rPr>
        <w:t xml:space="preserve"> nivel de satisfacción </w:t>
      </w:r>
      <w:r w:rsidR="00E605AB" w:rsidRPr="00185F1A">
        <w:rPr>
          <w:rFonts w:ascii="Times New Roman" w:hAnsi="Times New Roman" w:cs="Times New Roman"/>
          <w:sz w:val="24"/>
          <w:szCs w:val="24"/>
        </w:rPr>
        <w:t>que realiza MINCETUR a los destinos turísticos más importantes</w:t>
      </w:r>
      <w:r w:rsidR="002A5AE6" w:rsidRPr="00185F1A">
        <w:rPr>
          <w:rFonts w:ascii="Times New Roman" w:hAnsi="Times New Roman" w:cs="Times New Roman"/>
          <w:sz w:val="24"/>
          <w:szCs w:val="24"/>
        </w:rPr>
        <w:t xml:space="preserve"> </w:t>
      </w:r>
      <w:sdt>
        <w:sdtPr>
          <w:rPr>
            <w:rFonts w:ascii="Times New Roman" w:hAnsi="Times New Roman" w:cs="Times New Roman"/>
            <w:sz w:val="24"/>
            <w:szCs w:val="24"/>
          </w:rPr>
          <w:id w:val="-189684617"/>
          <w:citation/>
        </w:sdtPr>
        <w:sdtContent>
          <w:r w:rsidR="002A5AE6" w:rsidRPr="00185F1A">
            <w:rPr>
              <w:rFonts w:ascii="Times New Roman" w:hAnsi="Times New Roman" w:cs="Times New Roman"/>
              <w:sz w:val="24"/>
              <w:szCs w:val="24"/>
            </w:rPr>
            <w:fldChar w:fldCharType="begin"/>
          </w:r>
          <w:r w:rsidR="002A5AE6" w:rsidRPr="00185F1A">
            <w:rPr>
              <w:rFonts w:ascii="Times New Roman" w:hAnsi="Times New Roman" w:cs="Times New Roman"/>
              <w:sz w:val="24"/>
              <w:szCs w:val="24"/>
            </w:rPr>
            <w:instrText xml:space="preserve">CITATION MIN \l 3082 </w:instrText>
          </w:r>
          <w:r w:rsidR="002A5AE6" w:rsidRPr="00185F1A">
            <w:rPr>
              <w:rFonts w:ascii="Times New Roman" w:hAnsi="Times New Roman" w:cs="Times New Roman"/>
              <w:sz w:val="24"/>
              <w:szCs w:val="24"/>
            </w:rPr>
            <w:fldChar w:fldCharType="separate"/>
          </w:r>
          <w:r w:rsidR="002A5AE6" w:rsidRPr="00185F1A">
            <w:rPr>
              <w:rFonts w:ascii="Times New Roman" w:hAnsi="Times New Roman" w:cs="Times New Roman"/>
              <w:noProof/>
              <w:sz w:val="24"/>
              <w:szCs w:val="24"/>
            </w:rPr>
            <w:t>(MINCETUR, 2017)</w:t>
          </w:r>
          <w:r w:rsidR="002A5AE6" w:rsidRPr="00185F1A">
            <w:rPr>
              <w:rFonts w:ascii="Times New Roman" w:hAnsi="Times New Roman" w:cs="Times New Roman"/>
              <w:sz w:val="24"/>
              <w:szCs w:val="24"/>
            </w:rPr>
            <w:fldChar w:fldCharType="end"/>
          </w:r>
        </w:sdtContent>
      </w:sdt>
      <w:r w:rsidR="00E605AB" w:rsidRPr="00185F1A">
        <w:rPr>
          <w:rFonts w:ascii="Times New Roman" w:hAnsi="Times New Roman" w:cs="Times New Roman"/>
          <w:sz w:val="24"/>
          <w:szCs w:val="24"/>
        </w:rPr>
        <w:t xml:space="preserve"> </w:t>
      </w:r>
      <w:sdt>
        <w:sdtPr>
          <w:rPr>
            <w:rFonts w:ascii="Times New Roman" w:hAnsi="Times New Roman" w:cs="Times New Roman"/>
            <w:sz w:val="24"/>
            <w:szCs w:val="24"/>
          </w:rPr>
          <w:id w:val="-1115291748"/>
          <w:citation/>
        </w:sdtPr>
        <w:sdtContent>
          <w:r w:rsidR="00E605AB" w:rsidRPr="00185F1A">
            <w:rPr>
              <w:rFonts w:ascii="Times New Roman" w:hAnsi="Times New Roman" w:cs="Times New Roman"/>
              <w:sz w:val="24"/>
              <w:szCs w:val="24"/>
            </w:rPr>
            <w:fldChar w:fldCharType="begin"/>
          </w:r>
          <w:r w:rsidR="00E605AB" w:rsidRPr="00185F1A">
            <w:rPr>
              <w:rFonts w:ascii="Times New Roman" w:hAnsi="Times New Roman" w:cs="Times New Roman"/>
              <w:sz w:val="24"/>
              <w:szCs w:val="24"/>
            </w:rPr>
            <w:instrText xml:space="preserve"> CITATION MIN19 \l 3082 </w:instrText>
          </w:r>
          <w:r w:rsidR="00E605AB" w:rsidRPr="00185F1A">
            <w:rPr>
              <w:rFonts w:ascii="Times New Roman" w:hAnsi="Times New Roman" w:cs="Times New Roman"/>
              <w:sz w:val="24"/>
              <w:szCs w:val="24"/>
            </w:rPr>
            <w:fldChar w:fldCharType="separate"/>
          </w:r>
          <w:r w:rsidR="00E605AB" w:rsidRPr="00185F1A">
            <w:rPr>
              <w:rFonts w:ascii="Times New Roman" w:hAnsi="Times New Roman" w:cs="Times New Roman"/>
              <w:noProof/>
              <w:sz w:val="24"/>
              <w:szCs w:val="24"/>
            </w:rPr>
            <w:t>(MINCETUR, 2019)</w:t>
          </w:r>
          <w:r w:rsidR="00E605AB" w:rsidRPr="00185F1A">
            <w:rPr>
              <w:rFonts w:ascii="Times New Roman" w:hAnsi="Times New Roman" w:cs="Times New Roman"/>
              <w:sz w:val="24"/>
              <w:szCs w:val="24"/>
            </w:rPr>
            <w:fldChar w:fldCharType="end"/>
          </w:r>
        </w:sdtContent>
      </w:sdt>
      <w:r w:rsidR="002A5AE6" w:rsidRPr="00185F1A">
        <w:rPr>
          <w:rFonts w:ascii="Times New Roman" w:hAnsi="Times New Roman" w:cs="Times New Roman"/>
          <w:sz w:val="24"/>
          <w:szCs w:val="24"/>
        </w:rPr>
        <w:t xml:space="preserve">, </w:t>
      </w:r>
      <w:r w:rsidR="00E605AB" w:rsidRPr="00185F1A">
        <w:rPr>
          <w:rFonts w:ascii="Times New Roman" w:hAnsi="Times New Roman" w:cs="Times New Roman"/>
          <w:sz w:val="24"/>
          <w:szCs w:val="24"/>
        </w:rPr>
        <w:t>se ha podido observar que es una constante los niveles de satisfacción baj</w:t>
      </w:r>
      <w:r w:rsidR="006F311B" w:rsidRPr="00185F1A">
        <w:rPr>
          <w:rFonts w:ascii="Times New Roman" w:hAnsi="Times New Roman" w:cs="Times New Roman"/>
          <w:sz w:val="24"/>
          <w:szCs w:val="24"/>
        </w:rPr>
        <w:t>o</w:t>
      </w:r>
      <w:r w:rsidR="00C10B29" w:rsidRPr="00185F1A">
        <w:rPr>
          <w:rFonts w:ascii="Times New Roman" w:hAnsi="Times New Roman" w:cs="Times New Roman"/>
          <w:sz w:val="24"/>
          <w:szCs w:val="24"/>
        </w:rPr>
        <w:t>,</w:t>
      </w:r>
      <w:r w:rsidR="00E605AB" w:rsidRPr="00185F1A">
        <w:rPr>
          <w:rFonts w:ascii="Times New Roman" w:hAnsi="Times New Roman" w:cs="Times New Roman"/>
          <w:sz w:val="24"/>
          <w:szCs w:val="24"/>
        </w:rPr>
        <w:t xml:space="preserve"> en cu</w:t>
      </w:r>
      <w:r w:rsidR="006F311B" w:rsidRPr="00185F1A">
        <w:rPr>
          <w:rFonts w:ascii="Times New Roman" w:hAnsi="Times New Roman" w:cs="Times New Roman"/>
          <w:sz w:val="24"/>
          <w:szCs w:val="24"/>
        </w:rPr>
        <w:t>a</w:t>
      </w:r>
      <w:r w:rsidR="00E605AB" w:rsidRPr="00185F1A">
        <w:rPr>
          <w:rFonts w:ascii="Times New Roman" w:hAnsi="Times New Roman" w:cs="Times New Roman"/>
          <w:sz w:val="24"/>
          <w:szCs w:val="24"/>
        </w:rPr>
        <w:t xml:space="preserve">nto a los servicios de transporte local, la seguridad que </w:t>
      </w:r>
      <w:r w:rsidR="00C10B29" w:rsidRPr="00185F1A">
        <w:rPr>
          <w:rFonts w:ascii="Times New Roman" w:hAnsi="Times New Roman" w:cs="Times New Roman"/>
          <w:sz w:val="24"/>
          <w:szCs w:val="24"/>
        </w:rPr>
        <w:t>se l</w:t>
      </w:r>
      <w:r w:rsidR="00E605AB" w:rsidRPr="00185F1A">
        <w:rPr>
          <w:rFonts w:ascii="Times New Roman" w:hAnsi="Times New Roman" w:cs="Times New Roman"/>
          <w:sz w:val="24"/>
          <w:szCs w:val="24"/>
        </w:rPr>
        <w:t>e ofrece al turista</w:t>
      </w:r>
      <w:r w:rsidR="005D561A" w:rsidRPr="00185F1A">
        <w:rPr>
          <w:rFonts w:ascii="Times New Roman" w:hAnsi="Times New Roman" w:cs="Times New Roman"/>
          <w:sz w:val="24"/>
          <w:szCs w:val="24"/>
        </w:rPr>
        <w:t xml:space="preserve"> en zonas rurales</w:t>
      </w:r>
      <w:r w:rsidR="00E605AB" w:rsidRPr="00185F1A">
        <w:rPr>
          <w:rFonts w:ascii="Times New Roman" w:hAnsi="Times New Roman" w:cs="Times New Roman"/>
          <w:sz w:val="24"/>
          <w:szCs w:val="24"/>
        </w:rPr>
        <w:t xml:space="preserve">, limpieza de la ciudad, tránsito vehicular y </w:t>
      </w:r>
      <w:r w:rsidR="005D561A" w:rsidRPr="00185F1A">
        <w:rPr>
          <w:rFonts w:ascii="Times New Roman" w:hAnsi="Times New Roman" w:cs="Times New Roman"/>
          <w:sz w:val="24"/>
          <w:szCs w:val="24"/>
        </w:rPr>
        <w:t>la calidad de los servicios</w:t>
      </w:r>
      <w:r w:rsidR="00E605AB" w:rsidRPr="00185F1A">
        <w:rPr>
          <w:rFonts w:ascii="Times New Roman" w:hAnsi="Times New Roman" w:cs="Times New Roman"/>
          <w:sz w:val="24"/>
          <w:szCs w:val="24"/>
        </w:rPr>
        <w:t xml:space="preserve"> que se ofrecen en ciertos terminales terrestres. </w:t>
      </w:r>
      <w:r w:rsidR="00CE0EB2" w:rsidRPr="00185F1A">
        <w:rPr>
          <w:rFonts w:ascii="Times New Roman" w:hAnsi="Times New Roman" w:cs="Times New Roman"/>
          <w:sz w:val="24"/>
          <w:szCs w:val="24"/>
        </w:rPr>
        <w:t>A esto se suma la violencia e incertidumbre ante las protestas sociales y la falta de un plan de evacuación ante eventos como estos o ante la ocurrencia de fenómenos naturales</w:t>
      </w:r>
      <w:r w:rsidR="006F311B" w:rsidRPr="00185F1A">
        <w:rPr>
          <w:rStyle w:val="Refdenotaalpie"/>
          <w:rFonts w:ascii="Times New Roman" w:hAnsi="Times New Roman" w:cs="Times New Roman"/>
          <w:sz w:val="24"/>
          <w:szCs w:val="24"/>
        </w:rPr>
        <w:footnoteReference w:id="2"/>
      </w:r>
      <w:r w:rsidR="00CE0EB2" w:rsidRPr="00185F1A">
        <w:rPr>
          <w:rFonts w:ascii="Times New Roman" w:hAnsi="Times New Roman" w:cs="Times New Roman"/>
          <w:sz w:val="24"/>
          <w:szCs w:val="24"/>
        </w:rPr>
        <w:t xml:space="preserve"> </w:t>
      </w:r>
      <w:sdt>
        <w:sdtPr>
          <w:rPr>
            <w:rFonts w:ascii="Times New Roman" w:hAnsi="Times New Roman" w:cs="Times New Roman"/>
            <w:sz w:val="24"/>
            <w:szCs w:val="24"/>
          </w:rPr>
          <w:id w:val="-952162545"/>
          <w:citation/>
        </w:sdtPr>
        <w:sdtContent>
          <w:r w:rsidR="006F311B" w:rsidRPr="00185F1A">
            <w:rPr>
              <w:rFonts w:ascii="Times New Roman" w:hAnsi="Times New Roman" w:cs="Times New Roman"/>
              <w:sz w:val="24"/>
              <w:szCs w:val="24"/>
            </w:rPr>
            <w:fldChar w:fldCharType="begin"/>
          </w:r>
          <w:r w:rsidR="006F311B" w:rsidRPr="00185F1A">
            <w:rPr>
              <w:rFonts w:ascii="Times New Roman" w:hAnsi="Times New Roman" w:cs="Times New Roman"/>
              <w:sz w:val="24"/>
              <w:szCs w:val="24"/>
            </w:rPr>
            <w:instrText xml:space="preserve"> CITATION Taj \l 3082 </w:instrText>
          </w:r>
          <w:r w:rsidR="006F311B" w:rsidRPr="00185F1A">
            <w:rPr>
              <w:rFonts w:ascii="Times New Roman" w:hAnsi="Times New Roman" w:cs="Times New Roman"/>
              <w:sz w:val="24"/>
              <w:szCs w:val="24"/>
            </w:rPr>
            <w:fldChar w:fldCharType="separate"/>
          </w:r>
          <w:r w:rsidR="006F311B" w:rsidRPr="00185F1A">
            <w:rPr>
              <w:rFonts w:ascii="Times New Roman" w:hAnsi="Times New Roman" w:cs="Times New Roman"/>
              <w:noProof/>
              <w:sz w:val="24"/>
              <w:szCs w:val="24"/>
            </w:rPr>
            <w:t>(Taj, Glatsky, &amp; Turkewitz)</w:t>
          </w:r>
          <w:r w:rsidR="006F311B" w:rsidRPr="00185F1A">
            <w:rPr>
              <w:rFonts w:ascii="Times New Roman" w:hAnsi="Times New Roman" w:cs="Times New Roman"/>
              <w:sz w:val="24"/>
              <w:szCs w:val="24"/>
            </w:rPr>
            <w:fldChar w:fldCharType="end"/>
          </w:r>
        </w:sdtContent>
      </w:sdt>
      <w:r w:rsidR="00A57411" w:rsidRPr="00185F1A">
        <w:rPr>
          <w:rFonts w:ascii="Times New Roman" w:hAnsi="Times New Roman" w:cs="Times New Roman"/>
          <w:sz w:val="24"/>
          <w:szCs w:val="24"/>
        </w:rPr>
        <w:t>.</w:t>
      </w:r>
    </w:p>
    <w:p w14:paraId="41892A01" w14:textId="15BBD6C6" w:rsidR="002F2337" w:rsidRPr="00185F1A" w:rsidRDefault="002F2337"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El cuadro</w:t>
      </w:r>
      <w:r w:rsidR="006568DA" w:rsidRPr="00185F1A">
        <w:rPr>
          <w:rFonts w:ascii="Times New Roman" w:hAnsi="Times New Roman" w:cs="Times New Roman"/>
          <w:sz w:val="24"/>
          <w:szCs w:val="24"/>
        </w:rPr>
        <w:t xml:space="preserve"> de la Figura 9</w:t>
      </w:r>
      <w:r w:rsidRPr="00185F1A">
        <w:rPr>
          <w:rFonts w:ascii="Times New Roman" w:hAnsi="Times New Roman" w:cs="Times New Roman"/>
          <w:sz w:val="24"/>
          <w:szCs w:val="24"/>
        </w:rPr>
        <w:t xml:space="preserve"> ha sido elaborado con información del informe de vulnerabilidad ante la inseguridad alimentaria (MIDIS &amp; WPS </w:t>
      </w:r>
      <w:r w:rsidRPr="00185F1A">
        <w:rPr>
          <w:rStyle w:val="Refdenotaalpie"/>
          <w:rFonts w:ascii="Times New Roman" w:hAnsi="Times New Roman" w:cs="Times New Roman"/>
          <w:sz w:val="24"/>
          <w:szCs w:val="24"/>
        </w:rPr>
        <w:footnoteReference w:id="3"/>
      </w:r>
      <w:r w:rsidRPr="00185F1A">
        <w:rPr>
          <w:rFonts w:ascii="Times New Roman" w:hAnsi="Times New Roman" w:cs="Times New Roman"/>
          <w:sz w:val="24"/>
          <w:szCs w:val="24"/>
        </w:rPr>
        <w:t xml:space="preserve"> </w:t>
      </w:r>
      <w:sdt>
        <w:sdtPr>
          <w:rPr>
            <w:rFonts w:ascii="Times New Roman" w:hAnsi="Times New Roman" w:cs="Times New Roman"/>
            <w:sz w:val="24"/>
            <w:szCs w:val="24"/>
          </w:rPr>
          <w:id w:val="1260714471"/>
          <w:citation/>
        </w:sdtPr>
        <w:sdtContent>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 xml:space="preserve">CITATION Min18 \n  \t  \l 3082 </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(2019)</w:t>
          </w:r>
          <w:r w:rsidRPr="00185F1A">
            <w:rPr>
              <w:rFonts w:ascii="Times New Roman" w:hAnsi="Times New Roman" w:cs="Times New Roman"/>
              <w:sz w:val="24"/>
              <w:szCs w:val="24"/>
            </w:rPr>
            <w:fldChar w:fldCharType="end"/>
          </w:r>
        </w:sdtContent>
      </w:sdt>
      <w:r w:rsidRPr="00185F1A">
        <w:rPr>
          <w:rFonts w:ascii="Times New Roman" w:hAnsi="Times New Roman" w:cs="Times New Roman"/>
          <w:sz w:val="24"/>
          <w:szCs w:val="24"/>
        </w:rPr>
        <w:t xml:space="preserve"> )</w:t>
      </w:r>
      <w:r w:rsidR="00016D2D" w:rsidRPr="00185F1A">
        <w:rPr>
          <w:rFonts w:ascii="Times New Roman" w:hAnsi="Times New Roman" w:cs="Times New Roman"/>
          <w:sz w:val="24"/>
          <w:szCs w:val="24"/>
        </w:rPr>
        <w:t>,</w:t>
      </w:r>
      <w:r w:rsidR="001C6562" w:rsidRPr="00185F1A">
        <w:rPr>
          <w:rFonts w:ascii="Times New Roman" w:hAnsi="Times New Roman" w:cs="Times New Roman"/>
          <w:sz w:val="24"/>
          <w:szCs w:val="24"/>
        </w:rPr>
        <w:t xml:space="preserve"> elaborado con datos del </w:t>
      </w:r>
      <w:r w:rsidR="00DB0118" w:rsidRPr="00185F1A">
        <w:rPr>
          <w:rFonts w:ascii="Times New Roman" w:hAnsi="Times New Roman" w:cs="Times New Roman"/>
          <w:sz w:val="24"/>
          <w:szCs w:val="24"/>
        </w:rPr>
        <w:t>INEI, en</w:t>
      </w:r>
      <w:r w:rsidR="006568DA" w:rsidRPr="00185F1A">
        <w:rPr>
          <w:rFonts w:ascii="Times New Roman" w:hAnsi="Times New Roman" w:cs="Times New Roman"/>
          <w:sz w:val="24"/>
          <w:szCs w:val="24"/>
        </w:rPr>
        <w:t xml:space="preserve"> el cual </w:t>
      </w:r>
      <w:r w:rsidR="00016D2D" w:rsidRPr="00185F1A">
        <w:rPr>
          <w:rFonts w:ascii="Times New Roman" w:hAnsi="Times New Roman" w:cs="Times New Roman"/>
          <w:sz w:val="24"/>
          <w:szCs w:val="24"/>
        </w:rPr>
        <w:t>se</w:t>
      </w:r>
      <w:r w:rsidR="006568DA" w:rsidRPr="00185F1A">
        <w:rPr>
          <w:rFonts w:ascii="Times New Roman" w:hAnsi="Times New Roman" w:cs="Times New Roman"/>
          <w:sz w:val="24"/>
          <w:szCs w:val="24"/>
        </w:rPr>
        <w:t xml:space="preserve"> ha</w:t>
      </w:r>
      <w:r w:rsidR="00016D2D" w:rsidRPr="00185F1A">
        <w:rPr>
          <w:rFonts w:ascii="Times New Roman" w:hAnsi="Times New Roman" w:cs="Times New Roman"/>
          <w:sz w:val="24"/>
          <w:szCs w:val="24"/>
        </w:rPr>
        <w:t xml:space="preserve"> consider</w:t>
      </w:r>
      <w:r w:rsidR="006568DA" w:rsidRPr="00185F1A">
        <w:rPr>
          <w:rFonts w:ascii="Times New Roman" w:hAnsi="Times New Roman" w:cs="Times New Roman"/>
          <w:sz w:val="24"/>
          <w:szCs w:val="24"/>
        </w:rPr>
        <w:t>ado</w:t>
      </w:r>
      <w:r w:rsidR="00016D2D" w:rsidRPr="00185F1A">
        <w:rPr>
          <w:rFonts w:ascii="Times New Roman" w:hAnsi="Times New Roman" w:cs="Times New Roman"/>
          <w:sz w:val="24"/>
          <w:szCs w:val="24"/>
        </w:rPr>
        <w:t xml:space="preserve"> la población rural de cada departamento (o región) para elaborar los índices de inseguridad alimentaria (IA) y de peligro climático. </w:t>
      </w:r>
      <w:r w:rsidR="00306CFC" w:rsidRPr="00185F1A">
        <w:rPr>
          <w:rFonts w:ascii="Times New Roman" w:hAnsi="Times New Roman" w:cs="Times New Roman"/>
          <w:sz w:val="24"/>
          <w:szCs w:val="24"/>
        </w:rPr>
        <w:t>Este cuadro permite identificar las limitaciones encontradas en las zonas rurales</w:t>
      </w:r>
      <w:r w:rsidR="006568DA" w:rsidRPr="00185F1A">
        <w:rPr>
          <w:rFonts w:ascii="Times New Roman" w:hAnsi="Times New Roman" w:cs="Times New Roman"/>
          <w:sz w:val="24"/>
          <w:szCs w:val="24"/>
        </w:rPr>
        <w:t xml:space="preserve"> y que forman parte de la seguridad humana según lo planteado por Naciones Unidas </w:t>
      </w:r>
      <w:sdt>
        <w:sdtPr>
          <w:rPr>
            <w:rFonts w:ascii="Times New Roman" w:hAnsi="Times New Roman" w:cs="Times New Roman"/>
            <w:sz w:val="24"/>
            <w:szCs w:val="24"/>
          </w:rPr>
          <w:id w:val="1681309783"/>
          <w:citation/>
        </w:sdtPr>
        <w:sdtContent>
          <w:r w:rsidR="006568DA" w:rsidRPr="00185F1A">
            <w:rPr>
              <w:rFonts w:ascii="Times New Roman" w:hAnsi="Times New Roman" w:cs="Times New Roman"/>
              <w:sz w:val="24"/>
              <w:szCs w:val="24"/>
            </w:rPr>
            <w:fldChar w:fldCharType="begin"/>
          </w:r>
          <w:r w:rsidR="006568DA" w:rsidRPr="00185F1A">
            <w:rPr>
              <w:rFonts w:ascii="Times New Roman" w:hAnsi="Times New Roman" w:cs="Times New Roman"/>
              <w:sz w:val="24"/>
              <w:szCs w:val="24"/>
            </w:rPr>
            <w:instrText xml:space="preserve">CITATION Uni16 \n  \t  \l 3082 </w:instrText>
          </w:r>
          <w:r w:rsidR="006568DA" w:rsidRPr="00185F1A">
            <w:rPr>
              <w:rFonts w:ascii="Times New Roman" w:hAnsi="Times New Roman" w:cs="Times New Roman"/>
              <w:sz w:val="24"/>
              <w:szCs w:val="24"/>
            </w:rPr>
            <w:fldChar w:fldCharType="separate"/>
          </w:r>
          <w:r w:rsidR="006568DA" w:rsidRPr="00185F1A">
            <w:rPr>
              <w:rFonts w:ascii="Times New Roman" w:hAnsi="Times New Roman" w:cs="Times New Roman"/>
              <w:noProof/>
              <w:sz w:val="24"/>
              <w:szCs w:val="24"/>
            </w:rPr>
            <w:t>(2016)</w:t>
          </w:r>
          <w:r w:rsidR="006568DA" w:rsidRPr="00185F1A">
            <w:rPr>
              <w:rFonts w:ascii="Times New Roman" w:hAnsi="Times New Roman" w:cs="Times New Roman"/>
              <w:sz w:val="24"/>
              <w:szCs w:val="24"/>
            </w:rPr>
            <w:fldChar w:fldCharType="end"/>
          </w:r>
        </w:sdtContent>
      </w:sdt>
      <w:r w:rsidR="006568DA" w:rsidRPr="00185F1A">
        <w:rPr>
          <w:rFonts w:ascii="Times New Roman" w:hAnsi="Times New Roman" w:cs="Times New Roman"/>
          <w:sz w:val="24"/>
          <w:szCs w:val="24"/>
        </w:rPr>
        <w:t>. Se puede observar los altos niveles en el índice de peligro climático con lo cual se puede incrementar la ocurrencia de fenómenos naturales</w:t>
      </w:r>
      <w:r w:rsidR="00DB0118" w:rsidRPr="00185F1A">
        <w:rPr>
          <w:rFonts w:ascii="Times New Roman" w:hAnsi="Times New Roman" w:cs="Times New Roman"/>
          <w:sz w:val="24"/>
          <w:szCs w:val="24"/>
        </w:rPr>
        <w:t>, si bien esta información no ha sido consignada en este cuadro.</w:t>
      </w:r>
    </w:p>
    <w:p w14:paraId="2DC718E3" w14:textId="77777777" w:rsidR="007119C4" w:rsidRDefault="007119C4" w:rsidP="00185F1A">
      <w:pPr>
        <w:jc w:val="both"/>
        <w:rPr>
          <w:rFonts w:ascii="Times New Roman" w:hAnsi="Times New Roman" w:cs="Times New Roman"/>
          <w:b/>
          <w:bCs/>
          <w:sz w:val="24"/>
          <w:szCs w:val="24"/>
        </w:rPr>
      </w:pPr>
    </w:p>
    <w:p w14:paraId="2B14C07D" w14:textId="77777777" w:rsidR="000E55D8" w:rsidRDefault="000E55D8" w:rsidP="00185F1A">
      <w:pPr>
        <w:jc w:val="both"/>
        <w:rPr>
          <w:rFonts w:ascii="Times New Roman" w:hAnsi="Times New Roman" w:cs="Times New Roman"/>
          <w:b/>
          <w:bCs/>
          <w:sz w:val="24"/>
          <w:szCs w:val="24"/>
        </w:rPr>
      </w:pPr>
    </w:p>
    <w:p w14:paraId="0720734F" w14:textId="77777777" w:rsidR="000E55D8" w:rsidRDefault="000E55D8" w:rsidP="00185F1A">
      <w:pPr>
        <w:jc w:val="both"/>
        <w:rPr>
          <w:rFonts w:ascii="Times New Roman" w:hAnsi="Times New Roman" w:cs="Times New Roman"/>
          <w:b/>
          <w:bCs/>
          <w:sz w:val="24"/>
          <w:szCs w:val="24"/>
        </w:rPr>
      </w:pPr>
    </w:p>
    <w:p w14:paraId="73F1A4F6" w14:textId="77777777" w:rsidR="000E55D8" w:rsidRDefault="000E55D8" w:rsidP="00185F1A">
      <w:pPr>
        <w:jc w:val="both"/>
        <w:rPr>
          <w:rFonts w:ascii="Times New Roman" w:hAnsi="Times New Roman" w:cs="Times New Roman"/>
          <w:b/>
          <w:bCs/>
          <w:sz w:val="24"/>
          <w:szCs w:val="24"/>
        </w:rPr>
      </w:pPr>
    </w:p>
    <w:p w14:paraId="2DE75633" w14:textId="77777777" w:rsidR="000E55D8" w:rsidRDefault="000E55D8" w:rsidP="00185F1A">
      <w:pPr>
        <w:jc w:val="both"/>
        <w:rPr>
          <w:rFonts w:ascii="Times New Roman" w:hAnsi="Times New Roman" w:cs="Times New Roman"/>
          <w:b/>
          <w:bCs/>
          <w:sz w:val="24"/>
          <w:szCs w:val="24"/>
        </w:rPr>
      </w:pPr>
    </w:p>
    <w:p w14:paraId="777BC0B1" w14:textId="77777777" w:rsidR="000E55D8" w:rsidRPr="00185F1A" w:rsidRDefault="000E55D8" w:rsidP="00185F1A">
      <w:pPr>
        <w:jc w:val="both"/>
        <w:rPr>
          <w:rFonts w:ascii="Times New Roman" w:hAnsi="Times New Roman" w:cs="Times New Roman"/>
          <w:b/>
          <w:bCs/>
          <w:sz w:val="24"/>
          <w:szCs w:val="24"/>
        </w:rPr>
      </w:pPr>
    </w:p>
    <w:p w14:paraId="66A596D3" w14:textId="46A9B13E" w:rsidR="00B60A20" w:rsidRDefault="00046E75" w:rsidP="00185F1A">
      <w:pPr>
        <w:spacing w:after="0" w:line="240" w:lineRule="auto"/>
        <w:jc w:val="both"/>
        <w:rPr>
          <w:rFonts w:ascii="Times New Roman" w:hAnsi="Times New Roman" w:cs="Times New Roman"/>
          <w:b/>
          <w:bCs/>
          <w:sz w:val="24"/>
          <w:szCs w:val="24"/>
        </w:rPr>
      </w:pPr>
      <w:r w:rsidRPr="00185F1A">
        <w:rPr>
          <w:rFonts w:ascii="Times New Roman" w:hAnsi="Times New Roman" w:cs="Times New Roman"/>
          <w:b/>
          <w:bCs/>
          <w:sz w:val="24"/>
          <w:szCs w:val="24"/>
        </w:rPr>
        <w:lastRenderedPageBreak/>
        <w:t xml:space="preserve">Figura </w:t>
      </w:r>
      <w:r w:rsidR="00355408" w:rsidRPr="00185F1A">
        <w:rPr>
          <w:rFonts w:ascii="Times New Roman" w:hAnsi="Times New Roman" w:cs="Times New Roman"/>
          <w:b/>
          <w:bCs/>
          <w:sz w:val="24"/>
          <w:szCs w:val="24"/>
        </w:rPr>
        <w:t>9</w:t>
      </w:r>
      <w:r w:rsidR="00DD13E9">
        <w:rPr>
          <w:rFonts w:ascii="Times New Roman" w:hAnsi="Times New Roman" w:cs="Times New Roman"/>
          <w:b/>
          <w:bCs/>
          <w:sz w:val="24"/>
          <w:szCs w:val="24"/>
        </w:rPr>
        <w:t xml:space="preserve">. </w:t>
      </w:r>
      <w:r w:rsidRPr="00DD13E9">
        <w:rPr>
          <w:rFonts w:ascii="Times New Roman" w:hAnsi="Times New Roman" w:cs="Times New Roman"/>
          <w:b/>
          <w:bCs/>
          <w:sz w:val="24"/>
          <w:szCs w:val="24"/>
        </w:rPr>
        <w:t>Vulnerabilidad, Inseguridad Alimentaria y Peligro Climático</w:t>
      </w:r>
    </w:p>
    <w:p w14:paraId="0EFC1C3A" w14:textId="77777777" w:rsidR="00DD13E9" w:rsidRPr="00185F1A" w:rsidRDefault="00DD13E9" w:rsidP="00185F1A">
      <w:pPr>
        <w:spacing w:after="0" w:line="240" w:lineRule="auto"/>
        <w:jc w:val="both"/>
        <w:rPr>
          <w:rFonts w:ascii="Times New Roman" w:hAnsi="Times New Roman" w:cs="Times New Roman"/>
          <w:i/>
          <w:iCs/>
          <w:sz w:val="24"/>
          <w:szCs w:val="24"/>
        </w:rPr>
      </w:pPr>
    </w:p>
    <w:p w14:paraId="1F002EB9" w14:textId="2E6EFCDD" w:rsidR="00915616" w:rsidRPr="00185F1A" w:rsidRDefault="00915616" w:rsidP="00185F1A">
      <w:pPr>
        <w:jc w:val="both"/>
        <w:rPr>
          <w:rFonts w:ascii="Times New Roman" w:hAnsi="Times New Roman" w:cs="Times New Roman"/>
          <w:sz w:val="24"/>
          <w:szCs w:val="24"/>
        </w:rPr>
      </w:pPr>
      <w:r w:rsidRPr="00185F1A">
        <w:rPr>
          <w:rFonts w:ascii="Times New Roman" w:hAnsi="Times New Roman" w:cs="Times New Roman"/>
          <w:noProof/>
          <w:sz w:val="24"/>
          <w:szCs w:val="24"/>
        </w:rPr>
        <w:drawing>
          <wp:inline distT="0" distB="0" distL="0" distR="0" wp14:anchorId="72E776C9" wp14:editId="26B95A74">
            <wp:extent cx="5321300" cy="3168650"/>
            <wp:effectExtent l="0" t="0" r="12700" b="12700"/>
            <wp:docPr id="897114660" name="Gráfico 1">
              <a:extLst xmlns:a="http://schemas.openxmlformats.org/drawingml/2006/main">
                <a:ext uri="{FF2B5EF4-FFF2-40B4-BE49-F238E27FC236}">
                  <a16:creationId xmlns:a16="http://schemas.microsoft.com/office/drawing/2014/main" id="{E8F31421-F7F1-56EC-AA5F-553920973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C6ADE5" w14:textId="270CD086" w:rsidR="00915616" w:rsidRPr="00185F1A" w:rsidRDefault="00915616" w:rsidP="00185F1A">
      <w:pPr>
        <w:jc w:val="both"/>
        <w:rPr>
          <w:rFonts w:ascii="Times New Roman" w:hAnsi="Times New Roman" w:cs="Times New Roman"/>
          <w:sz w:val="24"/>
          <w:szCs w:val="24"/>
        </w:rPr>
      </w:pPr>
      <w:bookmarkStart w:id="0" w:name="_Hlk166094965"/>
      <w:r w:rsidRPr="00DD13E9">
        <w:rPr>
          <w:rFonts w:ascii="Times New Roman" w:hAnsi="Times New Roman" w:cs="Times New Roman"/>
          <w:b/>
          <w:bCs/>
          <w:sz w:val="24"/>
          <w:szCs w:val="24"/>
        </w:rPr>
        <w:t>Fuente:</w:t>
      </w:r>
      <w:r w:rsidRPr="00185F1A">
        <w:rPr>
          <w:rFonts w:ascii="Times New Roman" w:hAnsi="Times New Roman" w:cs="Times New Roman"/>
          <w:sz w:val="24"/>
          <w:szCs w:val="24"/>
        </w:rPr>
        <w:t xml:space="preserve"> </w:t>
      </w:r>
      <w:r w:rsidR="00C71C97" w:rsidRPr="00185F1A">
        <w:rPr>
          <w:rFonts w:ascii="Times New Roman" w:hAnsi="Times New Roman" w:cs="Times New Roman"/>
          <w:sz w:val="24"/>
          <w:szCs w:val="24"/>
        </w:rPr>
        <w:t>MIDIS – WPS (2019). Elaboración propia.</w:t>
      </w:r>
    </w:p>
    <w:tbl>
      <w:tblPr>
        <w:tblStyle w:val="Tablaconcuadrcula"/>
        <w:tblpPr w:leftFromText="141" w:rightFromText="141" w:vertAnchor="text" w:horzAnchor="margin" w:tblpY="1133"/>
        <w:tblW w:w="8500" w:type="dxa"/>
        <w:tblBorders>
          <w:top w:val="single" w:sz="4" w:space="0" w:color="A5C9EB" w:themeColor="text2" w:themeTint="40"/>
          <w:left w:val="single" w:sz="4" w:space="0" w:color="A5C9EB" w:themeColor="text2" w:themeTint="40"/>
          <w:bottom w:val="single" w:sz="4" w:space="0" w:color="A5C9EB" w:themeColor="text2" w:themeTint="40"/>
          <w:right w:val="single" w:sz="4" w:space="0" w:color="A5C9EB" w:themeColor="text2" w:themeTint="40"/>
          <w:insideH w:val="single" w:sz="4" w:space="0" w:color="A5C9EB" w:themeColor="text2" w:themeTint="40"/>
          <w:insideV w:val="single" w:sz="4" w:space="0" w:color="A5C9EB" w:themeColor="text2" w:themeTint="40"/>
        </w:tblBorders>
        <w:tblLook w:val="04A0" w:firstRow="1" w:lastRow="0" w:firstColumn="1" w:lastColumn="0" w:noHBand="0" w:noVBand="1"/>
      </w:tblPr>
      <w:tblGrid>
        <w:gridCol w:w="988"/>
        <w:gridCol w:w="1559"/>
        <w:gridCol w:w="5953"/>
      </w:tblGrid>
      <w:tr w:rsidR="007119C4" w:rsidRPr="00185F1A" w14:paraId="01A4098C" w14:textId="77777777" w:rsidTr="00DD13E9">
        <w:trPr>
          <w:trHeight w:val="559"/>
        </w:trPr>
        <w:tc>
          <w:tcPr>
            <w:tcW w:w="8500" w:type="dxa"/>
            <w:gridSpan w:val="3"/>
          </w:tcPr>
          <w:bookmarkEnd w:id="0"/>
          <w:p w14:paraId="1E3F68CC" w14:textId="77777777" w:rsidR="007119C4" w:rsidRPr="00185F1A" w:rsidRDefault="007119C4" w:rsidP="00185F1A">
            <w:pPr>
              <w:jc w:val="both"/>
              <w:rPr>
                <w:rFonts w:ascii="Times New Roman" w:hAnsi="Times New Roman" w:cs="Times New Roman"/>
                <w:b/>
                <w:bCs/>
                <w:sz w:val="24"/>
                <w:szCs w:val="24"/>
              </w:rPr>
            </w:pPr>
            <w:r w:rsidRPr="00185F1A">
              <w:rPr>
                <w:rFonts w:ascii="Times New Roman" w:hAnsi="Times New Roman" w:cs="Times New Roman"/>
                <w:b/>
                <w:bCs/>
                <w:sz w:val="24"/>
                <w:szCs w:val="24"/>
              </w:rPr>
              <w:t>Nivel de Vulnerabilidad a la Inseguridad Alimentaria ante la Recurrencia de Fenómenos Naturales (VIARFFNN) por Departamento</w:t>
            </w:r>
          </w:p>
        </w:tc>
      </w:tr>
      <w:tr w:rsidR="007119C4" w:rsidRPr="00185F1A" w14:paraId="16CABCA2" w14:textId="77777777" w:rsidTr="00DD13E9">
        <w:trPr>
          <w:trHeight w:val="340"/>
        </w:trPr>
        <w:tc>
          <w:tcPr>
            <w:tcW w:w="988" w:type="dxa"/>
            <w:shd w:val="clear" w:color="auto" w:fill="F1A983" w:themeFill="accent2" w:themeFillTint="99"/>
          </w:tcPr>
          <w:p w14:paraId="0D0EE327"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Muy Alto</w:t>
            </w:r>
          </w:p>
        </w:tc>
        <w:tc>
          <w:tcPr>
            <w:tcW w:w="1559" w:type="dxa"/>
            <w:shd w:val="clear" w:color="auto" w:fill="F1A983" w:themeFill="accent2" w:themeFillTint="99"/>
          </w:tcPr>
          <w:p w14:paraId="0F2D17DA"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 xml:space="preserve"> (0.436-0.857)</w:t>
            </w:r>
          </w:p>
        </w:tc>
        <w:tc>
          <w:tcPr>
            <w:tcW w:w="5953" w:type="dxa"/>
            <w:shd w:val="clear" w:color="auto" w:fill="F1A983" w:themeFill="accent2" w:themeFillTint="99"/>
          </w:tcPr>
          <w:p w14:paraId="4FF8CC84"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Apurímac, Huancavelica, Puno, Huánuco, Ayacucho, Pasco</w:t>
            </w:r>
          </w:p>
        </w:tc>
      </w:tr>
      <w:tr w:rsidR="007119C4" w:rsidRPr="00185F1A" w14:paraId="4CB59BFA" w14:textId="77777777" w:rsidTr="00DD13E9">
        <w:trPr>
          <w:trHeight w:val="416"/>
        </w:trPr>
        <w:tc>
          <w:tcPr>
            <w:tcW w:w="988" w:type="dxa"/>
            <w:shd w:val="clear" w:color="auto" w:fill="FAE2D5" w:themeFill="accent2" w:themeFillTint="33"/>
          </w:tcPr>
          <w:p w14:paraId="7AB35862"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Alto</w:t>
            </w:r>
          </w:p>
        </w:tc>
        <w:tc>
          <w:tcPr>
            <w:tcW w:w="1559" w:type="dxa"/>
            <w:shd w:val="clear" w:color="auto" w:fill="FAE2D5" w:themeFill="accent2" w:themeFillTint="33"/>
          </w:tcPr>
          <w:p w14:paraId="4D529705"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(0.227-0.436)</w:t>
            </w:r>
          </w:p>
        </w:tc>
        <w:tc>
          <w:tcPr>
            <w:tcW w:w="5953" w:type="dxa"/>
            <w:shd w:val="clear" w:color="auto" w:fill="FAE2D5" w:themeFill="accent2" w:themeFillTint="33"/>
          </w:tcPr>
          <w:p w14:paraId="7478788C"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Cusco, Ucayali, Amazonas, Cajamarca, Loreto, Piura, San Martin</w:t>
            </w:r>
          </w:p>
        </w:tc>
      </w:tr>
      <w:tr w:rsidR="007119C4" w:rsidRPr="00185F1A" w14:paraId="541F4BD1" w14:textId="77777777" w:rsidTr="00DD13E9">
        <w:trPr>
          <w:trHeight w:val="423"/>
        </w:trPr>
        <w:tc>
          <w:tcPr>
            <w:tcW w:w="988" w:type="dxa"/>
            <w:shd w:val="clear" w:color="auto" w:fill="FFFFCC"/>
          </w:tcPr>
          <w:p w14:paraId="6E2DAF3E"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Medio</w:t>
            </w:r>
          </w:p>
        </w:tc>
        <w:tc>
          <w:tcPr>
            <w:tcW w:w="1559" w:type="dxa"/>
            <w:shd w:val="clear" w:color="auto" w:fill="FFFFCC"/>
          </w:tcPr>
          <w:p w14:paraId="69A8CD2A"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(0.094-0.227)</w:t>
            </w:r>
          </w:p>
        </w:tc>
        <w:tc>
          <w:tcPr>
            <w:tcW w:w="5953" w:type="dxa"/>
            <w:shd w:val="clear" w:color="auto" w:fill="FFFFCC"/>
          </w:tcPr>
          <w:p w14:paraId="0BD3B6FA"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Junín, Moquegua, La Libertad, Lambayeque, Madre de Dios, Ica</w:t>
            </w:r>
          </w:p>
        </w:tc>
      </w:tr>
      <w:tr w:rsidR="007119C4" w:rsidRPr="00185F1A" w14:paraId="6AFC7316" w14:textId="77777777" w:rsidTr="00DD13E9">
        <w:trPr>
          <w:trHeight w:val="414"/>
        </w:trPr>
        <w:tc>
          <w:tcPr>
            <w:tcW w:w="988" w:type="dxa"/>
            <w:shd w:val="clear" w:color="auto" w:fill="D9F2D0" w:themeFill="accent6" w:themeFillTint="33"/>
          </w:tcPr>
          <w:p w14:paraId="4FAC7734"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Bajo</w:t>
            </w:r>
          </w:p>
        </w:tc>
        <w:tc>
          <w:tcPr>
            <w:tcW w:w="1559" w:type="dxa"/>
            <w:shd w:val="clear" w:color="auto" w:fill="D9F2D0" w:themeFill="accent6" w:themeFillTint="33"/>
          </w:tcPr>
          <w:p w14:paraId="2665DD69"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(0.000-0.094)</w:t>
            </w:r>
          </w:p>
        </w:tc>
        <w:tc>
          <w:tcPr>
            <w:tcW w:w="5953" w:type="dxa"/>
            <w:shd w:val="clear" w:color="auto" w:fill="D9F2D0" w:themeFill="accent6" w:themeFillTint="33"/>
          </w:tcPr>
          <w:p w14:paraId="2CEBBE9E" w14:textId="77777777" w:rsidR="007119C4" w:rsidRPr="00185F1A" w:rsidRDefault="007119C4" w:rsidP="00185F1A">
            <w:pPr>
              <w:jc w:val="both"/>
              <w:rPr>
                <w:rFonts w:ascii="Times New Roman" w:hAnsi="Times New Roman" w:cs="Times New Roman"/>
                <w:sz w:val="24"/>
                <w:szCs w:val="24"/>
              </w:rPr>
            </w:pPr>
            <w:r w:rsidRPr="00185F1A">
              <w:rPr>
                <w:rFonts w:ascii="Times New Roman" w:hAnsi="Times New Roman" w:cs="Times New Roman"/>
                <w:sz w:val="24"/>
                <w:szCs w:val="24"/>
              </w:rPr>
              <w:t>Ancash, Tumbes, Arequipa, Tacna, Lima, Callao</w:t>
            </w:r>
          </w:p>
        </w:tc>
      </w:tr>
    </w:tbl>
    <w:p w14:paraId="4435E628" w14:textId="77777777" w:rsidR="001F1DEE" w:rsidRPr="00185F1A" w:rsidRDefault="001F1DEE" w:rsidP="00185F1A">
      <w:pPr>
        <w:spacing w:after="0"/>
        <w:jc w:val="both"/>
        <w:rPr>
          <w:rFonts w:ascii="Times New Roman" w:hAnsi="Times New Roman" w:cs="Times New Roman"/>
          <w:b/>
          <w:bCs/>
          <w:sz w:val="24"/>
          <w:szCs w:val="24"/>
        </w:rPr>
      </w:pPr>
    </w:p>
    <w:p w14:paraId="0331213E" w14:textId="685CDC6B" w:rsidR="00016D2D" w:rsidRPr="00DD13E9" w:rsidRDefault="007119C4" w:rsidP="00185F1A">
      <w:pPr>
        <w:spacing w:after="0"/>
        <w:jc w:val="both"/>
        <w:rPr>
          <w:rFonts w:ascii="Times New Roman" w:hAnsi="Times New Roman" w:cs="Times New Roman"/>
          <w:b/>
          <w:bCs/>
          <w:sz w:val="24"/>
          <w:szCs w:val="24"/>
        </w:rPr>
      </w:pPr>
      <w:r w:rsidRPr="00185F1A">
        <w:rPr>
          <w:rFonts w:ascii="Times New Roman" w:hAnsi="Times New Roman" w:cs="Times New Roman"/>
          <w:b/>
          <w:bCs/>
          <w:sz w:val="24"/>
          <w:szCs w:val="24"/>
        </w:rPr>
        <w:t>T</w:t>
      </w:r>
      <w:r w:rsidR="00046E75" w:rsidRPr="00185F1A">
        <w:rPr>
          <w:rFonts w:ascii="Times New Roman" w:hAnsi="Times New Roman" w:cs="Times New Roman"/>
          <w:b/>
          <w:bCs/>
          <w:sz w:val="24"/>
          <w:szCs w:val="24"/>
        </w:rPr>
        <w:t xml:space="preserve">abla </w:t>
      </w:r>
      <w:r w:rsidR="009F3ED0" w:rsidRPr="00185F1A">
        <w:rPr>
          <w:rFonts w:ascii="Times New Roman" w:hAnsi="Times New Roman" w:cs="Times New Roman"/>
          <w:b/>
          <w:bCs/>
          <w:sz w:val="24"/>
          <w:szCs w:val="24"/>
        </w:rPr>
        <w:t>3</w:t>
      </w:r>
      <w:r w:rsidR="00DD13E9">
        <w:rPr>
          <w:rFonts w:ascii="Times New Roman" w:hAnsi="Times New Roman" w:cs="Times New Roman"/>
          <w:b/>
          <w:bCs/>
          <w:sz w:val="24"/>
          <w:szCs w:val="24"/>
        </w:rPr>
        <w:t xml:space="preserve">. </w:t>
      </w:r>
      <w:r w:rsidR="00046E75" w:rsidRPr="00185F1A">
        <w:rPr>
          <w:rFonts w:ascii="Times New Roman" w:hAnsi="Times New Roman" w:cs="Times New Roman"/>
          <w:i/>
          <w:iCs/>
          <w:sz w:val="24"/>
          <w:szCs w:val="24"/>
        </w:rPr>
        <w:t xml:space="preserve"> </w:t>
      </w:r>
      <w:r w:rsidR="00046E75" w:rsidRPr="00DD13E9">
        <w:rPr>
          <w:rFonts w:ascii="Times New Roman" w:hAnsi="Times New Roman" w:cs="Times New Roman"/>
          <w:b/>
          <w:bCs/>
          <w:sz w:val="24"/>
          <w:szCs w:val="24"/>
        </w:rPr>
        <w:t>Vulnerabilidad a la Inseguridad Alimentaria ante la Recurrencia de Fenómenos Naturales</w:t>
      </w:r>
    </w:p>
    <w:p w14:paraId="06A1672C" w14:textId="77777777" w:rsidR="007119C4" w:rsidRPr="00185F1A" w:rsidRDefault="009F3ED0" w:rsidP="00185F1A">
      <w:pPr>
        <w:jc w:val="both"/>
        <w:rPr>
          <w:rFonts w:ascii="Times New Roman" w:hAnsi="Times New Roman" w:cs="Times New Roman"/>
          <w:sz w:val="24"/>
          <w:szCs w:val="24"/>
        </w:rPr>
      </w:pPr>
      <w:r w:rsidRPr="00185F1A">
        <w:rPr>
          <w:rFonts w:ascii="Times New Roman" w:hAnsi="Times New Roman" w:cs="Times New Roman"/>
          <w:sz w:val="24"/>
          <w:szCs w:val="24"/>
        </w:rPr>
        <w:t xml:space="preserve">        </w:t>
      </w:r>
    </w:p>
    <w:p w14:paraId="46E93B7E" w14:textId="274469F3" w:rsidR="00016D2D" w:rsidRPr="00185F1A" w:rsidRDefault="00016D2D" w:rsidP="00185F1A">
      <w:pPr>
        <w:jc w:val="both"/>
        <w:rPr>
          <w:rFonts w:ascii="Times New Roman" w:hAnsi="Times New Roman" w:cs="Times New Roman"/>
          <w:sz w:val="24"/>
          <w:szCs w:val="24"/>
        </w:rPr>
      </w:pPr>
      <w:r w:rsidRPr="00DD13E9">
        <w:rPr>
          <w:rFonts w:ascii="Times New Roman" w:hAnsi="Times New Roman" w:cs="Times New Roman"/>
          <w:b/>
          <w:bCs/>
          <w:sz w:val="24"/>
          <w:szCs w:val="24"/>
        </w:rPr>
        <w:t>Fuente:</w:t>
      </w:r>
      <w:r w:rsidRPr="00185F1A">
        <w:rPr>
          <w:rFonts w:ascii="Times New Roman" w:hAnsi="Times New Roman" w:cs="Times New Roman"/>
          <w:sz w:val="24"/>
          <w:szCs w:val="24"/>
        </w:rPr>
        <w:t xml:space="preserve"> MIDIS – WPS (2019). Elaboración propia.</w:t>
      </w:r>
    </w:p>
    <w:p w14:paraId="2FD85F8C" w14:textId="77777777" w:rsidR="001F1DEE" w:rsidRPr="00185F1A" w:rsidRDefault="001F1DEE" w:rsidP="00185F1A">
      <w:pPr>
        <w:spacing w:line="240" w:lineRule="auto"/>
        <w:jc w:val="both"/>
        <w:rPr>
          <w:rFonts w:ascii="Times New Roman" w:hAnsi="Times New Roman" w:cs="Times New Roman"/>
          <w:sz w:val="24"/>
          <w:szCs w:val="24"/>
        </w:rPr>
      </w:pPr>
    </w:p>
    <w:p w14:paraId="03B8CB34" w14:textId="62CB646C" w:rsidR="00C10F8F" w:rsidRPr="00185F1A" w:rsidRDefault="00225375"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Para un mejor análisis</w:t>
      </w:r>
      <w:r w:rsidR="009A460A" w:rsidRPr="00185F1A">
        <w:rPr>
          <w:rFonts w:ascii="Times New Roman" w:hAnsi="Times New Roman" w:cs="Times New Roman"/>
          <w:sz w:val="24"/>
          <w:szCs w:val="24"/>
        </w:rPr>
        <w:t xml:space="preserve"> de las variables multidimensionales</w:t>
      </w:r>
      <w:r w:rsidRPr="00185F1A">
        <w:rPr>
          <w:rFonts w:ascii="Times New Roman" w:hAnsi="Times New Roman" w:cs="Times New Roman"/>
          <w:sz w:val="24"/>
          <w:szCs w:val="24"/>
        </w:rPr>
        <w:t xml:space="preserve">, </w:t>
      </w:r>
      <w:r w:rsidR="00A60592" w:rsidRPr="00185F1A">
        <w:rPr>
          <w:rFonts w:ascii="Times New Roman" w:hAnsi="Times New Roman" w:cs="Times New Roman"/>
          <w:sz w:val="24"/>
          <w:szCs w:val="24"/>
        </w:rPr>
        <w:t>se ha tomado como referencia algunos distritos turísticos rurales</w:t>
      </w:r>
      <w:r w:rsidR="009A460A" w:rsidRPr="00185F1A">
        <w:rPr>
          <w:rFonts w:ascii="Times New Roman" w:hAnsi="Times New Roman" w:cs="Times New Roman"/>
          <w:sz w:val="24"/>
          <w:szCs w:val="24"/>
        </w:rPr>
        <w:t xml:space="preserve">. En la </w:t>
      </w:r>
      <w:r w:rsidR="006568DA" w:rsidRPr="00185F1A">
        <w:rPr>
          <w:rFonts w:ascii="Times New Roman" w:hAnsi="Times New Roman" w:cs="Times New Roman"/>
          <w:sz w:val="24"/>
          <w:szCs w:val="24"/>
        </w:rPr>
        <w:t>F</w:t>
      </w:r>
      <w:r w:rsidR="009A460A" w:rsidRPr="00185F1A">
        <w:rPr>
          <w:rFonts w:ascii="Times New Roman" w:hAnsi="Times New Roman" w:cs="Times New Roman"/>
          <w:sz w:val="24"/>
          <w:szCs w:val="24"/>
        </w:rPr>
        <w:t>igura</w:t>
      </w:r>
      <w:r w:rsidR="006568DA" w:rsidRPr="00185F1A">
        <w:rPr>
          <w:rFonts w:ascii="Times New Roman" w:hAnsi="Times New Roman" w:cs="Times New Roman"/>
          <w:sz w:val="24"/>
          <w:szCs w:val="24"/>
        </w:rPr>
        <w:t xml:space="preserve"> 10</w:t>
      </w:r>
      <w:r w:rsidR="009A460A" w:rsidRPr="00185F1A">
        <w:rPr>
          <w:rFonts w:ascii="Times New Roman" w:hAnsi="Times New Roman" w:cs="Times New Roman"/>
          <w:sz w:val="24"/>
          <w:szCs w:val="24"/>
        </w:rPr>
        <w:t xml:space="preserve"> se puede observar el comportamiento del subíndice Ambiente Apto del ICTD en los diferentes distritos escogidos, </w:t>
      </w:r>
      <w:r w:rsidR="00EA578B" w:rsidRPr="00185F1A">
        <w:rPr>
          <w:rFonts w:ascii="Times New Roman" w:hAnsi="Times New Roman" w:cs="Times New Roman"/>
          <w:sz w:val="24"/>
          <w:szCs w:val="24"/>
        </w:rPr>
        <w:t>juntamente con</w:t>
      </w:r>
      <w:r w:rsidR="009A460A" w:rsidRPr="00185F1A">
        <w:rPr>
          <w:rFonts w:ascii="Times New Roman" w:hAnsi="Times New Roman" w:cs="Times New Roman"/>
          <w:sz w:val="24"/>
          <w:szCs w:val="24"/>
        </w:rPr>
        <w:t xml:space="preserve"> los índices de vulnerabilidad a la inseguridad alimentaria, así como de peligro climático. Principalmente es</w:t>
      </w:r>
      <w:r w:rsidR="00EA578B" w:rsidRPr="00185F1A">
        <w:rPr>
          <w:rFonts w:ascii="Times New Roman" w:hAnsi="Times New Roman" w:cs="Times New Roman"/>
          <w:sz w:val="24"/>
          <w:szCs w:val="24"/>
        </w:rPr>
        <w:t>t</w:t>
      </w:r>
      <w:r w:rsidR="009A460A" w:rsidRPr="00185F1A">
        <w:rPr>
          <w:rFonts w:ascii="Times New Roman" w:hAnsi="Times New Roman" w:cs="Times New Roman"/>
          <w:sz w:val="24"/>
          <w:szCs w:val="24"/>
        </w:rPr>
        <w:t xml:space="preserve">os dos indicadores serían una barrera en el escalamiento del ICTD a mejores resultados de competitividad en la </w:t>
      </w:r>
      <w:r w:rsidR="00355408" w:rsidRPr="00185F1A">
        <w:rPr>
          <w:rFonts w:ascii="Times New Roman" w:hAnsi="Times New Roman" w:cs="Times New Roman"/>
          <w:sz w:val="24"/>
          <w:szCs w:val="24"/>
        </w:rPr>
        <w:t>dicha dimensión</w:t>
      </w:r>
      <w:r w:rsidR="009A460A" w:rsidRPr="00185F1A">
        <w:rPr>
          <w:rFonts w:ascii="Times New Roman" w:hAnsi="Times New Roman" w:cs="Times New Roman"/>
          <w:sz w:val="24"/>
          <w:szCs w:val="24"/>
        </w:rPr>
        <w:t>.</w:t>
      </w:r>
    </w:p>
    <w:p w14:paraId="6590CEAA" w14:textId="77777777" w:rsidR="007119C4" w:rsidRPr="00185F1A" w:rsidRDefault="007119C4" w:rsidP="00185F1A">
      <w:pPr>
        <w:spacing w:line="276" w:lineRule="auto"/>
        <w:jc w:val="both"/>
        <w:rPr>
          <w:rFonts w:ascii="Times New Roman" w:hAnsi="Times New Roman" w:cs="Times New Roman"/>
          <w:b/>
          <w:bCs/>
          <w:sz w:val="24"/>
          <w:szCs w:val="24"/>
        </w:rPr>
      </w:pPr>
    </w:p>
    <w:p w14:paraId="6DA4CAFC" w14:textId="3F7986AD" w:rsidR="00355408" w:rsidRPr="00DD13E9" w:rsidRDefault="00355408" w:rsidP="00185F1A">
      <w:pPr>
        <w:spacing w:after="0" w:line="240" w:lineRule="auto"/>
        <w:jc w:val="both"/>
        <w:rPr>
          <w:rFonts w:ascii="Times New Roman" w:hAnsi="Times New Roman" w:cs="Times New Roman"/>
          <w:b/>
          <w:bCs/>
          <w:sz w:val="24"/>
          <w:szCs w:val="24"/>
        </w:rPr>
      </w:pPr>
      <w:r w:rsidRPr="00185F1A">
        <w:rPr>
          <w:rFonts w:ascii="Times New Roman" w:hAnsi="Times New Roman" w:cs="Times New Roman"/>
          <w:b/>
          <w:bCs/>
          <w:sz w:val="24"/>
          <w:szCs w:val="24"/>
        </w:rPr>
        <w:lastRenderedPageBreak/>
        <w:t>Figura 10</w:t>
      </w:r>
      <w:r w:rsidR="00DD13E9">
        <w:rPr>
          <w:rFonts w:ascii="Times New Roman" w:hAnsi="Times New Roman" w:cs="Times New Roman"/>
          <w:b/>
          <w:bCs/>
          <w:sz w:val="24"/>
          <w:szCs w:val="24"/>
        </w:rPr>
        <w:t xml:space="preserve">. </w:t>
      </w:r>
      <w:r w:rsidR="009F3ED0" w:rsidRPr="00DD13E9">
        <w:rPr>
          <w:rFonts w:ascii="Times New Roman" w:hAnsi="Times New Roman" w:cs="Times New Roman"/>
          <w:b/>
          <w:bCs/>
          <w:noProof/>
          <w:sz w:val="24"/>
          <w:szCs w:val="24"/>
        </w:rPr>
        <w:drawing>
          <wp:anchor distT="0" distB="0" distL="114300" distR="114300" simplePos="0" relativeHeight="251675648" behindDoc="1" locked="0" layoutInCell="1" allowOverlap="1" wp14:anchorId="6C9EA444" wp14:editId="598A8682">
            <wp:simplePos x="0" y="0"/>
            <wp:positionH relativeFrom="column">
              <wp:posOffset>-140335</wp:posOffset>
            </wp:positionH>
            <wp:positionV relativeFrom="paragraph">
              <wp:posOffset>503555</wp:posOffset>
            </wp:positionV>
            <wp:extent cx="5626100" cy="3143250"/>
            <wp:effectExtent l="0" t="0" r="12700" b="0"/>
            <wp:wrapTight wrapText="bothSides">
              <wp:wrapPolygon edited="0">
                <wp:start x="0" y="0"/>
                <wp:lineTo x="0" y="21469"/>
                <wp:lineTo x="21576" y="21469"/>
                <wp:lineTo x="21576" y="0"/>
                <wp:lineTo x="0" y="0"/>
              </wp:wrapPolygon>
            </wp:wrapTight>
            <wp:docPr id="766321261" name="Gráfico 1">
              <a:extLst xmlns:a="http://schemas.openxmlformats.org/drawingml/2006/main">
                <a:ext uri="{FF2B5EF4-FFF2-40B4-BE49-F238E27FC236}">
                  <a16:creationId xmlns:a16="http://schemas.microsoft.com/office/drawing/2014/main" id="{A9721A7C-6E32-0234-E826-6E07A7EEB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DD13E9">
        <w:rPr>
          <w:rFonts w:ascii="Times New Roman" w:hAnsi="Times New Roman" w:cs="Times New Roman"/>
          <w:b/>
          <w:bCs/>
          <w:sz w:val="24"/>
          <w:szCs w:val="24"/>
        </w:rPr>
        <w:t xml:space="preserve">ICTD Subíndice Ambiente Apto y </w:t>
      </w:r>
      <w:r w:rsidR="009F3ED0" w:rsidRPr="00DD13E9">
        <w:rPr>
          <w:rFonts w:ascii="Times New Roman" w:hAnsi="Times New Roman" w:cs="Times New Roman"/>
          <w:b/>
          <w:bCs/>
          <w:sz w:val="24"/>
          <w:szCs w:val="24"/>
        </w:rPr>
        <w:t>los índices de vulnerabilidad en ciertos distritos turísticos rurales.</w:t>
      </w:r>
    </w:p>
    <w:p w14:paraId="41AFD287" w14:textId="77777777" w:rsidR="007119C4" w:rsidRPr="00185F1A" w:rsidRDefault="007119C4" w:rsidP="00185F1A">
      <w:pPr>
        <w:jc w:val="both"/>
        <w:rPr>
          <w:rFonts w:ascii="Times New Roman" w:hAnsi="Times New Roman" w:cs="Times New Roman"/>
          <w:sz w:val="24"/>
          <w:szCs w:val="24"/>
        </w:rPr>
      </w:pPr>
      <w:bookmarkStart w:id="1" w:name="_Hlk166095070"/>
    </w:p>
    <w:p w14:paraId="16BD048C" w14:textId="09A2B2BE" w:rsidR="009F3ED0" w:rsidRPr="00185F1A" w:rsidRDefault="009F3ED0" w:rsidP="00185F1A">
      <w:pPr>
        <w:jc w:val="both"/>
        <w:rPr>
          <w:rFonts w:ascii="Times New Roman" w:hAnsi="Times New Roman" w:cs="Times New Roman"/>
          <w:sz w:val="24"/>
          <w:szCs w:val="24"/>
        </w:rPr>
      </w:pPr>
      <w:r w:rsidRPr="00DD13E9">
        <w:rPr>
          <w:rFonts w:ascii="Times New Roman" w:hAnsi="Times New Roman" w:cs="Times New Roman"/>
          <w:b/>
          <w:bCs/>
          <w:sz w:val="24"/>
          <w:szCs w:val="24"/>
        </w:rPr>
        <w:t>Fuente:</w:t>
      </w:r>
      <w:r w:rsidRPr="00185F1A">
        <w:rPr>
          <w:rFonts w:ascii="Times New Roman" w:hAnsi="Times New Roman" w:cs="Times New Roman"/>
          <w:sz w:val="24"/>
          <w:szCs w:val="24"/>
        </w:rPr>
        <w:t xml:space="preserve"> MIDIS – WPS (2019), ICTD (2019). Elaboración propia.</w:t>
      </w:r>
    </w:p>
    <w:bookmarkEnd w:id="1"/>
    <w:p w14:paraId="3F8C718B" w14:textId="77777777" w:rsidR="00DD13E9" w:rsidRDefault="00DD13E9" w:rsidP="00185F1A">
      <w:pPr>
        <w:spacing w:line="240" w:lineRule="auto"/>
        <w:jc w:val="both"/>
        <w:rPr>
          <w:rFonts w:ascii="Times New Roman" w:hAnsi="Times New Roman" w:cs="Times New Roman"/>
          <w:sz w:val="24"/>
          <w:szCs w:val="24"/>
        </w:rPr>
      </w:pPr>
    </w:p>
    <w:p w14:paraId="1120AAAF" w14:textId="77777777" w:rsidR="00DD13E9" w:rsidRDefault="00EF273D"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De igual manera en </w:t>
      </w:r>
      <w:r w:rsidR="00EA578B" w:rsidRPr="00185F1A">
        <w:rPr>
          <w:rFonts w:ascii="Times New Roman" w:hAnsi="Times New Roman" w:cs="Times New Roman"/>
          <w:sz w:val="24"/>
          <w:szCs w:val="24"/>
        </w:rPr>
        <w:t>la Figura 11</w:t>
      </w:r>
      <w:r w:rsidRPr="00185F1A">
        <w:rPr>
          <w:rFonts w:ascii="Times New Roman" w:hAnsi="Times New Roman" w:cs="Times New Roman"/>
          <w:sz w:val="24"/>
          <w:szCs w:val="24"/>
        </w:rPr>
        <w:t>, se puede observar el comportamiento del ICTD en la dimensión Ambiente Apto - para el cual sólo se ha considerado los valores relacionados con los departamentos de los distritos escogidos - respecto a los indicadores de las condiciones de las viviendas en las zonas turísticas rurales determinadas. Se constata que existe una importante proporción de viviendas que no cuentan con agua segura</w:t>
      </w:r>
      <w:r w:rsidR="00D512E7" w:rsidRPr="00185F1A">
        <w:rPr>
          <w:rFonts w:ascii="Times New Roman" w:hAnsi="Times New Roman" w:cs="Times New Roman"/>
          <w:sz w:val="24"/>
          <w:szCs w:val="24"/>
        </w:rPr>
        <w:t xml:space="preserve">, </w:t>
      </w:r>
      <w:r w:rsidRPr="00185F1A">
        <w:rPr>
          <w:rFonts w:ascii="Times New Roman" w:hAnsi="Times New Roman" w:cs="Times New Roman"/>
          <w:sz w:val="24"/>
          <w:szCs w:val="24"/>
        </w:rPr>
        <w:t>así como una importante proporción de viviendas sin servicios higiénicos conectados a una red pública</w:t>
      </w:r>
      <w:r w:rsidR="00D512E7" w:rsidRPr="00185F1A">
        <w:rPr>
          <w:rFonts w:ascii="Times New Roman" w:hAnsi="Times New Roman" w:cs="Times New Roman"/>
          <w:sz w:val="24"/>
          <w:szCs w:val="24"/>
        </w:rPr>
        <w:t xml:space="preserve">. </w:t>
      </w:r>
    </w:p>
    <w:p w14:paraId="45632600" w14:textId="5AF5573D" w:rsidR="00D512E7" w:rsidRPr="00185F1A" w:rsidRDefault="00D512E7"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También se puede observar que la mayoría de los hogares cocinan con lecha y/o con otros (</w:t>
      </w:r>
      <w:r w:rsidR="00EA578B" w:rsidRPr="00185F1A">
        <w:rPr>
          <w:rFonts w:ascii="Times New Roman" w:hAnsi="Times New Roman" w:cs="Times New Roman"/>
          <w:sz w:val="24"/>
          <w:szCs w:val="24"/>
        </w:rPr>
        <w:t>por lo general</w:t>
      </w:r>
      <w:r w:rsidRPr="00185F1A">
        <w:rPr>
          <w:rFonts w:ascii="Times New Roman" w:hAnsi="Times New Roman" w:cs="Times New Roman"/>
          <w:sz w:val="24"/>
          <w:szCs w:val="24"/>
        </w:rPr>
        <w:t xml:space="preserve"> se refiere a la bosta de animales). En un contexto de cambio climático y como se ha podido observar en el cuadro anterior, la existencia de alta vulnerabilidad o peligro climático, este aspecto debería ser tomado en consideración. Estos indicadores, es decir, Proporción de viviendas sin servicios higiénicos conectados a una red pública, Proporción de viviendas sin agua segura, Proporción de viviendas con piso de tierra</w:t>
      </w:r>
      <w:r w:rsidR="00EA578B" w:rsidRPr="00185F1A">
        <w:rPr>
          <w:rFonts w:ascii="Times New Roman" w:hAnsi="Times New Roman" w:cs="Times New Roman"/>
          <w:sz w:val="24"/>
          <w:szCs w:val="24"/>
        </w:rPr>
        <w:t>,</w:t>
      </w:r>
      <w:r w:rsidRPr="00185F1A">
        <w:rPr>
          <w:rFonts w:ascii="Times New Roman" w:hAnsi="Times New Roman" w:cs="Times New Roman"/>
          <w:sz w:val="24"/>
          <w:szCs w:val="24"/>
        </w:rPr>
        <w:t xml:space="preserve"> así como la Proporción de hogares que cocinan con leña</w:t>
      </w:r>
      <w:r w:rsidR="00DD13E9">
        <w:rPr>
          <w:rFonts w:ascii="Times New Roman" w:hAnsi="Times New Roman" w:cs="Times New Roman"/>
          <w:sz w:val="24"/>
          <w:szCs w:val="24"/>
        </w:rPr>
        <w:t>,</w:t>
      </w:r>
      <w:r w:rsidRPr="00185F1A">
        <w:rPr>
          <w:rFonts w:ascii="Times New Roman" w:hAnsi="Times New Roman" w:cs="Times New Roman"/>
          <w:sz w:val="24"/>
          <w:szCs w:val="24"/>
        </w:rPr>
        <w:t xml:space="preserve"> forman parte de la seguridad humana y de la seguridad multidimensional y sin duda, son una limitante que no ha sido resuelta aún y que es exógena al sector turismo pero que le impide escalar en competitividad turística. </w:t>
      </w:r>
    </w:p>
    <w:p w14:paraId="03C83541" w14:textId="77777777" w:rsidR="00185F1A" w:rsidRDefault="00185F1A" w:rsidP="00185F1A">
      <w:pPr>
        <w:spacing w:line="276" w:lineRule="auto"/>
        <w:jc w:val="both"/>
        <w:rPr>
          <w:rFonts w:ascii="Times New Roman" w:hAnsi="Times New Roman" w:cs="Times New Roman"/>
          <w:b/>
          <w:bCs/>
          <w:sz w:val="24"/>
          <w:szCs w:val="24"/>
        </w:rPr>
      </w:pPr>
    </w:p>
    <w:p w14:paraId="261CE1FC" w14:textId="0A0F309A" w:rsidR="009F3ED0" w:rsidRPr="00185F1A" w:rsidRDefault="009F3ED0" w:rsidP="00185F1A">
      <w:pPr>
        <w:spacing w:line="276" w:lineRule="auto"/>
        <w:jc w:val="both"/>
        <w:rPr>
          <w:rFonts w:ascii="Times New Roman" w:hAnsi="Times New Roman" w:cs="Times New Roman"/>
          <w:b/>
          <w:bCs/>
          <w:sz w:val="24"/>
          <w:szCs w:val="24"/>
        </w:rPr>
      </w:pPr>
      <w:r w:rsidRPr="00185F1A">
        <w:rPr>
          <w:rFonts w:ascii="Times New Roman" w:hAnsi="Times New Roman" w:cs="Times New Roman"/>
          <w:b/>
          <w:bCs/>
          <w:sz w:val="24"/>
          <w:szCs w:val="24"/>
        </w:rPr>
        <w:lastRenderedPageBreak/>
        <w:t>Figura 11</w:t>
      </w:r>
      <w:r w:rsidR="00185F1A">
        <w:rPr>
          <w:rFonts w:ascii="Times New Roman" w:hAnsi="Times New Roman" w:cs="Times New Roman"/>
          <w:b/>
          <w:bCs/>
          <w:sz w:val="24"/>
          <w:szCs w:val="24"/>
        </w:rPr>
        <w:t>.</w:t>
      </w:r>
      <w:r w:rsidRPr="00185F1A">
        <w:rPr>
          <w:rFonts w:ascii="Times New Roman" w:hAnsi="Times New Roman" w:cs="Times New Roman"/>
          <w:b/>
          <w:bCs/>
          <w:noProof/>
          <w:sz w:val="24"/>
          <w:szCs w:val="24"/>
        </w:rPr>
        <w:drawing>
          <wp:anchor distT="0" distB="0" distL="114300" distR="114300" simplePos="0" relativeHeight="251676672" behindDoc="0" locked="0" layoutInCell="1" allowOverlap="1" wp14:anchorId="0C3609E8" wp14:editId="375495B9">
            <wp:simplePos x="0" y="0"/>
            <wp:positionH relativeFrom="margin">
              <wp:posOffset>-635</wp:posOffset>
            </wp:positionH>
            <wp:positionV relativeFrom="paragraph">
              <wp:posOffset>619125</wp:posOffset>
            </wp:positionV>
            <wp:extent cx="5473700" cy="3143250"/>
            <wp:effectExtent l="0" t="0" r="12700" b="0"/>
            <wp:wrapSquare wrapText="bothSides"/>
            <wp:docPr id="1633482890" name="Gráfico 1">
              <a:extLst xmlns:a="http://schemas.openxmlformats.org/drawingml/2006/main">
                <a:ext uri="{FF2B5EF4-FFF2-40B4-BE49-F238E27FC236}">
                  <a16:creationId xmlns:a16="http://schemas.microsoft.com/office/drawing/2014/main" id="{1821D7F0-0CF8-02E6-A9C4-4F5D0FB07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185F1A">
        <w:rPr>
          <w:rFonts w:ascii="Times New Roman" w:hAnsi="Times New Roman" w:cs="Times New Roman"/>
          <w:b/>
          <w:bCs/>
          <w:sz w:val="24"/>
          <w:szCs w:val="24"/>
        </w:rPr>
        <w:t xml:space="preserve"> </w:t>
      </w:r>
      <w:r w:rsidRPr="00185F1A">
        <w:rPr>
          <w:rFonts w:ascii="Times New Roman" w:hAnsi="Times New Roman" w:cs="Times New Roman"/>
          <w:b/>
          <w:bCs/>
          <w:sz w:val="24"/>
          <w:szCs w:val="24"/>
        </w:rPr>
        <w:t>Subíndice Ambiente Apto y condición de viviendas en ciertas zonas turísticas rurales del Perú</w:t>
      </w:r>
    </w:p>
    <w:p w14:paraId="3B89448E" w14:textId="77777777" w:rsidR="009F3ED0" w:rsidRPr="00185F1A" w:rsidRDefault="009F3ED0" w:rsidP="00185F1A">
      <w:pPr>
        <w:jc w:val="both"/>
        <w:rPr>
          <w:rFonts w:ascii="Times New Roman" w:hAnsi="Times New Roman" w:cs="Times New Roman"/>
          <w:sz w:val="24"/>
          <w:szCs w:val="24"/>
        </w:rPr>
      </w:pPr>
      <w:r w:rsidRPr="00185F1A">
        <w:rPr>
          <w:rFonts w:ascii="Times New Roman" w:hAnsi="Times New Roman" w:cs="Times New Roman"/>
          <w:sz w:val="24"/>
          <w:szCs w:val="24"/>
        </w:rPr>
        <w:t>Fuente: MIDIS – WPS (2019), ICTD (2019). Elaboración propia.</w:t>
      </w:r>
    </w:p>
    <w:p w14:paraId="7637D1A3" w14:textId="77777777" w:rsidR="00EA578B" w:rsidRPr="00185F1A" w:rsidRDefault="00EA578B" w:rsidP="00185F1A">
      <w:pPr>
        <w:spacing w:line="360" w:lineRule="auto"/>
        <w:jc w:val="both"/>
        <w:rPr>
          <w:rFonts w:ascii="Times New Roman" w:hAnsi="Times New Roman" w:cs="Times New Roman"/>
          <w:sz w:val="24"/>
          <w:szCs w:val="24"/>
        </w:rPr>
      </w:pPr>
    </w:p>
    <w:p w14:paraId="13212577" w14:textId="53DE9DA0" w:rsidR="00622779" w:rsidRDefault="007E2476" w:rsidP="00DD13E9">
      <w:pPr>
        <w:spacing w:line="240" w:lineRule="auto"/>
        <w:ind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Otro aspecto importante que considerar dentro de la Seguridad Multidimensional y que afecta enormemente la calidad, la sostenibilidad y la competitividad de los destinos turísticos, es la </w:t>
      </w:r>
      <w:r w:rsidR="00BE7FA0" w:rsidRPr="00185F1A">
        <w:rPr>
          <w:rFonts w:ascii="Times New Roman" w:hAnsi="Times New Roman" w:cs="Times New Roman"/>
          <w:sz w:val="24"/>
          <w:szCs w:val="24"/>
        </w:rPr>
        <w:t>informalidad laboral</w:t>
      </w:r>
      <w:r w:rsidRPr="00185F1A">
        <w:rPr>
          <w:rFonts w:ascii="Times New Roman" w:hAnsi="Times New Roman" w:cs="Times New Roman"/>
          <w:sz w:val="24"/>
          <w:szCs w:val="24"/>
        </w:rPr>
        <w:t>. Este es</w:t>
      </w:r>
      <w:r w:rsidR="00622779" w:rsidRPr="00185F1A">
        <w:rPr>
          <w:rFonts w:ascii="Times New Roman" w:hAnsi="Times New Roman" w:cs="Times New Roman"/>
          <w:sz w:val="24"/>
          <w:szCs w:val="24"/>
        </w:rPr>
        <w:t xml:space="preserve"> uno de los grandes problemas que impiden un crecimiento competitivo y sostenible, </w:t>
      </w:r>
      <w:r w:rsidRPr="00185F1A">
        <w:rPr>
          <w:rFonts w:ascii="Times New Roman" w:hAnsi="Times New Roman" w:cs="Times New Roman"/>
          <w:sz w:val="24"/>
          <w:szCs w:val="24"/>
        </w:rPr>
        <w:t>pero también</w:t>
      </w:r>
      <w:r w:rsidR="00A2511E" w:rsidRPr="00185F1A">
        <w:rPr>
          <w:rFonts w:ascii="Times New Roman" w:hAnsi="Times New Roman" w:cs="Times New Roman"/>
          <w:sz w:val="24"/>
          <w:szCs w:val="24"/>
        </w:rPr>
        <w:t xml:space="preserve"> impide</w:t>
      </w:r>
      <w:r w:rsidR="00622779" w:rsidRPr="00185F1A">
        <w:rPr>
          <w:rFonts w:ascii="Times New Roman" w:hAnsi="Times New Roman" w:cs="Times New Roman"/>
          <w:sz w:val="24"/>
          <w:szCs w:val="24"/>
        </w:rPr>
        <w:t xml:space="preserve"> el desarrollo del capital humano y la calidad de los servicios turísticos. Los principales destinos turísticos del país alcanzan niveles de informalidad laborar </w:t>
      </w:r>
      <w:r w:rsidRPr="00185F1A">
        <w:rPr>
          <w:rFonts w:ascii="Times New Roman" w:hAnsi="Times New Roman" w:cs="Times New Roman"/>
          <w:sz w:val="24"/>
          <w:szCs w:val="24"/>
        </w:rPr>
        <w:t xml:space="preserve">general </w:t>
      </w:r>
      <w:r w:rsidR="00622779" w:rsidRPr="00185F1A">
        <w:rPr>
          <w:rFonts w:ascii="Times New Roman" w:hAnsi="Times New Roman" w:cs="Times New Roman"/>
          <w:sz w:val="24"/>
          <w:szCs w:val="24"/>
        </w:rPr>
        <w:t xml:space="preserve">por encima del 80% </w:t>
      </w:r>
      <w:sdt>
        <w:sdtPr>
          <w:rPr>
            <w:rFonts w:ascii="Times New Roman" w:hAnsi="Times New Roman" w:cs="Times New Roman"/>
            <w:sz w:val="24"/>
            <w:szCs w:val="24"/>
          </w:rPr>
          <w:id w:val="1380212874"/>
          <w:citation/>
        </w:sdtPr>
        <w:sdtContent>
          <w:r w:rsidR="00622779" w:rsidRPr="00185F1A">
            <w:rPr>
              <w:rFonts w:ascii="Times New Roman" w:hAnsi="Times New Roman" w:cs="Times New Roman"/>
              <w:sz w:val="24"/>
              <w:szCs w:val="24"/>
            </w:rPr>
            <w:fldChar w:fldCharType="begin"/>
          </w:r>
          <w:r w:rsidR="00622779" w:rsidRPr="00185F1A">
            <w:rPr>
              <w:rFonts w:ascii="Times New Roman" w:hAnsi="Times New Roman" w:cs="Times New Roman"/>
              <w:sz w:val="24"/>
              <w:szCs w:val="24"/>
            </w:rPr>
            <w:instrText xml:space="preserve"> CITATION Soc23 \l 3082 </w:instrText>
          </w:r>
          <w:r w:rsidR="00622779" w:rsidRPr="00185F1A">
            <w:rPr>
              <w:rFonts w:ascii="Times New Roman" w:hAnsi="Times New Roman" w:cs="Times New Roman"/>
              <w:sz w:val="24"/>
              <w:szCs w:val="24"/>
            </w:rPr>
            <w:fldChar w:fldCharType="separate"/>
          </w:r>
          <w:r w:rsidR="00622779" w:rsidRPr="00185F1A">
            <w:rPr>
              <w:rFonts w:ascii="Times New Roman" w:hAnsi="Times New Roman" w:cs="Times New Roman"/>
              <w:noProof/>
              <w:sz w:val="24"/>
              <w:szCs w:val="24"/>
            </w:rPr>
            <w:t>(Sociedad Nacional de Industrias, 2023)</w:t>
          </w:r>
          <w:r w:rsidR="00622779" w:rsidRPr="00185F1A">
            <w:rPr>
              <w:rFonts w:ascii="Times New Roman" w:hAnsi="Times New Roman" w:cs="Times New Roman"/>
              <w:sz w:val="24"/>
              <w:szCs w:val="24"/>
            </w:rPr>
            <w:fldChar w:fldCharType="end"/>
          </w:r>
        </w:sdtContent>
      </w:sdt>
      <w:r w:rsidR="00622779" w:rsidRPr="00185F1A">
        <w:rPr>
          <w:rFonts w:ascii="Times New Roman" w:hAnsi="Times New Roman" w:cs="Times New Roman"/>
          <w:sz w:val="24"/>
          <w:szCs w:val="24"/>
        </w:rPr>
        <w:t xml:space="preserve"> </w:t>
      </w:r>
      <w:sdt>
        <w:sdtPr>
          <w:rPr>
            <w:rFonts w:ascii="Times New Roman" w:hAnsi="Times New Roman" w:cs="Times New Roman"/>
            <w:sz w:val="24"/>
            <w:szCs w:val="24"/>
          </w:rPr>
          <w:id w:val="-1434896946"/>
          <w:citation/>
        </w:sdtPr>
        <w:sdtContent>
          <w:r w:rsidR="00622779" w:rsidRPr="00185F1A">
            <w:rPr>
              <w:rFonts w:ascii="Times New Roman" w:hAnsi="Times New Roman" w:cs="Times New Roman"/>
              <w:sz w:val="24"/>
              <w:szCs w:val="24"/>
            </w:rPr>
            <w:fldChar w:fldCharType="begin"/>
          </w:r>
          <w:r w:rsidR="00622779" w:rsidRPr="00185F1A">
            <w:rPr>
              <w:rFonts w:ascii="Times New Roman" w:hAnsi="Times New Roman" w:cs="Times New Roman"/>
              <w:sz w:val="24"/>
              <w:szCs w:val="24"/>
            </w:rPr>
            <w:instrText xml:space="preserve"> CITATION Dar \l 3082 </w:instrText>
          </w:r>
          <w:r w:rsidR="00622779" w:rsidRPr="00185F1A">
            <w:rPr>
              <w:rFonts w:ascii="Times New Roman" w:hAnsi="Times New Roman" w:cs="Times New Roman"/>
              <w:sz w:val="24"/>
              <w:szCs w:val="24"/>
            </w:rPr>
            <w:fldChar w:fldCharType="separate"/>
          </w:r>
          <w:r w:rsidR="00622779" w:rsidRPr="00185F1A">
            <w:rPr>
              <w:rFonts w:ascii="Times New Roman" w:hAnsi="Times New Roman" w:cs="Times New Roman"/>
              <w:noProof/>
              <w:sz w:val="24"/>
              <w:szCs w:val="24"/>
            </w:rPr>
            <w:t>(Daries, Jaime, &amp; Bucaram, 2021)</w:t>
          </w:r>
          <w:r w:rsidR="00622779" w:rsidRPr="00185F1A">
            <w:rPr>
              <w:rFonts w:ascii="Times New Roman" w:hAnsi="Times New Roman" w:cs="Times New Roman"/>
              <w:sz w:val="24"/>
              <w:szCs w:val="24"/>
            </w:rPr>
            <w:fldChar w:fldCharType="end"/>
          </w:r>
        </w:sdtContent>
      </w:sdt>
      <w:r w:rsidR="00622779" w:rsidRPr="00185F1A">
        <w:rPr>
          <w:rFonts w:ascii="Times New Roman" w:hAnsi="Times New Roman" w:cs="Times New Roman"/>
          <w:sz w:val="24"/>
          <w:szCs w:val="24"/>
        </w:rPr>
        <w:t xml:space="preserve"> </w:t>
      </w:r>
      <w:sdt>
        <w:sdtPr>
          <w:rPr>
            <w:rFonts w:ascii="Times New Roman" w:hAnsi="Times New Roman" w:cs="Times New Roman"/>
            <w:sz w:val="24"/>
            <w:szCs w:val="24"/>
          </w:rPr>
          <w:id w:val="1292473548"/>
          <w:citation/>
        </w:sdtPr>
        <w:sdtContent>
          <w:r w:rsidR="003074CC" w:rsidRPr="00185F1A">
            <w:rPr>
              <w:rFonts w:ascii="Times New Roman" w:hAnsi="Times New Roman" w:cs="Times New Roman"/>
              <w:sz w:val="24"/>
              <w:szCs w:val="24"/>
            </w:rPr>
            <w:fldChar w:fldCharType="begin"/>
          </w:r>
          <w:r w:rsidR="003074CC" w:rsidRPr="00185F1A">
            <w:rPr>
              <w:rFonts w:ascii="Times New Roman" w:hAnsi="Times New Roman" w:cs="Times New Roman"/>
              <w:sz w:val="24"/>
              <w:szCs w:val="24"/>
            </w:rPr>
            <w:instrText xml:space="preserve"> CITATION Ins22 \l 3082 </w:instrText>
          </w:r>
          <w:r w:rsidR="003074CC" w:rsidRPr="00185F1A">
            <w:rPr>
              <w:rFonts w:ascii="Times New Roman" w:hAnsi="Times New Roman" w:cs="Times New Roman"/>
              <w:sz w:val="24"/>
              <w:szCs w:val="24"/>
            </w:rPr>
            <w:fldChar w:fldCharType="separate"/>
          </w:r>
          <w:r w:rsidR="003074CC" w:rsidRPr="00185F1A">
            <w:rPr>
              <w:rFonts w:ascii="Times New Roman" w:hAnsi="Times New Roman" w:cs="Times New Roman"/>
              <w:noProof/>
              <w:sz w:val="24"/>
              <w:szCs w:val="24"/>
            </w:rPr>
            <w:t>(Instituto Nacional de Estadística e Informática - INEI, 2022)</w:t>
          </w:r>
          <w:r w:rsidR="003074CC" w:rsidRPr="00185F1A">
            <w:rPr>
              <w:rFonts w:ascii="Times New Roman" w:hAnsi="Times New Roman" w:cs="Times New Roman"/>
              <w:sz w:val="24"/>
              <w:szCs w:val="24"/>
            </w:rPr>
            <w:fldChar w:fldCharType="end"/>
          </w:r>
        </w:sdtContent>
      </w:sdt>
      <w:r w:rsidR="0046138E" w:rsidRPr="00185F1A">
        <w:rPr>
          <w:rFonts w:ascii="Times New Roman" w:hAnsi="Times New Roman" w:cs="Times New Roman"/>
          <w:sz w:val="24"/>
          <w:szCs w:val="24"/>
        </w:rPr>
        <w:t xml:space="preserve"> </w:t>
      </w:r>
      <w:r w:rsidR="00622779" w:rsidRPr="00185F1A">
        <w:rPr>
          <w:rFonts w:ascii="Times New Roman" w:hAnsi="Times New Roman" w:cs="Times New Roman"/>
          <w:sz w:val="24"/>
          <w:szCs w:val="24"/>
        </w:rPr>
        <w:t>lo que pone en riesgo la seguridad del turista y su nivel de satisfacción.</w:t>
      </w:r>
      <w:r w:rsidRPr="00185F1A">
        <w:rPr>
          <w:rFonts w:ascii="Times New Roman" w:hAnsi="Times New Roman" w:cs="Times New Roman"/>
          <w:sz w:val="24"/>
          <w:szCs w:val="24"/>
        </w:rPr>
        <w:t xml:space="preserve"> </w:t>
      </w:r>
      <w:r w:rsidR="00622779" w:rsidRPr="00185F1A">
        <w:rPr>
          <w:rFonts w:ascii="Times New Roman" w:hAnsi="Times New Roman" w:cs="Times New Roman"/>
          <w:sz w:val="24"/>
          <w:szCs w:val="24"/>
        </w:rPr>
        <w:t xml:space="preserve">En efecto, en el estudio realizado por la OIT sobre la informalidad laboral en el Turismo </w:t>
      </w:r>
      <w:sdt>
        <w:sdtPr>
          <w:rPr>
            <w:rFonts w:ascii="Times New Roman" w:hAnsi="Times New Roman" w:cs="Times New Roman"/>
            <w:sz w:val="24"/>
            <w:szCs w:val="24"/>
          </w:rPr>
          <w:id w:val="-80063264"/>
          <w:citation/>
        </w:sdtPr>
        <w:sdtContent>
          <w:r w:rsidR="00622779" w:rsidRPr="00185F1A">
            <w:rPr>
              <w:rFonts w:ascii="Times New Roman" w:hAnsi="Times New Roman" w:cs="Times New Roman"/>
              <w:sz w:val="24"/>
              <w:szCs w:val="24"/>
            </w:rPr>
            <w:fldChar w:fldCharType="begin"/>
          </w:r>
          <w:r w:rsidR="00622779" w:rsidRPr="00185F1A">
            <w:rPr>
              <w:rFonts w:ascii="Times New Roman" w:hAnsi="Times New Roman" w:cs="Times New Roman"/>
              <w:sz w:val="24"/>
              <w:szCs w:val="24"/>
            </w:rPr>
            <w:instrText xml:space="preserve">CITATION Qui21 \l 3082 </w:instrText>
          </w:r>
          <w:r w:rsidR="00622779" w:rsidRPr="00185F1A">
            <w:rPr>
              <w:rFonts w:ascii="Times New Roman" w:hAnsi="Times New Roman" w:cs="Times New Roman"/>
              <w:sz w:val="24"/>
              <w:szCs w:val="24"/>
            </w:rPr>
            <w:fldChar w:fldCharType="separate"/>
          </w:r>
          <w:r w:rsidR="00622779" w:rsidRPr="00185F1A">
            <w:rPr>
              <w:rFonts w:ascii="Times New Roman" w:hAnsi="Times New Roman" w:cs="Times New Roman"/>
              <w:noProof/>
              <w:sz w:val="24"/>
              <w:szCs w:val="24"/>
            </w:rPr>
            <w:t>(Quicaña, E., 2021)</w:t>
          </w:r>
          <w:r w:rsidR="00622779" w:rsidRPr="00185F1A">
            <w:rPr>
              <w:rFonts w:ascii="Times New Roman" w:hAnsi="Times New Roman" w:cs="Times New Roman"/>
              <w:sz w:val="24"/>
              <w:szCs w:val="24"/>
            </w:rPr>
            <w:fldChar w:fldCharType="end"/>
          </w:r>
        </w:sdtContent>
      </w:sdt>
      <w:r w:rsidR="00622779" w:rsidRPr="00185F1A">
        <w:rPr>
          <w:rFonts w:ascii="Times New Roman" w:hAnsi="Times New Roman" w:cs="Times New Roman"/>
          <w:sz w:val="24"/>
          <w:szCs w:val="24"/>
        </w:rPr>
        <w:t xml:space="preserve">, muestra que la tasa de informalidad laboral en el país es de 46,4% del cual el 64% corresponde a trabajadores informales en Hoteles y Restaurantes, mientras que las agencias de viajes y tour operadores quienes representan el 4,5% del total de la actividad turística </w:t>
      </w:r>
      <w:sdt>
        <w:sdtPr>
          <w:rPr>
            <w:rFonts w:ascii="Times New Roman" w:hAnsi="Times New Roman" w:cs="Times New Roman"/>
            <w:sz w:val="24"/>
            <w:szCs w:val="24"/>
          </w:rPr>
          <w:id w:val="669761901"/>
          <w:citation/>
        </w:sdtPr>
        <w:sdtContent>
          <w:r w:rsidR="00622779" w:rsidRPr="00185F1A">
            <w:rPr>
              <w:rFonts w:ascii="Times New Roman" w:hAnsi="Times New Roman" w:cs="Times New Roman"/>
              <w:sz w:val="24"/>
              <w:szCs w:val="24"/>
            </w:rPr>
            <w:fldChar w:fldCharType="begin"/>
          </w:r>
          <w:r w:rsidR="00622779" w:rsidRPr="00185F1A">
            <w:rPr>
              <w:rFonts w:ascii="Times New Roman" w:hAnsi="Times New Roman" w:cs="Times New Roman"/>
              <w:sz w:val="24"/>
              <w:szCs w:val="24"/>
            </w:rPr>
            <w:instrText xml:space="preserve">CITATION Min \l 3082 </w:instrText>
          </w:r>
          <w:r w:rsidR="00622779" w:rsidRPr="00185F1A">
            <w:rPr>
              <w:rFonts w:ascii="Times New Roman" w:hAnsi="Times New Roman" w:cs="Times New Roman"/>
              <w:sz w:val="24"/>
              <w:szCs w:val="24"/>
            </w:rPr>
            <w:fldChar w:fldCharType="separate"/>
          </w:r>
          <w:r w:rsidR="00622779" w:rsidRPr="00185F1A">
            <w:rPr>
              <w:rFonts w:ascii="Times New Roman" w:hAnsi="Times New Roman" w:cs="Times New Roman"/>
              <w:noProof/>
              <w:sz w:val="24"/>
              <w:szCs w:val="24"/>
            </w:rPr>
            <w:t>(Ministerio de Comercio Exterior y Turismo, 2019)</w:t>
          </w:r>
          <w:r w:rsidR="00622779" w:rsidRPr="00185F1A">
            <w:rPr>
              <w:rFonts w:ascii="Times New Roman" w:hAnsi="Times New Roman" w:cs="Times New Roman"/>
              <w:sz w:val="24"/>
              <w:szCs w:val="24"/>
            </w:rPr>
            <w:fldChar w:fldCharType="end"/>
          </w:r>
        </w:sdtContent>
      </w:sdt>
      <w:r w:rsidR="00622779" w:rsidRPr="00185F1A">
        <w:rPr>
          <w:rFonts w:ascii="Times New Roman" w:hAnsi="Times New Roman" w:cs="Times New Roman"/>
          <w:sz w:val="24"/>
          <w:szCs w:val="24"/>
        </w:rPr>
        <w:t xml:space="preserve"> podría ser del 25%.</w:t>
      </w:r>
      <w:r w:rsidRPr="00185F1A">
        <w:rPr>
          <w:rFonts w:ascii="Times New Roman" w:hAnsi="Times New Roman" w:cs="Times New Roman"/>
          <w:sz w:val="24"/>
          <w:szCs w:val="24"/>
        </w:rPr>
        <w:t xml:space="preserve"> </w:t>
      </w:r>
    </w:p>
    <w:p w14:paraId="3CA39D83" w14:textId="77777777" w:rsidR="00185F1A" w:rsidRPr="00185F1A" w:rsidRDefault="00185F1A" w:rsidP="00185F1A">
      <w:pPr>
        <w:spacing w:line="240" w:lineRule="auto"/>
        <w:jc w:val="both"/>
        <w:rPr>
          <w:rFonts w:ascii="Times New Roman" w:hAnsi="Times New Roman" w:cs="Times New Roman"/>
          <w:sz w:val="24"/>
          <w:szCs w:val="24"/>
        </w:rPr>
      </w:pPr>
    </w:p>
    <w:p w14:paraId="4A5E21DA" w14:textId="3D4579F0" w:rsidR="00BE7FA0" w:rsidRPr="00185F1A" w:rsidRDefault="00A10DAE" w:rsidP="00185F1A">
      <w:pPr>
        <w:pStyle w:val="Prrafodelista"/>
        <w:numPr>
          <w:ilvl w:val="0"/>
          <w:numId w:val="3"/>
        </w:numPr>
        <w:tabs>
          <w:tab w:val="left" w:pos="284"/>
        </w:tabs>
        <w:ind w:left="0" w:firstLine="0"/>
        <w:jc w:val="both"/>
        <w:rPr>
          <w:rFonts w:ascii="Times New Roman" w:hAnsi="Times New Roman" w:cs="Times New Roman"/>
          <w:b/>
          <w:bCs/>
          <w:sz w:val="24"/>
          <w:szCs w:val="24"/>
        </w:rPr>
      </w:pPr>
      <w:r w:rsidRPr="00185F1A">
        <w:rPr>
          <w:rFonts w:ascii="Times New Roman" w:hAnsi="Times New Roman" w:cs="Times New Roman"/>
          <w:b/>
          <w:bCs/>
          <w:sz w:val="24"/>
          <w:szCs w:val="24"/>
        </w:rPr>
        <w:t>Conclusiones</w:t>
      </w:r>
    </w:p>
    <w:p w14:paraId="69267B66" w14:textId="77777777" w:rsidR="009F3ED0" w:rsidRPr="00185F1A" w:rsidRDefault="009F3ED0" w:rsidP="00185F1A">
      <w:pPr>
        <w:pStyle w:val="Prrafodelista"/>
        <w:ind w:left="0"/>
        <w:jc w:val="both"/>
        <w:rPr>
          <w:rFonts w:ascii="Times New Roman" w:hAnsi="Times New Roman" w:cs="Times New Roman"/>
          <w:b/>
          <w:bCs/>
          <w:sz w:val="24"/>
          <w:szCs w:val="24"/>
        </w:rPr>
      </w:pPr>
    </w:p>
    <w:p w14:paraId="645B4C18" w14:textId="453A7FC5" w:rsidR="009F3ED0" w:rsidRDefault="007604C6" w:rsidP="00185F1A">
      <w:pPr>
        <w:pStyle w:val="Prrafodelista"/>
        <w:spacing w:line="240" w:lineRule="auto"/>
        <w:ind w:left="0"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En el estudio </w:t>
      </w:r>
      <w:r w:rsidR="00E36F59" w:rsidRPr="00185F1A">
        <w:rPr>
          <w:rFonts w:ascii="Times New Roman" w:hAnsi="Times New Roman" w:cs="Times New Roman"/>
          <w:sz w:val="24"/>
          <w:szCs w:val="24"/>
        </w:rPr>
        <w:t>ha permitido constatar que</w:t>
      </w:r>
      <w:r w:rsidRPr="00185F1A">
        <w:rPr>
          <w:rFonts w:ascii="Times New Roman" w:hAnsi="Times New Roman" w:cs="Times New Roman"/>
          <w:sz w:val="24"/>
          <w:szCs w:val="24"/>
        </w:rPr>
        <w:t xml:space="preserve"> la competitividad turística está relacionada con </w:t>
      </w:r>
      <w:r w:rsidR="003740E2" w:rsidRPr="00185F1A">
        <w:rPr>
          <w:rFonts w:ascii="Times New Roman" w:hAnsi="Times New Roman" w:cs="Times New Roman"/>
          <w:sz w:val="24"/>
          <w:szCs w:val="24"/>
        </w:rPr>
        <w:t>la seguridad</w:t>
      </w:r>
      <w:r w:rsidRPr="00185F1A">
        <w:rPr>
          <w:rFonts w:ascii="Times New Roman" w:hAnsi="Times New Roman" w:cs="Times New Roman"/>
          <w:sz w:val="24"/>
          <w:szCs w:val="24"/>
        </w:rPr>
        <w:t xml:space="preserve"> multidimensional y que esta depende de otros sectores. La seguridad no debe ser vista únicamente como acciones en favor de la seguridad ciudadana y del turista. Cuando</w:t>
      </w:r>
      <w:r w:rsidR="003740E2" w:rsidRPr="00185F1A">
        <w:rPr>
          <w:rFonts w:ascii="Times New Roman" w:hAnsi="Times New Roman" w:cs="Times New Roman"/>
          <w:sz w:val="24"/>
          <w:szCs w:val="24"/>
        </w:rPr>
        <w:t xml:space="preserve"> se cubren plenamente</w:t>
      </w:r>
      <w:r w:rsidRPr="00185F1A">
        <w:rPr>
          <w:rFonts w:ascii="Times New Roman" w:hAnsi="Times New Roman" w:cs="Times New Roman"/>
          <w:sz w:val="24"/>
          <w:szCs w:val="24"/>
        </w:rPr>
        <w:t xml:space="preserve"> las necesidades básicas y fundamentales de los residentes </w:t>
      </w:r>
      <w:r w:rsidR="003740E2" w:rsidRPr="00185F1A">
        <w:rPr>
          <w:rFonts w:ascii="Times New Roman" w:hAnsi="Times New Roman" w:cs="Times New Roman"/>
          <w:sz w:val="24"/>
          <w:szCs w:val="24"/>
        </w:rPr>
        <w:t>en</w:t>
      </w:r>
      <w:r w:rsidRPr="00185F1A">
        <w:rPr>
          <w:rFonts w:ascii="Times New Roman" w:hAnsi="Times New Roman" w:cs="Times New Roman"/>
          <w:sz w:val="24"/>
          <w:szCs w:val="24"/>
        </w:rPr>
        <w:t xml:space="preserve"> los lugares turísticos</w:t>
      </w:r>
      <w:r w:rsidR="003740E2" w:rsidRPr="00185F1A">
        <w:rPr>
          <w:rFonts w:ascii="Times New Roman" w:hAnsi="Times New Roman" w:cs="Times New Roman"/>
          <w:sz w:val="24"/>
          <w:szCs w:val="24"/>
        </w:rPr>
        <w:t xml:space="preserve">, esto contribuye con la competitividad turística. No basta la inversión pública y privada en el sector turismo o en seguridad ciudadana, si no </w:t>
      </w:r>
      <w:r w:rsidR="003740E2" w:rsidRPr="00185F1A">
        <w:rPr>
          <w:rFonts w:ascii="Times New Roman" w:hAnsi="Times New Roman" w:cs="Times New Roman"/>
          <w:sz w:val="24"/>
          <w:szCs w:val="24"/>
        </w:rPr>
        <w:lastRenderedPageBreak/>
        <w:t>se acompaña de inversión en educación, salud, sistema vial y comunicaciones, mitigación ambiental, entre otros.</w:t>
      </w:r>
    </w:p>
    <w:p w14:paraId="294B4C12" w14:textId="77777777" w:rsidR="00DD13E9" w:rsidRPr="00185F1A" w:rsidRDefault="00DD13E9" w:rsidP="00185F1A">
      <w:pPr>
        <w:pStyle w:val="Prrafodelista"/>
        <w:spacing w:line="240" w:lineRule="auto"/>
        <w:ind w:left="0" w:firstLine="708"/>
        <w:jc w:val="both"/>
        <w:rPr>
          <w:rFonts w:ascii="Times New Roman" w:hAnsi="Times New Roman" w:cs="Times New Roman"/>
          <w:sz w:val="24"/>
          <w:szCs w:val="24"/>
        </w:rPr>
      </w:pPr>
    </w:p>
    <w:p w14:paraId="657B4A0A" w14:textId="77777777" w:rsidR="008C4323" w:rsidRPr="00185F1A" w:rsidRDefault="003740E2" w:rsidP="00DD13E9">
      <w:pPr>
        <w:pStyle w:val="Prrafodelista"/>
        <w:spacing w:line="240" w:lineRule="auto"/>
        <w:ind w:left="0" w:firstLine="708"/>
        <w:jc w:val="both"/>
        <w:rPr>
          <w:rFonts w:ascii="Times New Roman" w:hAnsi="Times New Roman" w:cs="Times New Roman"/>
          <w:sz w:val="24"/>
          <w:szCs w:val="24"/>
        </w:rPr>
      </w:pPr>
      <w:r w:rsidRPr="00185F1A">
        <w:rPr>
          <w:rFonts w:ascii="Times New Roman" w:hAnsi="Times New Roman" w:cs="Times New Roman"/>
          <w:sz w:val="24"/>
          <w:szCs w:val="24"/>
        </w:rPr>
        <w:t xml:space="preserve">Se ha realizado un gran esfuerzo en la construcción de los índices de competitividad, en tratar de incluir variables ligadas al desarrollo humano. Sin embargo, los indicadores deberían incluir variables </w:t>
      </w:r>
      <w:r w:rsidR="008C4323" w:rsidRPr="00185F1A">
        <w:rPr>
          <w:rFonts w:ascii="Times New Roman" w:hAnsi="Times New Roman" w:cs="Times New Roman"/>
          <w:sz w:val="24"/>
          <w:szCs w:val="24"/>
        </w:rPr>
        <w:t>socioeconómicos</w:t>
      </w:r>
      <w:r w:rsidRPr="00185F1A">
        <w:rPr>
          <w:rFonts w:ascii="Times New Roman" w:hAnsi="Times New Roman" w:cs="Times New Roman"/>
          <w:sz w:val="24"/>
          <w:szCs w:val="24"/>
        </w:rPr>
        <w:t xml:space="preserve"> y ambientales más realistas como </w:t>
      </w:r>
      <w:r w:rsidR="008C4323" w:rsidRPr="00185F1A">
        <w:rPr>
          <w:rFonts w:ascii="Times New Roman" w:hAnsi="Times New Roman" w:cs="Times New Roman"/>
          <w:sz w:val="24"/>
          <w:szCs w:val="24"/>
        </w:rPr>
        <w:t>peligro climático, informalidad entre otros, ligados a las condiciones del territorio.</w:t>
      </w:r>
    </w:p>
    <w:p w14:paraId="4BD76752" w14:textId="48128B59" w:rsidR="009F3ED0" w:rsidRPr="00185F1A" w:rsidRDefault="008C4323" w:rsidP="00185F1A">
      <w:pPr>
        <w:pStyle w:val="Prrafodelista"/>
        <w:spacing w:line="240" w:lineRule="auto"/>
        <w:ind w:left="0"/>
        <w:jc w:val="both"/>
        <w:rPr>
          <w:rFonts w:ascii="Times New Roman" w:hAnsi="Times New Roman" w:cs="Times New Roman"/>
          <w:b/>
          <w:bCs/>
          <w:sz w:val="24"/>
          <w:szCs w:val="24"/>
        </w:rPr>
      </w:pPr>
      <w:r w:rsidRPr="00185F1A">
        <w:rPr>
          <w:rFonts w:ascii="Times New Roman" w:hAnsi="Times New Roman" w:cs="Times New Roman"/>
          <w:sz w:val="24"/>
          <w:szCs w:val="24"/>
        </w:rPr>
        <w:t xml:space="preserve">Fuera de los circuitos turísticos en la Macrorregión Sur </w:t>
      </w:r>
      <w:r w:rsidR="00181AE8" w:rsidRPr="00185F1A">
        <w:rPr>
          <w:rFonts w:ascii="Times New Roman" w:hAnsi="Times New Roman" w:cs="Times New Roman"/>
          <w:sz w:val="24"/>
          <w:szCs w:val="24"/>
        </w:rPr>
        <w:t>orientado</w:t>
      </w:r>
      <w:r w:rsidRPr="00185F1A">
        <w:rPr>
          <w:rFonts w:ascii="Times New Roman" w:hAnsi="Times New Roman" w:cs="Times New Roman"/>
          <w:sz w:val="24"/>
          <w:szCs w:val="24"/>
        </w:rPr>
        <w:t xml:space="preserve"> fundamentalmente </w:t>
      </w:r>
      <w:r w:rsidR="00E36F59" w:rsidRPr="00185F1A">
        <w:rPr>
          <w:rFonts w:ascii="Times New Roman" w:hAnsi="Times New Roman" w:cs="Times New Roman"/>
          <w:sz w:val="24"/>
          <w:szCs w:val="24"/>
        </w:rPr>
        <w:t xml:space="preserve">en </w:t>
      </w:r>
      <w:r w:rsidRPr="00185F1A">
        <w:rPr>
          <w:rFonts w:ascii="Times New Roman" w:hAnsi="Times New Roman" w:cs="Times New Roman"/>
          <w:sz w:val="24"/>
          <w:szCs w:val="24"/>
        </w:rPr>
        <w:t>la visita a Machupichu, la alternativa para las otras regiones estaría basada en el desarrollo de circuitos innovadores y eventos (conferencias, exposiciones, festivales, otros) que permitan atraer gran número de personas que complementen su visita con la experiencia arqueológica-cultural local o que puedan visitar Machupichu sin pasar por Lima. Para ello, una vez más, es necesario desarrollar las condiciones</w:t>
      </w:r>
      <w:r w:rsidR="00E36F59" w:rsidRPr="00185F1A">
        <w:rPr>
          <w:rFonts w:ascii="Times New Roman" w:hAnsi="Times New Roman" w:cs="Times New Roman"/>
          <w:sz w:val="24"/>
          <w:szCs w:val="24"/>
        </w:rPr>
        <w:t xml:space="preserve"> socioeconómicas y ambientales</w:t>
      </w:r>
      <w:r w:rsidRPr="00185F1A">
        <w:rPr>
          <w:rFonts w:ascii="Times New Roman" w:hAnsi="Times New Roman" w:cs="Times New Roman"/>
          <w:sz w:val="24"/>
          <w:szCs w:val="24"/>
        </w:rPr>
        <w:t xml:space="preserve"> locales</w:t>
      </w:r>
      <w:r w:rsidR="00E36F59" w:rsidRPr="00185F1A">
        <w:rPr>
          <w:rFonts w:ascii="Times New Roman" w:hAnsi="Times New Roman" w:cs="Times New Roman"/>
          <w:sz w:val="24"/>
          <w:szCs w:val="24"/>
        </w:rPr>
        <w:t xml:space="preserve"> </w:t>
      </w:r>
      <w:r w:rsidRPr="00185F1A">
        <w:rPr>
          <w:rFonts w:ascii="Times New Roman" w:hAnsi="Times New Roman" w:cs="Times New Roman"/>
          <w:sz w:val="24"/>
          <w:szCs w:val="24"/>
        </w:rPr>
        <w:t>y de conectividad que permitan dar el salto a otras alternativas de turismo</w:t>
      </w:r>
      <w:r w:rsidR="00E36F59" w:rsidRPr="00185F1A">
        <w:rPr>
          <w:rFonts w:ascii="Times New Roman" w:hAnsi="Times New Roman" w:cs="Times New Roman"/>
          <w:sz w:val="24"/>
          <w:szCs w:val="24"/>
        </w:rPr>
        <w:t xml:space="preserve"> y con ello, la competitividad pueda escalar a mejores resultados.</w:t>
      </w:r>
      <w:r w:rsidRPr="00185F1A">
        <w:rPr>
          <w:rFonts w:ascii="Times New Roman" w:hAnsi="Times New Roman" w:cs="Times New Roman"/>
          <w:sz w:val="24"/>
          <w:szCs w:val="24"/>
        </w:rPr>
        <w:t xml:space="preserve"> </w:t>
      </w:r>
      <w:r w:rsidR="00DB0118" w:rsidRPr="00185F1A">
        <w:rPr>
          <w:rFonts w:ascii="Times New Roman" w:hAnsi="Times New Roman" w:cs="Times New Roman"/>
          <w:sz w:val="24"/>
          <w:szCs w:val="24"/>
        </w:rPr>
        <w:t xml:space="preserve">Por ello, el compromiso del Gobierno Central y los Gobiernos Locales se hace </w:t>
      </w:r>
      <w:r w:rsidR="00996320" w:rsidRPr="00185F1A">
        <w:rPr>
          <w:rFonts w:ascii="Times New Roman" w:hAnsi="Times New Roman" w:cs="Times New Roman"/>
          <w:sz w:val="24"/>
          <w:szCs w:val="24"/>
        </w:rPr>
        <w:t>necesario.</w:t>
      </w:r>
    </w:p>
    <w:p w14:paraId="37DA61B8" w14:textId="77777777" w:rsidR="002303D4" w:rsidRPr="00185F1A" w:rsidRDefault="002303D4" w:rsidP="00185F1A">
      <w:pPr>
        <w:pStyle w:val="Prrafodelista"/>
        <w:ind w:left="0"/>
        <w:jc w:val="both"/>
        <w:rPr>
          <w:rFonts w:ascii="Times New Roman" w:hAnsi="Times New Roman" w:cs="Times New Roman"/>
          <w:b/>
          <w:bCs/>
          <w:sz w:val="24"/>
          <w:szCs w:val="24"/>
        </w:rPr>
      </w:pPr>
    </w:p>
    <w:sdt>
      <w:sdtPr>
        <w:rPr>
          <w:rFonts w:ascii="Times New Roman" w:eastAsiaTheme="minorHAnsi" w:hAnsi="Times New Roman" w:cs="Times New Roman"/>
          <w:b/>
          <w:bCs/>
          <w:color w:val="auto"/>
          <w:sz w:val="24"/>
          <w:szCs w:val="24"/>
        </w:rPr>
        <w:id w:val="1909801088"/>
        <w:docPartObj>
          <w:docPartGallery w:val="Bibliographies"/>
          <w:docPartUnique/>
        </w:docPartObj>
      </w:sdtPr>
      <w:sdtEndPr>
        <w:rPr>
          <w:b w:val="0"/>
          <w:bCs w:val="0"/>
        </w:rPr>
      </w:sdtEndPr>
      <w:sdtContent>
        <w:p w14:paraId="548E25AA" w14:textId="519F6FA4" w:rsidR="00E36F59" w:rsidRPr="00185F1A" w:rsidRDefault="00E36F59" w:rsidP="00185F1A">
          <w:pPr>
            <w:pStyle w:val="Ttulo1"/>
            <w:jc w:val="both"/>
            <w:rPr>
              <w:rFonts w:ascii="Times New Roman" w:hAnsi="Times New Roman" w:cs="Times New Roman"/>
              <w:b/>
              <w:bCs/>
              <w:color w:val="auto"/>
              <w:sz w:val="24"/>
              <w:szCs w:val="24"/>
            </w:rPr>
          </w:pPr>
          <w:r w:rsidRPr="00185F1A">
            <w:rPr>
              <w:rFonts w:ascii="Times New Roman" w:hAnsi="Times New Roman" w:cs="Times New Roman"/>
              <w:b/>
              <w:bCs/>
              <w:color w:val="auto"/>
              <w:sz w:val="24"/>
              <w:szCs w:val="24"/>
            </w:rPr>
            <w:t>Referencias</w:t>
          </w:r>
          <w:r w:rsidR="00DD13E9">
            <w:rPr>
              <w:rFonts w:ascii="Times New Roman" w:hAnsi="Times New Roman" w:cs="Times New Roman"/>
              <w:b/>
              <w:bCs/>
              <w:color w:val="auto"/>
              <w:sz w:val="24"/>
              <w:szCs w:val="24"/>
            </w:rPr>
            <w:t xml:space="preserve"> principales</w:t>
          </w:r>
        </w:p>
        <w:sdt>
          <w:sdtPr>
            <w:rPr>
              <w:rFonts w:ascii="Times New Roman" w:hAnsi="Times New Roman" w:cs="Times New Roman"/>
              <w:sz w:val="24"/>
              <w:szCs w:val="24"/>
            </w:rPr>
            <w:id w:val="-573587230"/>
            <w:bibliography/>
          </w:sdtPr>
          <w:sdtContent>
            <w:p w14:paraId="476B0BD5" w14:textId="77777777" w:rsidR="00E36F59" w:rsidRPr="00185F1A" w:rsidRDefault="00E36F59" w:rsidP="00185F1A">
              <w:pPr>
                <w:pStyle w:val="Bibliografa"/>
                <w:ind w:left="720" w:hanging="720"/>
                <w:jc w:val="both"/>
                <w:rPr>
                  <w:rFonts w:ascii="Times New Roman" w:hAnsi="Times New Roman" w:cs="Times New Roman"/>
                  <w:noProof/>
                  <w:kern w:val="0"/>
                  <w:sz w:val="24"/>
                  <w:szCs w:val="24"/>
                  <w14:ligatures w14:val="none"/>
                </w:rPr>
              </w:pPr>
              <w:r w:rsidRPr="00185F1A">
                <w:rPr>
                  <w:rFonts w:ascii="Times New Roman" w:hAnsi="Times New Roman" w:cs="Times New Roman"/>
                  <w:sz w:val="24"/>
                  <w:szCs w:val="24"/>
                </w:rPr>
                <w:fldChar w:fldCharType="begin"/>
              </w:r>
              <w:r w:rsidRPr="00185F1A">
                <w:rPr>
                  <w:rFonts w:ascii="Times New Roman" w:hAnsi="Times New Roman" w:cs="Times New Roman"/>
                  <w:sz w:val="24"/>
                  <w:szCs w:val="24"/>
                </w:rPr>
                <w:instrText>BIBLIOGRAPHY</w:instrText>
              </w:r>
              <w:r w:rsidRPr="00185F1A">
                <w:rPr>
                  <w:rFonts w:ascii="Times New Roman" w:hAnsi="Times New Roman" w:cs="Times New Roman"/>
                  <w:sz w:val="24"/>
                  <w:szCs w:val="24"/>
                </w:rPr>
                <w:fldChar w:fldCharType="separate"/>
              </w:r>
              <w:r w:rsidRPr="00185F1A">
                <w:rPr>
                  <w:rFonts w:ascii="Times New Roman" w:hAnsi="Times New Roman" w:cs="Times New Roman"/>
                  <w:noProof/>
                  <w:sz w:val="24"/>
                  <w:szCs w:val="24"/>
                </w:rPr>
                <w:t xml:space="preserve">Acevedo-Navas, C., Ballesteros-Betancur, V., &amp; Corcione, M. (2022). Seguridad humana y seguridad multidimensional su enfoque y utilidad para proteger los derechos humanos. </w:t>
              </w:r>
              <w:r w:rsidRPr="00185F1A">
                <w:rPr>
                  <w:rFonts w:ascii="Times New Roman" w:hAnsi="Times New Roman" w:cs="Times New Roman"/>
                  <w:i/>
                  <w:iCs/>
                  <w:noProof/>
                  <w:sz w:val="24"/>
                  <w:szCs w:val="24"/>
                </w:rPr>
                <w:t>Revista Científica José María Córdova</w:t>
              </w:r>
              <w:r w:rsidRPr="00185F1A">
                <w:rPr>
                  <w:rFonts w:ascii="Times New Roman" w:hAnsi="Times New Roman" w:cs="Times New Roman"/>
                  <w:noProof/>
                  <w:sz w:val="24"/>
                  <w:szCs w:val="24"/>
                </w:rPr>
                <w:t>, 1105-1127.</w:t>
              </w:r>
            </w:p>
            <w:p w14:paraId="70B1B561" w14:textId="77777777" w:rsidR="00E36F59" w:rsidRPr="00185F1A" w:rsidRDefault="00E36F59" w:rsidP="00185F1A">
              <w:pPr>
                <w:pStyle w:val="Bibliografa"/>
                <w:ind w:left="720" w:hanging="720"/>
                <w:jc w:val="both"/>
                <w:rPr>
                  <w:rFonts w:ascii="Times New Roman" w:hAnsi="Times New Roman" w:cs="Times New Roman"/>
                  <w:noProof/>
                  <w:sz w:val="24"/>
                  <w:szCs w:val="24"/>
                  <w:lang w:val="en-US"/>
                </w:rPr>
              </w:pPr>
              <w:r w:rsidRPr="00185F1A">
                <w:rPr>
                  <w:rFonts w:ascii="Times New Roman" w:hAnsi="Times New Roman" w:cs="Times New Roman"/>
                  <w:noProof/>
                  <w:sz w:val="24"/>
                  <w:szCs w:val="24"/>
                </w:rPr>
                <w:t xml:space="preserve">Blackwell, A. (2015). Seguridad Multidimensional: Enfrentando nuevas amenazas. </w:t>
              </w:r>
              <w:r w:rsidRPr="00185F1A">
                <w:rPr>
                  <w:rFonts w:ascii="Times New Roman" w:hAnsi="Times New Roman" w:cs="Times New Roman"/>
                  <w:i/>
                  <w:iCs/>
                  <w:noProof/>
                  <w:sz w:val="24"/>
                  <w:szCs w:val="24"/>
                  <w:lang w:val="en-US"/>
                </w:rPr>
                <w:t>Seguridad, ciencia y defensa</w:t>
              </w:r>
              <w:r w:rsidRPr="00185F1A">
                <w:rPr>
                  <w:rFonts w:ascii="Times New Roman" w:hAnsi="Times New Roman" w:cs="Times New Roman"/>
                  <w:noProof/>
                  <w:sz w:val="24"/>
                  <w:szCs w:val="24"/>
                  <w:lang w:val="en-US"/>
                </w:rPr>
                <w:t>, 153-158.</w:t>
              </w:r>
            </w:p>
            <w:p w14:paraId="6C88439F" w14:textId="77777777" w:rsidR="00E36F59" w:rsidRPr="00185F1A" w:rsidRDefault="00E36F59" w:rsidP="00185F1A">
              <w:pPr>
                <w:pStyle w:val="Bibliografa"/>
                <w:ind w:left="720" w:hanging="720"/>
                <w:jc w:val="both"/>
                <w:rPr>
                  <w:rFonts w:ascii="Times New Roman" w:hAnsi="Times New Roman" w:cs="Times New Roman"/>
                  <w:noProof/>
                  <w:sz w:val="24"/>
                  <w:szCs w:val="24"/>
                  <w:lang w:val="en-US"/>
                </w:rPr>
              </w:pPr>
              <w:r w:rsidRPr="00185F1A">
                <w:rPr>
                  <w:rFonts w:ascii="Times New Roman" w:hAnsi="Times New Roman" w:cs="Times New Roman"/>
                  <w:noProof/>
                  <w:sz w:val="24"/>
                  <w:szCs w:val="24"/>
                  <w:lang w:val="en-US"/>
                </w:rPr>
                <w:t xml:space="preserve">Crouch, G., &amp; Ritchie, J. (1999). Tourism, competitiveness, and social prosperity. </w:t>
              </w:r>
              <w:r w:rsidRPr="00185F1A">
                <w:rPr>
                  <w:rFonts w:ascii="Times New Roman" w:hAnsi="Times New Roman" w:cs="Times New Roman"/>
                  <w:i/>
                  <w:iCs/>
                  <w:noProof/>
                  <w:sz w:val="24"/>
                  <w:szCs w:val="24"/>
                  <w:lang w:val="en-US"/>
                </w:rPr>
                <w:t>Journal of Travel Research, 44</w:t>
              </w:r>
              <w:r w:rsidRPr="00185F1A">
                <w:rPr>
                  <w:rFonts w:ascii="Times New Roman" w:hAnsi="Times New Roman" w:cs="Times New Roman"/>
                  <w:noProof/>
                  <w:sz w:val="24"/>
                  <w:szCs w:val="24"/>
                  <w:lang w:val="en-US"/>
                </w:rPr>
                <w:t>, 137-152.</w:t>
              </w:r>
            </w:p>
            <w:p w14:paraId="42970E7E"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Daries, J., Jaime, V., &amp; Bucaram, S. (2021). </w:t>
              </w:r>
              <w:r w:rsidRPr="00185F1A">
                <w:rPr>
                  <w:rFonts w:ascii="Times New Roman" w:hAnsi="Times New Roman" w:cs="Times New Roman"/>
                  <w:i/>
                  <w:iCs/>
                  <w:noProof/>
                  <w:sz w:val="24"/>
                  <w:szCs w:val="24"/>
                </w:rPr>
                <w:t>Evolución del Turismo en Perú 2010 - 2020, la influencia del COVID-19 y recomendaciones pos-COVID-19. Nota sectorial de turismo.</w:t>
              </w:r>
              <w:r w:rsidRPr="00185F1A">
                <w:rPr>
                  <w:rFonts w:ascii="Times New Roman" w:hAnsi="Times New Roman" w:cs="Times New Roman"/>
                  <w:noProof/>
                  <w:sz w:val="24"/>
                  <w:szCs w:val="24"/>
                </w:rPr>
                <w:t xml:space="preserve"> BID.</w:t>
              </w:r>
            </w:p>
            <w:p w14:paraId="3813C89F"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Font, T., &amp; Ortega, P. (2012). Seguridad nacional, seguridad multidimensional, seguridad humana. </w:t>
              </w:r>
              <w:r w:rsidRPr="00185F1A">
                <w:rPr>
                  <w:rFonts w:ascii="Times New Roman" w:hAnsi="Times New Roman" w:cs="Times New Roman"/>
                  <w:i/>
                  <w:iCs/>
                  <w:noProof/>
                  <w:sz w:val="24"/>
                  <w:szCs w:val="24"/>
                </w:rPr>
                <w:t>Papeles de relaciones ecosociales y cambio global</w:t>
              </w:r>
              <w:r w:rsidRPr="00185F1A">
                <w:rPr>
                  <w:rFonts w:ascii="Times New Roman" w:hAnsi="Times New Roman" w:cs="Times New Roman"/>
                  <w:noProof/>
                  <w:sz w:val="24"/>
                  <w:szCs w:val="24"/>
                </w:rPr>
                <w:t>, 161-172.</w:t>
              </w:r>
            </w:p>
            <w:p w14:paraId="6A045539"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García Cobarrubias, J. (2011). Las dificultades para conceptualizar la seguridad y la defensa: reflexiones desde la teoría. . </w:t>
              </w:r>
              <w:r w:rsidRPr="00185F1A">
                <w:rPr>
                  <w:rFonts w:ascii="Times New Roman" w:hAnsi="Times New Roman" w:cs="Times New Roman"/>
                  <w:i/>
                  <w:iCs/>
                  <w:noProof/>
                  <w:sz w:val="24"/>
                  <w:szCs w:val="24"/>
                </w:rPr>
                <w:t>Revista Política y Estratégia</w:t>
              </w:r>
              <w:r w:rsidRPr="00185F1A">
                <w:rPr>
                  <w:rFonts w:ascii="Times New Roman" w:hAnsi="Times New Roman" w:cs="Times New Roman"/>
                  <w:noProof/>
                  <w:sz w:val="24"/>
                  <w:szCs w:val="24"/>
                </w:rPr>
                <w:t>, 99-117.</w:t>
              </w:r>
            </w:p>
            <w:p w14:paraId="43466744"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Grünewald, L. (2012). La seguridad en el marco de la competitividad de los destinos turísticos. . </w:t>
              </w:r>
              <w:r w:rsidRPr="00185F1A">
                <w:rPr>
                  <w:rFonts w:ascii="Times New Roman" w:hAnsi="Times New Roman" w:cs="Times New Roman"/>
                  <w:i/>
                  <w:iCs/>
                  <w:noProof/>
                  <w:sz w:val="24"/>
                  <w:szCs w:val="24"/>
                </w:rPr>
                <w:t>Revista de Ciencias Sociales</w:t>
              </w:r>
              <w:r w:rsidRPr="00185F1A">
                <w:rPr>
                  <w:rFonts w:ascii="Times New Roman" w:hAnsi="Times New Roman" w:cs="Times New Roman"/>
                  <w:noProof/>
                  <w:sz w:val="24"/>
                  <w:szCs w:val="24"/>
                </w:rPr>
                <w:t>, 141-158.</w:t>
              </w:r>
            </w:p>
            <w:p w14:paraId="7EF46355"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Hernández, N. (2020). La seguridad humana: del concepto al enfoque. Causas de la reducción de su uso como concepto. </w:t>
              </w:r>
              <w:r w:rsidRPr="00185F1A">
                <w:rPr>
                  <w:rFonts w:ascii="Times New Roman" w:hAnsi="Times New Roman" w:cs="Times New Roman"/>
                  <w:i/>
                  <w:iCs/>
                  <w:noProof/>
                  <w:sz w:val="24"/>
                  <w:szCs w:val="24"/>
                </w:rPr>
                <w:t>Relaciones Internacionales</w:t>
              </w:r>
              <w:r w:rsidRPr="00185F1A">
                <w:rPr>
                  <w:rFonts w:ascii="Times New Roman" w:hAnsi="Times New Roman" w:cs="Times New Roman"/>
                  <w:noProof/>
                  <w:sz w:val="24"/>
                  <w:szCs w:val="24"/>
                </w:rPr>
                <w:t>, 33-48.</w:t>
              </w:r>
            </w:p>
            <w:p w14:paraId="0093A699"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Hosteltur. (1 de Mayo de 2024). </w:t>
              </w:r>
              <w:r w:rsidRPr="00185F1A">
                <w:rPr>
                  <w:rFonts w:ascii="Times New Roman" w:hAnsi="Times New Roman" w:cs="Times New Roman"/>
                  <w:i/>
                  <w:iCs/>
                  <w:noProof/>
                  <w:sz w:val="24"/>
                  <w:szCs w:val="24"/>
                </w:rPr>
                <w:t>Hosteltur</w:t>
              </w:r>
              <w:r w:rsidRPr="00185F1A">
                <w:rPr>
                  <w:rFonts w:ascii="Times New Roman" w:hAnsi="Times New Roman" w:cs="Times New Roman"/>
                  <w:noProof/>
                  <w:sz w:val="24"/>
                  <w:szCs w:val="24"/>
                </w:rPr>
                <w:t>. Obtenido de https://www.hosteltur.com/lat/127100_informalidad-agencias-viajes-peru-es-60.html</w:t>
              </w:r>
            </w:p>
            <w:p w14:paraId="3B6AF2A8"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lang w:val="pt-BR"/>
                </w:rPr>
                <w:lastRenderedPageBreak/>
                <w:t xml:space="preserve">Instituto Nacional de Estadística e Informática - INEI. </w:t>
              </w:r>
              <w:r w:rsidRPr="00185F1A">
                <w:rPr>
                  <w:rFonts w:ascii="Times New Roman" w:hAnsi="Times New Roman" w:cs="Times New Roman"/>
                  <w:noProof/>
                  <w:sz w:val="24"/>
                  <w:szCs w:val="24"/>
                </w:rPr>
                <w:t xml:space="preserve">(2022). </w:t>
              </w:r>
              <w:r w:rsidRPr="00185F1A">
                <w:rPr>
                  <w:rFonts w:ascii="Times New Roman" w:hAnsi="Times New Roman" w:cs="Times New Roman"/>
                  <w:i/>
                  <w:iCs/>
                  <w:noProof/>
                  <w:sz w:val="24"/>
                  <w:szCs w:val="24"/>
                </w:rPr>
                <w:t>Producción y Empleo informal en el Perú. Cuenta Satélite de la Economía Informal. 2007 - 2021.</w:t>
              </w:r>
              <w:r w:rsidRPr="00185F1A">
                <w:rPr>
                  <w:rFonts w:ascii="Times New Roman" w:hAnsi="Times New Roman" w:cs="Times New Roman"/>
                  <w:noProof/>
                  <w:sz w:val="24"/>
                  <w:szCs w:val="24"/>
                </w:rPr>
                <w:t xml:space="preserve"> Lima: INEI.</w:t>
              </w:r>
            </w:p>
            <w:p w14:paraId="10EBDDEB"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Jiménez García, J., &amp; Pérez Delgado, M. (2018). La Seguridad como componente esencial del concepto de calidad turística. </w:t>
              </w:r>
              <w:r w:rsidRPr="00185F1A">
                <w:rPr>
                  <w:rFonts w:ascii="Times New Roman" w:hAnsi="Times New Roman" w:cs="Times New Roman"/>
                  <w:i/>
                  <w:iCs/>
                  <w:noProof/>
                  <w:sz w:val="24"/>
                  <w:szCs w:val="24"/>
                </w:rPr>
                <w:t>Estudios y Perspectivas en Turismo</w:t>
              </w:r>
              <w:r w:rsidRPr="00185F1A">
                <w:rPr>
                  <w:rFonts w:ascii="Times New Roman" w:hAnsi="Times New Roman" w:cs="Times New Roman"/>
                  <w:noProof/>
                  <w:sz w:val="24"/>
                  <w:szCs w:val="24"/>
                </w:rPr>
                <w:t>, s.n.</w:t>
              </w:r>
            </w:p>
            <w:p w14:paraId="43AD38DE"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MINCETUR. (2017). </w:t>
              </w:r>
              <w:r w:rsidRPr="00185F1A">
                <w:rPr>
                  <w:rFonts w:ascii="Times New Roman" w:hAnsi="Times New Roman" w:cs="Times New Roman"/>
                  <w:i/>
                  <w:iCs/>
                  <w:noProof/>
                  <w:sz w:val="24"/>
                  <w:szCs w:val="24"/>
                </w:rPr>
                <w:t>Nivel de Satisfacción del Turista Nacional y Extranjero que visita Lambayeque.</w:t>
              </w:r>
              <w:r w:rsidRPr="00185F1A">
                <w:rPr>
                  <w:rFonts w:ascii="Times New Roman" w:hAnsi="Times New Roman" w:cs="Times New Roman"/>
                  <w:noProof/>
                  <w:sz w:val="24"/>
                  <w:szCs w:val="24"/>
                </w:rPr>
                <w:t xml:space="preserve"> Lima: MINCETUR.</w:t>
              </w:r>
            </w:p>
            <w:p w14:paraId="676B74D6"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MINCETUR. (2019). </w:t>
              </w:r>
              <w:r w:rsidRPr="00185F1A">
                <w:rPr>
                  <w:rFonts w:ascii="Times New Roman" w:hAnsi="Times New Roman" w:cs="Times New Roman"/>
                  <w:i/>
                  <w:iCs/>
                  <w:noProof/>
                  <w:sz w:val="24"/>
                  <w:szCs w:val="24"/>
                </w:rPr>
                <w:t>Nivel de Satisfacción del Turista Nacional y Extranjero que visita Lambayeque.</w:t>
              </w:r>
              <w:r w:rsidRPr="00185F1A">
                <w:rPr>
                  <w:rFonts w:ascii="Times New Roman" w:hAnsi="Times New Roman" w:cs="Times New Roman"/>
                  <w:noProof/>
                  <w:sz w:val="24"/>
                  <w:szCs w:val="24"/>
                </w:rPr>
                <w:t xml:space="preserve"> Lima: MINCETUR.</w:t>
              </w:r>
            </w:p>
            <w:p w14:paraId="206E2DEE"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Ministerio de Comercio Exterior y Turismo. (2019). </w:t>
              </w:r>
              <w:r w:rsidRPr="00185F1A">
                <w:rPr>
                  <w:rFonts w:ascii="Times New Roman" w:hAnsi="Times New Roman" w:cs="Times New Roman"/>
                  <w:i/>
                  <w:iCs/>
                  <w:noProof/>
                  <w:sz w:val="24"/>
                  <w:szCs w:val="24"/>
                </w:rPr>
                <w:t>Cuenta Satélite de Turismo. Principales Indicadores Económicos 2015 - 2020.</w:t>
              </w:r>
              <w:r w:rsidRPr="00185F1A">
                <w:rPr>
                  <w:rFonts w:ascii="Times New Roman" w:hAnsi="Times New Roman" w:cs="Times New Roman"/>
                  <w:noProof/>
                  <w:sz w:val="24"/>
                  <w:szCs w:val="24"/>
                </w:rPr>
                <w:t xml:space="preserve"> Lima: Gobierno del Perú.</w:t>
              </w:r>
            </w:p>
            <w:p w14:paraId="3DE4C46D"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Ministerio de Desarrollo e Inclusión Social - MIDIS; Programa Mundial de Alimentos - WFP. (2019). </w:t>
              </w:r>
              <w:r w:rsidRPr="00185F1A">
                <w:rPr>
                  <w:rFonts w:ascii="Times New Roman" w:hAnsi="Times New Roman" w:cs="Times New Roman"/>
                  <w:i/>
                  <w:iCs/>
                  <w:noProof/>
                  <w:sz w:val="24"/>
                  <w:szCs w:val="24"/>
                </w:rPr>
                <w:t>Mapa de Vulnerabilidad a la inseguridad alimentaria ante la recurrencia de fenómenos de origen natural.</w:t>
              </w:r>
              <w:r w:rsidRPr="00185F1A">
                <w:rPr>
                  <w:rFonts w:ascii="Times New Roman" w:hAnsi="Times New Roman" w:cs="Times New Roman"/>
                  <w:noProof/>
                  <w:sz w:val="24"/>
                  <w:szCs w:val="24"/>
                </w:rPr>
                <w:t xml:space="preserve"> Lima: MIDIS.</w:t>
              </w:r>
            </w:p>
            <w:p w14:paraId="0C504F96"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Organización de los Estados Americanos - OEA. (2013). II Conferencia de Seguridad Turística de las Américas. </w:t>
              </w:r>
              <w:r w:rsidRPr="00185F1A">
                <w:rPr>
                  <w:rFonts w:ascii="Times New Roman" w:hAnsi="Times New Roman" w:cs="Times New Roman"/>
                  <w:i/>
                  <w:iCs/>
                  <w:noProof/>
                  <w:sz w:val="24"/>
                  <w:szCs w:val="24"/>
                </w:rPr>
                <w:t>II Conferencia de Seguridad Turística de las Américas</w:t>
              </w:r>
              <w:r w:rsidRPr="00185F1A">
                <w:rPr>
                  <w:rFonts w:ascii="Times New Roman" w:hAnsi="Times New Roman" w:cs="Times New Roman"/>
                  <w:noProof/>
                  <w:sz w:val="24"/>
                  <w:szCs w:val="24"/>
                </w:rPr>
                <w:t xml:space="preserve"> (pág. 40). Panamá: OEA.</w:t>
              </w:r>
            </w:p>
            <w:p w14:paraId="0009D3A3"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Organización Mundial del Turismo (OMT); Agence du développement de l'Union Africaine (AUDA-NEPAD); Union Économique Monétaire Ouest Africaine (UEMOA). (2020). Livre Blanc de la Securité et Sûreté dans le secteur du Tourisme I. </w:t>
              </w:r>
              <w:r w:rsidRPr="00185F1A">
                <w:rPr>
                  <w:rFonts w:ascii="Times New Roman" w:hAnsi="Times New Roman" w:cs="Times New Roman"/>
                  <w:i/>
                  <w:iCs/>
                  <w:noProof/>
                  <w:sz w:val="24"/>
                  <w:szCs w:val="24"/>
                </w:rPr>
                <w:t>I</w:t>
              </w:r>
              <w:r w:rsidRPr="00185F1A">
                <w:rPr>
                  <w:rFonts w:ascii="Times New Roman" w:hAnsi="Times New Roman" w:cs="Times New Roman"/>
                  <w:noProof/>
                  <w:sz w:val="24"/>
                  <w:szCs w:val="24"/>
                </w:rPr>
                <w:t>, pág. 100. Madrid: OMT. Obtenido de https://doi.org/10.18111/9789284423118</w:t>
              </w:r>
            </w:p>
            <w:p w14:paraId="1408B2CA" w14:textId="77777777" w:rsidR="00E36F59" w:rsidRPr="00185F1A" w:rsidRDefault="00E36F59" w:rsidP="00185F1A">
              <w:pPr>
                <w:pStyle w:val="Bibliografa"/>
                <w:ind w:left="720" w:hanging="720"/>
                <w:jc w:val="both"/>
                <w:rPr>
                  <w:rFonts w:ascii="Times New Roman" w:hAnsi="Times New Roman" w:cs="Times New Roman"/>
                  <w:noProof/>
                  <w:sz w:val="24"/>
                  <w:szCs w:val="24"/>
                  <w:lang w:val="en-US"/>
                </w:rPr>
              </w:pPr>
              <w:r w:rsidRPr="00185F1A">
                <w:rPr>
                  <w:rFonts w:ascii="Times New Roman" w:hAnsi="Times New Roman" w:cs="Times New Roman"/>
                  <w:noProof/>
                  <w:sz w:val="24"/>
                  <w:szCs w:val="24"/>
                </w:rPr>
                <w:t xml:space="preserve">Ortíz, F., Robles, V., &amp; Guzmán, A. (2018). Análisis teórico de los modelos de competitividad de destinos turísticos. Un acercamiento para la competitividad de los destinos turísticos mexicanos. </w:t>
              </w:r>
              <w:r w:rsidRPr="00185F1A">
                <w:rPr>
                  <w:rFonts w:ascii="Times New Roman" w:hAnsi="Times New Roman" w:cs="Times New Roman"/>
                  <w:i/>
                  <w:iCs/>
                  <w:noProof/>
                  <w:sz w:val="24"/>
                  <w:szCs w:val="24"/>
                  <w:lang w:val="en-US"/>
                </w:rPr>
                <w:t>International Journal of Scientific Management and Tourism</w:t>
              </w:r>
              <w:r w:rsidRPr="00185F1A">
                <w:rPr>
                  <w:rFonts w:ascii="Times New Roman" w:hAnsi="Times New Roman" w:cs="Times New Roman"/>
                  <w:noProof/>
                  <w:sz w:val="24"/>
                  <w:szCs w:val="24"/>
                  <w:lang w:val="en-US"/>
                </w:rPr>
                <w:t>, 195-221.</w:t>
              </w:r>
            </w:p>
            <w:p w14:paraId="2CBFA70F"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lang w:val="en-US"/>
                </w:rPr>
                <w:t xml:space="preserve">Pérez, Y., Sarmiento, Y., &amp; Paneca, Y. (2018). </w:t>
              </w:r>
              <w:r w:rsidRPr="00185F1A">
                <w:rPr>
                  <w:rFonts w:ascii="Times New Roman" w:hAnsi="Times New Roman" w:cs="Times New Roman"/>
                  <w:noProof/>
                  <w:sz w:val="24"/>
                  <w:szCs w:val="24"/>
                </w:rPr>
                <w:t xml:space="preserve">La competitividad turística: su medición y factores determinantes. </w:t>
              </w:r>
              <w:r w:rsidRPr="00185F1A">
                <w:rPr>
                  <w:rFonts w:ascii="Times New Roman" w:hAnsi="Times New Roman" w:cs="Times New Roman"/>
                  <w:i/>
                  <w:iCs/>
                  <w:noProof/>
                  <w:sz w:val="24"/>
                  <w:szCs w:val="24"/>
                </w:rPr>
                <w:t>Revista Caribeña de Ciencias Sociales</w:t>
              </w:r>
              <w:r w:rsidRPr="00185F1A">
                <w:rPr>
                  <w:rFonts w:ascii="Times New Roman" w:hAnsi="Times New Roman" w:cs="Times New Roman"/>
                  <w:noProof/>
                  <w:sz w:val="24"/>
                  <w:szCs w:val="24"/>
                </w:rPr>
                <w:t>.</w:t>
              </w:r>
            </w:p>
            <w:p w14:paraId="4F78AA02"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Perles, J. (2022). La Competitividad de los destinos turísticos. </w:t>
              </w:r>
              <w:r w:rsidRPr="00185F1A">
                <w:rPr>
                  <w:rFonts w:ascii="Times New Roman" w:hAnsi="Times New Roman" w:cs="Times New Roman"/>
                  <w:i/>
                  <w:iCs/>
                  <w:noProof/>
                  <w:sz w:val="24"/>
                  <w:szCs w:val="24"/>
                </w:rPr>
                <w:t>Revista Economía Industrial</w:t>
              </w:r>
              <w:r w:rsidRPr="00185F1A">
                <w:rPr>
                  <w:rFonts w:ascii="Times New Roman" w:hAnsi="Times New Roman" w:cs="Times New Roman"/>
                  <w:noProof/>
                  <w:sz w:val="24"/>
                  <w:szCs w:val="24"/>
                </w:rPr>
                <w:t>, 17-24.</w:t>
              </w:r>
            </w:p>
            <w:p w14:paraId="631EE1E5"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Porter, M. E. (1991). </w:t>
              </w:r>
              <w:r w:rsidRPr="00185F1A">
                <w:rPr>
                  <w:rFonts w:ascii="Times New Roman" w:hAnsi="Times New Roman" w:cs="Times New Roman"/>
                  <w:i/>
                  <w:iCs/>
                  <w:noProof/>
                  <w:sz w:val="24"/>
                  <w:szCs w:val="24"/>
                </w:rPr>
                <w:t>La Ventaja Competitiva de las Naciones.</w:t>
              </w:r>
              <w:r w:rsidRPr="00185F1A">
                <w:rPr>
                  <w:rFonts w:ascii="Times New Roman" w:hAnsi="Times New Roman" w:cs="Times New Roman"/>
                  <w:noProof/>
                  <w:sz w:val="24"/>
                  <w:szCs w:val="24"/>
                </w:rPr>
                <w:t xml:space="preserve"> Plaza y Janes.</w:t>
              </w:r>
            </w:p>
            <w:p w14:paraId="32CCFFDC"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Quicaña, E. (2021). </w:t>
              </w:r>
              <w:r w:rsidRPr="00185F1A">
                <w:rPr>
                  <w:rFonts w:ascii="Times New Roman" w:hAnsi="Times New Roman" w:cs="Times New Roman"/>
                  <w:i/>
                  <w:iCs/>
                  <w:noProof/>
                  <w:sz w:val="24"/>
                  <w:szCs w:val="24"/>
                </w:rPr>
                <w:t>Hacia una recuperación sostenible del empleo en el sector del turismo en América Latina y el Caribe. Nota Técnica.</w:t>
              </w:r>
              <w:r w:rsidRPr="00185F1A">
                <w:rPr>
                  <w:rFonts w:ascii="Times New Roman" w:hAnsi="Times New Roman" w:cs="Times New Roman"/>
                  <w:noProof/>
                  <w:sz w:val="24"/>
                  <w:szCs w:val="24"/>
                </w:rPr>
                <w:t xml:space="preserve"> Organización Internacional del Trabajo - OIT.</w:t>
              </w:r>
            </w:p>
            <w:p w14:paraId="7D806373"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Sociedad de Comercio Exterior del Perú - COMEXPERU. (2019). </w:t>
              </w:r>
              <w:r w:rsidRPr="00185F1A">
                <w:rPr>
                  <w:rFonts w:ascii="Times New Roman" w:hAnsi="Times New Roman" w:cs="Times New Roman"/>
                  <w:i/>
                  <w:iCs/>
                  <w:noProof/>
                  <w:sz w:val="24"/>
                  <w:szCs w:val="24"/>
                </w:rPr>
                <w:t>Desempeño y competitividad turística en el Perú - Resultados 2019.</w:t>
              </w:r>
              <w:r w:rsidRPr="00185F1A">
                <w:rPr>
                  <w:rFonts w:ascii="Times New Roman" w:hAnsi="Times New Roman" w:cs="Times New Roman"/>
                  <w:noProof/>
                  <w:sz w:val="24"/>
                  <w:szCs w:val="24"/>
                </w:rPr>
                <w:t xml:space="preserve"> Lima: COMEXPERU.</w:t>
              </w:r>
            </w:p>
            <w:p w14:paraId="41742C63"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Sociedad de Comercio Exterior del Perú - COMEXPERÚ. (2022). </w:t>
              </w:r>
              <w:r w:rsidRPr="00185F1A">
                <w:rPr>
                  <w:rFonts w:ascii="Times New Roman" w:hAnsi="Times New Roman" w:cs="Times New Roman"/>
                  <w:i/>
                  <w:iCs/>
                  <w:noProof/>
                  <w:sz w:val="24"/>
                  <w:szCs w:val="24"/>
                </w:rPr>
                <w:t>Desempeño y competitividad turística en el Perú - Resultados en 2022.</w:t>
              </w:r>
              <w:r w:rsidRPr="00185F1A">
                <w:rPr>
                  <w:rFonts w:ascii="Times New Roman" w:hAnsi="Times New Roman" w:cs="Times New Roman"/>
                  <w:noProof/>
                  <w:sz w:val="24"/>
                  <w:szCs w:val="24"/>
                </w:rPr>
                <w:t xml:space="preserve"> Lima: COMEXPERÚ.</w:t>
              </w:r>
            </w:p>
            <w:p w14:paraId="20D7A450" w14:textId="77777777" w:rsidR="00E36F59" w:rsidRPr="00185F1A" w:rsidRDefault="00E36F59"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lastRenderedPageBreak/>
                <w:t xml:space="preserve">Sociedad Nacional de Industrias. (2023). </w:t>
              </w:r>
              <w:r w:rsidRPr="00185F1A">
                <w:rPr>
                  <w:rFonts w:ascii="Times New Roman" w:hAnsi="Times New Roman" w:cs="Times New Roman"/>
                  <w:i/>
                  <w:iCs/>
                  <w:noProof/>
                  <w:sz w:val="24"/>
                  <w:szCs w:val="24"/>
                </w:rPr>
                <w:t>Perú Regiones al 2031.</w:t>
              </w:r>
              <w:r w:rsidRPr="00185F1A">
                <w:rPr>
                  <w:rFonts w:ascii="Times New Roman" w:hAnsi="Times New Roman" w:cs="Times New Roman"/>
                  <w:noProof/>
                  <w:sz w:val="24"/>
                  <w:szCs w:val="24"/>
                </w:rPr>
                <w:t xml:space="preserve"> Lima: Sociedad Nacional de Industrias.</w:t>
              </w:r>
            </w:p>
            <w:p w14:paraId="0BC75C72" w14:textId="77777777" w:rsidR="00E36F59" w:rsidRPr="00185F1A" w:rsidRDefault="00E36F59" w:rsidP="00185F1A">
              <w:pPr>
                <w:pStyle w:val="Bibliografa"/>
                <w:ind w:left="720" w:hanging="720"/>
                <w:jc w:val="both"/>
                <w:rPr>
                  <w:rFonts w:ascii="Times New Roman" w:hAnsi="Times New Roman" w:cs="Times New Roman"/>
                  <w:noProof/>
                  <w:sz w:val="24"/>
                  <w:szCs w:val="24"/>
                  <w:lang w:val="en-US"/>
                </w:rPr>
              </w:pPr>
              <w:r w:rsidRPr="00185F1A">
                <w:rPr>
                  <w:rFonts w:ascii="Times New Roman" w:hAnsi="Times New Roman" w:cs="Times New Roman"/>
                  <w:noProof/>
                  <w:sz w:val="24"/>
                  <w:szCs w:val="24"/>
                </w:rPr>
                <w:t xml:space="preserve">Taj, M., Glatsky, G., &amp; Turkewitz, J. (s.f.). Incertidumbre y violencia afectan a la industria turística del Perú. </w:t>
              </w:r>
              <w:r w:rsidRPr="00185F1A">
                <w:rPr>
                  <w:rFonts w:ascii="Times New Roman" w:hAnsi="Times New Roman" w:cs="Times New Roman"/>
                  <w:i/>
                  <w:iCs/>
                  <w:noProof/>
                  <w:sz w:val="24"/>
                  <w:szCs w:val="24"/>
                  <w:lang w:val="en-US"/>
                </w:rPr>
                <w:t>The New York Times</w:t>
              </w:r>
              <w:r w:rsidRPr="00185F1A">
                <w:rPr>
                  <w:rFonts w:ascii="Times New Roman" w:hAnsi="Times New Roman" w:cs="Times New Roman"/>
                  <w:noProof/>
                  <w:sz w:val="24"/>
                  <w:szCs w:val="24"/>
                  <w:lang w:val="en-US"/>
                </w:rPr>
                <w:t>. Obtenido de https://www.nytimes.com/es/2022/12/20/espanol/peru-protestas-cusco-turistas.html</w:t>
              </w:r>
            </w:p>
            <w:p w14:paraId="7A322A8C" w14:textId="77777777" w:rsidR="00E36F59" w:rsidRPr="005D5792" w:rsidRDefault="00E36F59" w:rsidP="00185F1A">
              <w:pPr>
                <w:pStyle w:val="Bibliografa"/>
                <w:ind w:left="720" w:hanging="720"/>
                <w:jc w:val="both"/>
                <w:rPr>
                  <w:rFonts w:ascii="Times New Roman" w:hAnsi="Times New Roman" w:cs="Times New Roman"/>
                  <w:noProof/>
                  <w:sz w:val="24"/>
                  <w:szCs w:val="24"/>
                  <w:lang w:val="en-US"/>
                </w:rPr>
              </w:pPr>
              <w:r w:rsidRPr="00185F1A">
                <w:rPr>
                  <w:rFonts w:ascii="Times New Roman" w:hAnsi="Times New Roman" w:cs="Times New Roman"/>
                  <w:noProof/>
                  <w:sz w:val="24"/>
                  <w:szCs w:val="24"/>
                  <w:lang w:val="en-US"/>
                </w:rPr>
                <w:t xml:space="preserve">United Nations. (2016). </w:t>
              </w:r>
              <w:r w:rsidRPr="00185F1A">
                <w:rPr>
                  <w:rFonts w:ascii="Times New Roman" w:hAnsi="Times New Roman" w:cs="Times New Roman"/>
                  <w:i/>
                  <w:iCs/>
                  <w:noProof/>
                  <w:sz w:val="24"/>
                  <w:szCs w:val="24"/>
                  <w:lang w:val="en-US"/>
                </w:rPr>
                <w:t>Human Security Handbook. In United Nations Trust Fund for Human Security (Human Secu, Issue January).</w:t>
              </w:r>
              <w:r w:rsidRPr="00185F1A">
                <w:rPr>
                  <w:rFonts w:ascii="Times New Roman" w:hAnsi="Times New Roman" w:cs="Times New Roman"/>
                  <w:noProof/>
                  <w:sz w:val="24"/>
                  <w:szCs w:val="24"/>
                  <w:lang w:val="en-US"/>
                </w:rPr>
                <w:t xml:space="preserve"> </w:t>
              </w:r>
              <w:r w:rsidRPr="005D5792">
                <w:rPr>
                  <w:rFonts w:ascii="Times New Roman" w:hAnsi="Times New Roman" w:cs="Times New Roman"/>
                  <w:noProof/>
                  <w:sz w:val="24"/>
                  <w:szCs w:val="24"/>
                  <w:lang w:val="en-US"/>
                </w:rPr>
                <w:t>United Nations. https://doi.org/10.4324/9781315289854.</w:t>
              </w:r>
            </w:p>
            <w:p w14:paraId="6C47C485" w14:textId="373BB778" w:rsidR="00E36F59" w:rsidRPr="00185F1A" w:rsidRDefault="00E36F59" w:rsidP="00185F1A">
              <w:pPr>
                <w:pStyle w:val="Bibliografa"/>
                <w:ind w:left="720" w:hanging="720"/>
                <w:jc w:val="both"/>
                <w:rPr>
                  <w:rFonts w:ascii="Times New Roman" w:hAnsi="Times New Roman" w:cs="Times New Roman"/>
                  <w:sz w:val="24"/>
                  <w:szCs w:val="24"/>
                </w:rPr>
              </w:pPr>
              <w:r w:rsidRPr="005D5792">
                <w:rPr>
                  <w:rFonts w:ascii="Times New Roman" w:hAnsi="Times New Roman" w:cs="Times New Roman"/>
                  <w:noProof/>
                  <w:sz w:val="24"/>
                  <w:szCs w:val="24"/>
                  <w:lang w:val="en-US"/>
                </w:rPr>
                <w:t xml:space="preserve">Vargas, C. E. (2022). </w:t>
              </w:r>
              <w:r w:rsidRPr="00185F1A">
                <w:rPr>
                  <w:rFonts w:ascii="Times New Roman" w:hAnsi="Times New Roman" w:cs="Times New Roman"/>
                  <w:noProof/>
                  <w:sz w:val="24"/>
                  <w:szCs w:val="24"/>
                </w:rPr>
                <w:t xml:space="preserve">Seguridad Multidimensional: Entre la ambigüedad conceptual y la necesidad pragmática. </w:t>
              </w:r>
              <w:r w:rsidRPr="00185F1A">
                <w:rPr>
                  <w:rFonts w:ascii="Times New Roman" w:hAnsi="Times New Roman" w:cs="Times New Roman"/>
                  <w:i/>
                  <w:iCs/>
                  <w:noProof/>
                  <w:sz w:val="24"/>
                  <w:szCs w:val="24"/>
                </w:rPr>
                <w:t>Revista de Relaciones Internacionales, Estrategia y Seguridad</w:t>
              </w:r>
              <w:r w:rsidRPr="00185F1A">
                <w:rPr>
                  <w:rFonts w:ascii="Times New Roman" w:hAnsi="Times New Roman" w:cs="Times New Roman"/>
                  <w:noProof/>
                  <w:sz w:val="24"/>
                  <w:szCs w:val="24"/>
                </w:rPr>
                <w:t>, 103-117.</w:t>
              </w:r>
              <w:r w:rsidRPr="00185F1A">
                <w:rPr>
                  <w:rFonts w:ascii="Times New Roman" w:hAnsi="Times New Roman" w:cs="Times New Roman"/>
                  <w:b/>
                  <w:bCs/>
                  <w:sz w:val="24"/>
                  <w:szCs w:val="24"/>
                </w:rPr>
                <w:fldChar w:fldCharType="end"/>
              </w:r>
            </w:p>
          </w:sdtContent>
        </w:sdt>
      </w:sdtContent>
    </w:sdt>
    <w:p w14:paraId="06E1CE37" w14:textId="77777777" w:rsidR="00E36F59" w:rsidRPr="00185F1A" w:rsidRDefault="00E36F59" w:rsidP="00185F1A">
      <w:pPr>
        <w:pStyle w:val="Prrafodelista"/>
        <w:ind w:left="0"/>
        <w:jc w:val="both"/>
        <w:rPr>
          <w:rFonts w:ascii="Times New Roman" w:hAnsi="Times New Roman" w:cs="Times New Roman"/>
          <w:b/>
          <w:bCs/>
          <w:sz w:val="24"/>
          <w:szCs w:val="24"/>
        </w:rPr>
      </w:pPr>
    </w:p>
    <w:p w14:paraId="24816DEA" w14:textId="04A2B06F" w:rsidR="008F37B3" w:rsidRPr="00185F1A" w:rsidRDefault="008F37B3" w:rsidP="00185F1A">
      <w:pPr>
        <w:pStyle w:val="Bibliografa"/>
        <w:ind w:left="720" w:hanging="720"/>
        <w:jc w:val="both"/>
        <w:rPr>
          <w:rFonts w:ascii="Times New Roman" w:hAnsi="Times New Roman" w:cs="Times New Roman"/>
          <w:b/>
          <w:bCs/>
          <w:noProof/>
          <w:sz w:val="24"/>
          <w:szCs w:val="24"/>
        </w:rPr>
      </w:pPr>
      <w:r w:rsidRPr="00185F1A">
        <w:rPr>
          <w:rFonts w:ascii="Times New Roman" w:hAnsi="Times New Roman" w:cs="Times New Roman"/>
          <w:b/>
          <w:bCs/>
          <w:noProof/>
          <w:sz w:val="24"/>
          <w:szCs w:val="24"/>
        </w:rPr>
        <w:t>Referencias Adicionales</w:t>
      </w:r>
    </w:p>
    <w:p w14:paraId="1292D112" w14:textId="2F0A8471" w:rsidR="008F37B3" w:rsidRPr="00185F1A" w:rsidRDefault="008F37B3" w:rsidP="00185F1A">
      <w:pPr>
        <w:pStyle w:val="Bibliografa"/>
        <w:ind w:left="720" w:hanging="720"/>
        <w:jc w:val="both"/>
        <w:rPr>
          <w:rFonts w:ascii="Times New Roman" w:hAnsi="Times New Roman" w:cs="Times New Roman"/>
          <w:noProof/>
          <w:sz w:val="24"/>
          <w:szCs w:val="24"/>
        </w:rPr>
      </w:pPr>
      <w:bookmarkStart w:id="2" w:name="_Hlk166059477"/>
      <w:r w:rsidRPr="00185F1A">
        <w:rPr>
          <w:rFonts w:ascii="Times New Roman" w:hAnsi="Times New Roman" w:cs="Times New Roman"/>
          <w:noProof/>
          <w:sz w:val="24"/>
          <w:szCs w:val="24"/>
        </w:rPr>
        <w:t xml:space="preserve">MINCETUR. (2019). </w:t>
      </w:r>
      <w:r w:rsidRPr="00185F1A">
        <w:rPr>
          <w:rFonts w:ascii="Times New Roman" w:hAnsi="Times New Roman" w:cs="Times New Roman"/>
          <w:i/>
          <w:iCs/>
          <w:noProof/>
          <w:sz w:val="24"/>
          <w:szCs w:val="24"/>
        </w:rPr>
        <w:t>Nivel de Satisfacción del Turista Nacional y Extranjero que visita La Libertad.</w:t>
      </w:r>
      <w:r w:rsidRPr="00185F1A">
        <w:rPr>
          <w:rFonts w:ascii="Times New Roman" w:hAnsi="Times New Roman" w:cs="Times New Roman"/>
          <w:noProof/>
          <w:sz w:val="24"/>
          <w:szCs w:val="24"/>
        </w:rPr>
        <w:t xml:space="preserve"> Lima: MINCETUR.</w:t>
      </w:r>
    </w:p>
    <w:bookmarkEnd w:id="2"/>
    <w:p w14:paraId="5896961D" w14:textId="250663A5" w:rsidR="008F37B3" w:rsidRPr="00185F1A" w:rsidRDefault="008F37B3"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MINCETUR. (2019). </w:t>
      </w:r>
      <w:r w:rsidRPr="00185F1A">
        <w:rPr>
          <w:rFonts w:ascii="Times New Roman" w:hAnsi="Times New Roman" w:cs="Times New Roman"/>
          <w:i/>
          <w:iCs/>
          <w:noProof/>
          <w:sz w:val="24"/>
          <w:szCs w:val="24"/>
        </w:rPr>
        <w:t>Nivel de Satisfacción del Turista Nacional y Extranjero que visita Cusco.</w:t>
      </w:r>
      <w:r w:rsidRPr="00185F1A">
        <w:rPr>
          <w:rFonts w:ascii="Times New Roman" w:hAnsi="Times New Roman" w:cs="Times New Roman"/>
          <w:noProof/>
          <w:sz w:val="24"/>
          <w:szCs w:val="24"/>
        </w:rPr>
        <w:t xml:space="preserve"> Lima: MINCETUR.</w:t>
      </w:r>
    </w:p>
    <w:p w14:paraId="706F02FE" w14:textId="09F86548" w:rsidR="008F37B3" w:rsidRPr="00185F1A" w:rsidRDefault="008F37B3"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MINCETUR. (2019). </w:t>
      </w:r>
      <w:r w:rsidRPr="00185F1A">
        <w:rPr>
          <w:rFonts w:ascii="Times New Roman" w:hAnsi="Times New Roman" w:cs="Times New Roman"/>
          <w:i/>
          <w:iCs/>
          <w:noProof/>
          <w:sz w:val="24"/>
          <w:szCs w:val="24"/>
        </w:rPr>
        <w:t>Nivel de Satisfacción del Turista Nacional y Extranjero que visita Amazonas.</w:t>
      </w:r>
      <w:r w:rsidRPr="00185F1A">
        <w:rPr>
          <w:rFonts w:ascii="Times New Roman" w:hAnsi="Times New Roman" w:cs="Times New Roman"/>
          <w:noProof/>
          <w:sz w:val="24"/>
          <w:szCs w:val="24"/>
        </w:rPr>
        <w:t xml:space="preserve"> Lima: MINCETUR.</w:t>
      </w:r>
    </w:p>
    <w:p w14:paraId="4438D4E7" w14:textId="63CB7B67" w:rsidR="008F37B3" w:rsidRPr="00185F1A" w:rsidRDefault="008F37B3"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MINCETUR. (2019). </w:t>
      </w:r>
      <w:r w:rsidRPr="00185F1A">
        <w:rPr>
          <w:rFonts w:ascii="Times New Roman" w:hAnsi="Times New Roman" w:cs="Times New Roman"/>
          <w:i/>
          <w:iCs/>
          <w:noProof/>
          <w:sz w:val="24"/>
          <w:szCs w:val="24"/>
        </w:rPr>
        <w:t>Nivel de Satisfacción del Turista Nacional y Extranjero que visita San Martín.</w:t>
      </w:r>
      <w:r w:rsidRPr="00185F1A">
        <w:rPr>
          <w:rFonts w:ascii="Times New Roman" w:hAnsi="Times New Roman" w:cs="Times New Roman"/>
          <w:noProof/>
          <w:sz w:val="24"/>
          <w:szCs w:val="24"/>
        </w:rPr>
        <w:t xml:space="preserve"> Lima: MINCETUR.</w:t>
      </w:r>
    </w:p>
    <w:p w14:paraId="1049FD0E" w14:textId="35BE084D" w:rsidR="008F37B3" w:rsidRPr="00185F1A" w:rsidRDefault="008F37B3" w:rsidP="00185F1A">
      <w:pPr>
        <w:pStyle w:val="Bibliografa"/>
        <w:ind w:left="720" w:hanging="720"/>
        <w:jc w:val="both"/>
        <w:rPr>
          <w:rFonts w:ascii="Times New Roman" w:hAnsi="Times New Roman" w:cs="Times New Roman"/>
          <w:noProof/>
          <w:sz w:val="24"/>
          <w:szCs w:val="24"/>
        </w:rPr>
      </w:pPr>
      <w:r w:rsidRPr="00185F1A">
        <w:rPr>
          <w:rFonts w:ascii="Times New Roman" w:hAnsi="Times New Roman" w:cs="Times New Roman"/>
          <w:noProof/>
          <w:sz w:val="24"/>
          <w:szCs w:val="24"/>
        </w:rPr>
        <w:t xml:space="preserve">MINCETUR. (2019). </w:t>
      </w:r>
      <w:r w:rsidRPr="00185F1A">
        <w:rPr>
          <w:rFonts w:ascii="Times New Roman" w:hAnsi="Times New Roman" w:cs="Times New Roman"/>
          <w:i/>
          <w:iCs/>
          <w:noProof/>
          <w:sz w:val="24"/>
          <w:szCs w:val="24"/>
        </w:rPr>
        <w:t>Nivel de Satisfacción del Turista Nacional y Extranjero que visita Arequipa.</w:t>
      </w:r>
      <w:r w:rsidRPr="00185F1A">
        <w:rPr>
          <w:rFonts w:ascii="Times New Roman" w:hAnsi="Times New Roman" w:cs="Times New Roman"/>
          <w:noProof/>
          <w:sz w:val="24"/>
          <w:szCs w:val="24"/>
        </w:rPr>
        <w:t xml:space="preserve"> Lima: MINCETUR.</w:t>
      </w:r>
    </w:p>
    <w:p w14:paraId="36730533" w14:textId="529D207F" w:rsidR="003D1848" w:rsidRPr="00185F1A" w:rsidRDefault="003D1848" w:rsidP="00185F1A">
      <w:pPr>
        <w:jc w:val="both"/>
        <w:rPr>
          <w:rFonts w:ascii="Times New Roman" w:hAnsi="Times New Roman" w:cs="Times New Roman"/>
          <w:sz w:val="24"/>
          <w:szCs w:val="24"/>
        </w:rPr>
      </w:pPr>
      <w:r w:rsidRPr="00185F1A">
        <w:rPr>
          <w:rFonts w:ascii="Times New Roman" w:hAnsi="Times New Roman" w:cs="Times New Roman"/>
          <w:sz w:val="24"/>
          <w:szCs w:val="24"/>
        </w:rPr>
        <w:t xml:space="preserve">MINCETUR; Gobierno Regional de Lambayeque. (2018). Plan Estratégico Regional de Turismo 2019 – 2025. Chiclayo. </w:t>
      </w:r>
    </w:p>
    <w:p w14:paraId="731EF7F7" w14:textId="77777777" w:rsidR="003D1848" w:rsidRPr="00185F1A" w:rsidRDefault="003D1848" w:rsidP="00185F1A">
      <w:pPr>
        <w:jc w:val="both"/>
        <w:rPr>
          <w:rFonts w:ascii="Times New Roman" w:hAnsi="Times New Roman" w:cs="Times New Roman"/>
          <w:sz w:val="24"/>
          <w:szCs w:val="24"/>
        </w:rPr>
      </w:pPr>
    </w:p>
    <w:sectPr w:rsidR="003D1848" w:rsidRPr="00185F1A" w:rsidSect="005F5CB4">
      <w:headerReference w:type="default" r:id="rId23"/>
      <w:footerReference w:type="default" r:id="rId24"/>
      <w:headerReference w:type="first" r:id="rId25"/>
      <w:footerReference w:type="first" r:id="rId2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2ED78" w14:textId="77777777" w:rsidR="007F0569" w:rsidRDefault="007F0569" w:rsidP="002F2337">
      <w:pPr>
        <w:spacing w:after="0" w:line="240" w:lineRule="auto"/>
      </w:pPr>
      <w:r>
        <w:separator/>
      </w:r>
    </w:p>
  </w:endnote>
  <w:endnote w:type="continuationSeparator" w:id="0">
    <w:p w14:paraId="3B65C08E" w14:textId="77777777" w:rsidR="007F0569" w:rsidRDefault="007F0569" w:rsidP="002F2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62190" w14:textId="77777777" w:rsidR="000E55D8" w:rsidRDefault="000E55D8" w:rsidP="000E55D8">
    <w:pPr>
      <w:tabs>
        <w:tab w:val="center" w:pos="4252"/>
        <w:tab w:val="right" w:pos="8504"/>
      </w:tabs>
      <w:jc w:val="center"/>
      <w:rPr>
        <w:rFonts w:ascii="Times New Roman" w:eastAsia="Calibri" w:hAnsi="Times New Roman" w:cs="Times New Roman"/>
        <w:b/>
        <w:bCs/>
        <w:color w:val="C00000"/>
        <w:kern w:val="0"/>
        <w:sz w:val="18"/>
        <w:szCs w:val="18"/>
        <w:lang w:val="en-GB"/>
        <w14:ligatures w14:val="none"/>
      </w:rPr>
    </w:pPr>
  </w:p>
  <w:p w14:paraId="4BB8F381" w14:textId="4D61F289" w:rsidR="00CA7CA9" w:rsidRDefault="000E55D8" w:rsidP="000E55D8">
    <w:pPr>
      <w:tabs>
        <w:tab w:val="center" w:pos="4252"/>
        <w:tab w:val="right" w:pos="8504"/>
      </w:tabs>
      <w:jc w:val="center"/>
    </w:pPr>
    <w:r w:rsidRPr="000E55D8">
      <w:rPr>
        <w:rFonts w:ascii="Times New Roman" w:eastAsia="Calibri" w:hAnsi="Times New Roman" w:cs="Times New Roman"/>
        <w:b/>
        <w:bCs/>
        <w:color w:val="C00000"/>
        <w:kern w:val="0"/>
        <w:sz w:val="18"/>
        <w:szCs w:val="18"/>
        <w:lang w:val="en-GB"/>
        <w14:ligatures w14:val="none"/>
      </w:rPr>
      <w:t>Revista Internacional de Turismo, Empresa y Territorio, vol. 8, nº 2, 2024, pp. 181-</w:t>
    </w:r>
    <w:r>
      <w:rPr>
        <w:rFonts w:ascii="Times New Roman" w:eastAsia="Calibri" w:hAnsi="Times New Roman" w:cs="Times New Roman"/>
        <w:b/>
        <w:bCs/>
        <w:color w:val="C00000"/>
        <w:kern w:val="0"/>
        <w:sz w:val="18"/>
        <w:szCs w:val="18"/>
        <w:lang w:val="en-GB"/>
        <w14:ligatures w14:val="none"/>
      </w:rPr>
      <w:t>199</w:t>
    </w:r>
    <w:r w:rsidRPr="000E55D8">
      <w:rPr>
        <w:rFonts w:ascii="Times New Roman" w:eastAsia="Calibri" w:hAnsi="Times New Roman" w:cs="Times New Roman"/>
        <w:b/>
        <w:bCs/>
        <w:color w:val="C00000"/>
        <w:kern w:val="0"/>
        <w:sz w:val="18"/>
        <w:szCs w:val="18"/>
        <w:lang w:val="en-GB"/>
        <w14:ligatures w14:val="none"/>
      </w:rPr>
      <w:t xml:space="preserve">.  </w:t>
    </w:r>
    <w:r w:rsidRPr="000E55D8">
      <w:rPr>
        <w:rFonts w:ascii="Times New Roman" w:eastAsia="Calibri" w:hAnsi="Times New Roman" w:cs="Times New Roman"/>
        <w:kern w:val="0"/>
        <w:sz w:val="18"/>
        <w:szCs w:val="18"/>
        <w:lang w:val="en-GB"/>
        <w14:ligatures w14:val="none"/>
      </w:rPr>
      <w:t>https://www.uco.es/ucopress/ojs/index.php/riturem/index</w:t>
    </w:r>
    <w:r w:rsidRPr="000E55D8">
      <w:rPr>
        <w:rFonts w:ascii="Times New Roman" w:eastAsia="Calibri" w:hAnsi="Times New Roman" w:cs="Times New Roman"/>
        <w:kern w:val="0"/>
        <w:sz w:val="20"/>
        <w:szCs w:val="20"/>
        <w14:ligatures w14:val="none"/>
      </w:rPr>
      <w:fldChar w:fldCharType="begin"/>
    </w:r>
    <w:r w:rsidRPr="000E55D8">
      <w:rPr>
        <w:rFonts w:ascii="Times New Roman" w:eastAsia="Calibri" w:hAnsi="Times New Roman" w:cs="Times New Roman"/>
        <w:kern w:val="0"/>
        <w:sz w:val="20"/>
        <w:szCs w:val="20"/>
        <w:lang w:val="en-GB"/>
        <w14:ligatures w14:val="none"/>
      </w:rPr>
      <w:instrText>PAGE   \* MERGEFORMAT</w:instrText>
    </w:r>
    <w:r w:rsidRPr="000E55D8">
      <w:rPr>
        <w:rFonts w:ascii="Times New Roman" w:eastAsia="Calibri" w:hAnsi="Times New Roman" w:cs="Times New Roman"/>
        <w:kern w:val="0"/>
        <w:sz w:val="20"/>
        <w:szCs w:val="20"/>
        <w14:ligatures w14:val="none"/>
      </w:rPr>
      <w:fldChar w:fldCharType="separate"/>
    </w:r>
    <w:r w:rsidRPr="000E55D8">
      <w:rPr>
        <w:rFonts w:ascii="Times New Roman" w:eastAsia="Calibri" w:hAnsi="Times New Roman" w:cs="Times New Roman"/>
        <w:kern w:val="0"/>
        <w:sz w:val="20"/>
        <w:szCs w:val="20"/>
        <w14:ligatures w14:val="none"/>
      </w:rPr>
      <w:t>2</w:t>
    </w:r>
    <w:r w:rsidRPr="000E55D8">
      <w:rPr>
        <w:rFonts w:ascii="Times New Roman" w:eastAsia="Calibri" w:hAnsi="Times New Roman" w:cs="Times New Roman"/>
        <w:kern w:val="0"/>
        <w:sz w:val="20"/>
        <w:szCs w:val="20"/>
        <w14:ligatures w14: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0FC1" w14:textId="1F142CFE" w:rsidR="009E434C" w:rsidRDefault="009E434C">
    <w:pPr>
      <w:pStyle w:val="Piedepgina"/>
      <w:rPr>
        <w:rFonts w:ascii="Times New Roman" w:eastAsia="Calibri" w:hAnsi="Times New Roman" w:cs="Times New Roman"/>
        <w:kern w:val="0"/>
        <w:sz w:val="20"/>
        <w:szCs w:val="20"/>
        <w:lang w:val="en-GB"/>
        <w14:ligatures w14:val="none"/>
      </w:rPr>
    </w:pPr>
    <w:r w:rsidRPr="009E434C">
      <w:rPr>
        <w:rFonts w:ascii="Times New Roman" w:eastAsia="Calibri" w:hAnsi="Times New Roman" w:cs="Times New Roman"/>
        <w:b/>
        <w:kern w:val="0"/>
        <w:sz w:val="20"/>
        <w:szCs w:val="20"/>
        <w:lang w:val="en-GB"/>
        <w14:ligatures w14:val="none"/>
      </w:rPr>
      <w:t>Recepción:</w:t>
    </w:r>
    <w:r w:rsidRPr="009E434C">
      <w:rPr>
        <w:rFonts w:ascii="Times New Roman" w:eastAsia="Calibri" w:hAnsi="Times New Roman" w:cs="Times New Roman"/>
        <w:kern w:val="0"/>
        <w:sz w:val="20"/>
        <w:szCs w:val="20"/>
        <w:lang w:val="en-GB"/>
        <w14:ligatures w14:val="none"/>
      </w:rPr>
      <w:t xml:space="preserve"> </w:t>
    </w:r>
    <w:r w:rsidR="005D5792">
      <w:rPr>
        <w:rFonts w:ascii="Times New Roman" w:eastAsia="Calibri" w:hAnsi="Times New Roman" w:cs="Times New Roman"/>
        <w:kern w:val="0"/>
        <w:sz w:val="20"/>
        <w:szCs w:val="20"/>
        <w:lang w:val="en-GB"/>
        <w14:ligatures w14:val="none"/>
      </w:rPr>
      <w:t>11</w:t>
    </w:r>
    <w:r w:rsidRPr="009E434C">
      <w:rPr>
        <w:rFonts w:ascii="Times New Roman" w:eastAsia="Calibri" w:hAnsi="Times New Roman" w:cs="Times New Roman"/>
        <w:kern w:val="0"/>
        <w:sz w:val="20"/>
        <w:szCs w:val="20"/>
        <w:lang w:val="en-GB"/>
        <w14:ligatures w14:val="none"/>
      </w:rPr>
      <w:t>/</w:t>
    </w:r>
    <w:r w:rsidR="005D5792">
      <w:rPr>
        <w:rFonts w:ascii="Times New Roman" w:eastAsia="Calibri" w:hAnsi="Times New Roman" w:cs="Times New Roman"/>
        <w:kern w:val="0"/>
        <w:sz w:val="20"/>
        <w:szCs w:val="20"/>
        <w:lang w:val="en-GB"/>
        <w14:ligatures w14:val="none"/>
      </w:rPr>
      <w:t>05</w:t>
    </w:r>
    <w:r w:rsidRPr="009E434C">
      <w:rPr>
        <w:rFonts w:ascii="Times New Roman" w:eastAsia="Calibri" w:hAnsi="Times New Roman" w:cs="Times New Roman"/>
        <w:kern w:val="0"/>
        <w:sz w:val="20"/>
        <w:szCs w:val="20"/>
        <w:lang w:val="en-GB"/>
        <w14:ligatures w14:val="none"/>
      </w:rPr>
      <w:t>/2024</w:t>
    </w:r>
    <w:r w:rsidRPr="009E434C">
      <w:rPr>
        <w:rFonts w:ascii="Times New Roman" w:eastAsia="Calibri" w:hAnsi="Times New Roman" w:cs="Times New Roman"/>
        <w:bCs/>
        <w:kern w:val="0"/>
        <w:sz w:val="20"/>
        <w:szCs w:val="20"/>
        <w:lang w:val="en-GB"/>
        <w14:ligatures w14:val="none"/>
      </w:rPr>
      <w:tab/>
    </w:r>
    <w:r w:rsidRPr="009E434C">
      <w:rPr>
        <w:rFonts w:ascii="Times New Roman" w:eastAsia="Calibri" w:hAnsi="Times New Roman" w:cs="Times New Roman"/>
        <w:b/>
        <w:kern w:val="0"/>
        <w:sz w:val="20"/>
        <w:szCs w:val="20"/>
        <w:lang w:val="en-GB"/>
        <w14:ligatures w14:val="none"/>
      </w:rPr>
      <w:t>Aceptación</w:t>
    </w:r>
    <w:r w:rsidRPr="009E434C">
      <w:rPr>
        <w:rFonts w:ascii="Times New Roman" w:eastAsia="Calibri" w:hAnsi="Times New Roman" w:cs="Times New Roman"/>
        <w:kern w:val="0"/>
        <w:sz w:val="20"/>
        <w:szCs w:val="20"/>
        <w:lang w:val="en-GB"/>
        <w14:ligatures w14:val="none"/>
      </w:rPr>
      <w:t>: 1</w:t>
    </w:r>
    <w:r w:rsidR="005D5792">
      <w:rPr>
        <w:rFonts w:ascii="Times New Roman" w:eastAsia="Calibri" w:hAnsi="Times New Roman" w:cs="Times New Roman"/>
        <w:kern w:val="0"/>
        <w:sz w:val="20"/>
        <w:szCs w:val="20"/>
        <w:lang w:val="en-GB"/>
        <w14:ligatures w14:val="none"/>
      </w:rPr>
      <w:t>5</w:t>
    </w:r>
    <w:r w:rsidRPr="009E434C">
      <w:rPr>
        <w:rFonts w:ascii="Times New Roman" w:eastAsia="Calibri" w:hAnsi="Times New Roman" w:cs="Times New Roman"/>
        <w:kern w:val="0"/>
        <w:sz w:val="20"/>
        <w:szCs w:val="20"/>
        <w:lang w:val="en-GB"/>
        <w14:ligatures w14:val="none"/>
      </w:rPr>
      <w:t>/12/2024</w:t>
    </w:r>
    <w:r w:rsidRPr="009E434C">
      <w:rPr>
        <w:rFonts w:ascii="Times New Roman" w:eastAsia="Calibri" w:hAnsi="Times New Roman" w:cs="Times New Roman"/>
        <w:bCs/>
        <w:kern w:val="0"/>
        <w:sz w:val="20"/>
        <w:szCs w:val="20"/>
        <w:lang w:val="en-GB"/>
        <w14:ligatures w14:val="none"/>
      </w:rPr>
      <w:tab/>
      <w:t xml:space="preserve">                 </w:t>
    </w:r>
    <w:r w:rsidRPr="009E434C">
      <w:rPr>
        <w:rFonts w:ascii="Times New Roman" w:eastAsia="Calibri" w:hAnsi="Times New Roman" w:cs="Times New Roman"/>
        <w:b/>
        <w:kern w:val="0"/>
        <w:sz w:val="20"/>
        <w:szCs w:val="20"/>
        <w:lang w:val="en-GB"/>
        <w14:ligatures w14:val="none"/>
      </w:rPr>
      <w:t>Publicación:</w:t>
    </w:r>
    <w:r w:rsidRPr="009E434C">
      <w:rPr>
        <w:rFonts w:ascii="Times New Roman" w:eastAsia="Calibri" w:hAnsi="Times New Roman" w:cs="Times New Roman"/>
        <w:kern w:val="0"/>
        <w:sz w:val="20"/>
        <w:szCs w:val="20"/>
        <w:lang w:val="en-GB"/>
        <w14:ligatures w14:val="none"/>
      </w:rPr>
      <w:t xml:space="preserve"> 30/12/2024 </w:t>
    </w:r>
  </w:p>
  <w:p w14:paraId="6641FDC9" w14:textId="77777777" w:rsidR="009E434C" w:rsidRDefault="009E434C">
    <w:pPr>
      <w:pStyle w:val="Piedepgina"/>
      <w:rPr>
        <w:rFonts w:ascii="Times New Roman" w:eastAsia="Calibri" w:hAnsi="Times New Roman" w:cs="Times New Roman"/>
        <w:kern w:val="0"/>
        <w:sz w:val="20"/>
        <w:szCs w:val="20"/>
        <w:lang w:val="en-GB"/>
        <w14:ligatures w14:val="none"/>
      </w:rPr>
    </w:pPr>
  </w:p>
  <w:p w14:paraId="0712F2F9" w14:textId="65718E87" w:rsidR="009E434C" w:rsidRDefault="000E55D8">
    <w:pPr>
      <w:pStyle w:val="Piedepgina"/>
    </w:pPr>
    <w:r>
      <w:rPr>
        <w:rFonts w:ascii="Times New Roman" w:eastAsia="Calibri" w:hAnsi="Times New Roman" w:cs="Times New Roman"/>
        <w:kern w:val="0"/>
        <w:sz w:val="18"/>
        <w:szCs w:val="18"/>
        <w:lang w:val="en-GB"/>
        <w14:ligatures w14:val="none"/>
      </w:rPr>
      <w:t xml:space="preserve">      </w:t>
    </w:r>
    <w:r w:rsidR="009E434C" w:rsidRPr="009E434C">
      <w:rPr>
        <w:rFonts w:ascii="Times New Roman" w:eastAsia="Malgun Gothic" w:hAnsi="Times New Roman" w:cs="Times New Roman"/>
        <w:noProof/>
        <w:kern w:val="0"/>
        <w:sz w:val="20"/>
        <w:szCs w:val="20"/>
        <w:lang w:val="es-ES_tradnl" w:eastAsia="ko-KR"/>
        <w14:ligatures w14:val="none"/>
      </w:rPr>
      <w:drawing>
        <wp:inline distT="0" distB="0" distL="0" distR="0" wp14:anchorId="68B27985" wp14:editId="21ECD549">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009E434C" w:rsidRPr="009E434C">
      <w:rPr>
        <w:rFonts w:ascii="Times New Roman" w:eastAsia="Calibri" w:hAnsi="Times New Roman" w:cs="Times New Roman"/>
        <w:kern w:val="0"/>
        <w:sz w:val="18"/>
        <w:szCs w:val="18"/>
        <w:lang w:val="en-GB"/>
        <w14:ligatures w14:val="none"/>
      </w:rPr>
      <w:t xml:space="preserve"> </w:t>
    </w:r>
    <w:r w:rsidR="009E434C">
      <w:rPr>
        <w:rFonts w:ascii="Times New Roman" w:eastAsia="Calibri" w:hAnsi="Times New Roman" w:cs="Times New Roman"/>
        <w:kern w:val="0"/>
        <w:sz w:val="18"/>
        <w:szCs w:val="18"/>
        <w:lang w:val="en-GB"/>
        <w14:ligatures w14:val="none"/>
      </w:rPr>
      <w:t xml:space="preserve"> </w:t>
    </w:r>
    <w:r w:rsidR="009E434C" w:rsidRPr="009E434C">
      <w:rPr>
        <w:rFonts w:ascii="Times New Roman" w:eastAsia="Calibri" w:hAnsi="Times New Roman" w:cs="Times New Roman"/>
        <w:kern w:val="0"/>
        <w:sz w:val="18"/>
        <w:szCs w:val="18"/>
        <w:lang w:val="en-GB"/>
        <w14:ligatures w14:val="none"/>
      </w:rPr>
      <w:t xml:space="preserve">Este trabajo se publica bajo una licencia de Creative Commons Reconocimiento 4.0 Internacional   </w:t>
    </w:r>
    <w:r w:rsidR="009E434C">
      <w:rPr>
        <w:rFonts w:ascii="Times New Roman" w:eastAsia="Calibri" w:hAnsi="Times New Roman" w:cs="Times New Roman"/>
        <w:kern w:val="0"/>
        <w:sz w:val="18"/>
        <w:szCs w:val="18"/>
        <w:lang w:val="en-GB"/>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A649E" w14:textId="77777777" w:rsidR="007F0569" w:rsidRDefault="007F0569" w:rsidP="002F2337">
      <w:pPr>
        <w:spacing w:after="0" w:line="240" w:lineRule="auto"/>
      </w:pPr>
      <w:r>
        <w:separator/>
      </w:r>
    </w:p>
  </w:footnote>
  <w:footnote w:type="continuationSeparator" w:id="0">
    <w:p w14:paraId="1671C526" w14:textId="77777777" w:rsidR="007F0569" w:rsidRDefault="007F0569" w:rsidP="002F2337">
      <w:pPr>
        <w:spacing w:after="0" w:line="240" w:lineRule="auto"/>
      </w:pPr>
      <w:r>
        <w:continuationSeparator/>
      </w:r>
    </w:p>
  </w:footnote>
  <w:footnote w:id="1">
    <w:p w14:paraId="3D8A8BC8" w14:textId="1BF9A27B" w:rsidR="00196585" w:rsidRPr="009E434C" w:rsidRDefault="00196585" w:rsidP="003F628B">
      <w:pPr>
        <w:pStyle w:val="Textonotapie"/>
        <w:jc w:val="both"/>
        <w:rPr>
          <w:rFonts w:ascii="Times New Roman" w:hAnsi="Times New Roman" w:cs="Times New Roman"/>
        </w:rPr>
      </w:pPr>
      <w:r w:rsidRPr="003F628B">
        <w:rPr>
          <w:rStyle w:val="Refdenotaalpie"/>
          <w:rFonts w:ascii="Times New Roman" w:hAnsi="Times New Roman" w:cs="Times New Roman"/>
        </w:rPr>
        <w:footnoteRef/>
      </w:r>
      <w:r w:rsidR="003F628B" w:rsidRPr="003F628B">
        <w:rPr>
          <w:rFonts w:ascii="Times New Roman" w:hAnsi="Times New Roman" w:cs="Times New Roman"/>
        </w:rPr>
        <w:t xml:space="preserve"> </w:t>
      </w:r>
      <w:r w:rsidR="00F56B30" w:rsidRPr="003F628B">
        <w:rPr>
          <w:rFonts w:ascii="Times New Roman" w:hAnsi="Times New Roman" w:cs="Times New Roman"/>
        </w:rPr>
        <w:t>Licenciada en Turismo, Hotelería y Gastronomía.</w:t>
      </w:r>
      <w:r w:rsidRPr="003F628B">
        <w:rPr>
          <w:rFonts w:ascii="Times New Roman" w:hAnsi="Times New Roman" w:cs="Times New Roman"/>
        </w:rPr>
        <w:t xml:space="preserve"> </w:t>
      </w:r>
      <w:r w:rsidR="00F56B30" w:rsidRPr="009E434C">
        <w:rPr>
          <w:rFonts w:ascii="Times New Roman" w:hAnsi="Times New Roman" w:cs="Times New Roman"/>
        </w:rPr>
        <w:t>Universidad Ricardo Palma (URP)</w:t>
      </w:r>
      <w:r w:rsidR="00185F1A" w:rsidRPr="009E434C">
        <w:rPr>
          <w:rFonts w:ascii="Times New Roman" w:hAnsi="Times New Roman" w:cs="Times New Roman"/>
        </w:rPr>
        <w:t>, Perú</w:t>
      </w:r>
      <w:r w:rsidR="00F56B30" w:rsidRPr="009E434C">
        <w:rPr>
          <w:rFonts w:ascii="Times New Roman" w:hAnsi="Times New Roman" w:cs="Times New Roman"/>
        </w:rPr>
        <w:t>.</w:t>
      </w:r>
      <w:r w:rsidR="003F628B" w:rsidRPr="009E434C">
        <w:rPr>
          <w:rFonts w:ascii="Times New Roman" w:hAnsi="Times New Roman" w:cs="Times New Roman"/>
        </w:rPr>
        <w:t xml:space="preserve"> </w:t>
      </w:r>
      <w:r w:rsidRPr="003F628B">
        <w:rPr>
          <w:rFonts w:ascii="Times New Roman" w:hAnsi="Times New Roman" w:cs="Times New Roman"/>
        </w:rPr>
        <w:t>Magister Scientiae en Ecoturismo</w:t>
      </w:r>
      <w:r w:rsidR="00F56B30" w:rsidRPr="003F628B">
        <w:rPr>
          <w:rFonts w:ascii="Times New Roman" w:hAnsi="Times New Roman" w:cs="Times New Roman"/>
        </w:rPr>
        <w:t xml:space="preserve"> y en Innovación Agraria para el Desarrollo Rural</w:t>
      </w:r>
      <w:r w:rsidR="00185F1A">
        <w:rPr>
          <w:rFonts w:ascii="Times New Roman" w:hAnsi="Times New Roman" w:cs="Times New Roman"/>
        </w:rPr>
        <w:t>.</w:t>
      </w:r>
      <w:r w:rsidRPr="003F628B">
        <w:rPr>
          <w:rFonts w:ascii="Times New Roman" w:hAnsi="Times New Roman" w:cs="Times New Roman"/>
        </w:rPr>
        <w:t xml:space="preserve"> Universidad Nacional Agraria la Molina (UNALM)</w:t>
      </w:r>
      <w:r w:rsidR="00F56B30" w:rsidRPr="003F628B">
        <w:rPr>
          <w:rFonts w:ascii="Times New Roman" w:hAnsi="Times New Roman" w:cs="Times New Roman"/>
        </w:rPr>
        <w:t>.</w:t>
      </w:r>
      <w:r w:rsidR="003F628B" w:rsidRPr="003F628B">
        <w:rPr>
          <w:rFonts w:ascii="Times New Roman" w:hAnsi="Times New Roman" w:cs="Times New Roman"/>
        </w:rPr>
        <w:t xml:space="preserve"> </w:t>
      </w:r>
      <w:r w:rsidRPr="003F628B">
        <w:rPr>
          <w:rFonts w:ascii="Times New Roman" w:hAnsi="Times New Roman" w:cs="Times New Roman"/>
        </w:rPr>
        <w:t>Doctora en Desarrollo y Seguridad Estratégica</w:t>
      </w:r>
      <w:r w:rsidR="00185F1A">
        <w:rPr>
          <w:rFonts w:ascii="Times New Roman" w:hAnsi="Times New Roman" w:cs="Times New Roman"/>
        </w:rPr>
        <w:t>.</w:t>
      </w:r>
      <w:r w:rsidRPr="003F628B">
        <w:rPr>
          <w:rFonts w:ascii="Times New Roman" w:hAnsi="Times New Roman" w:cs="Times New Roman"/>
        </w:rPr>
        <w:t xml:space="preserve"> Centro de Altos Estudios Nacionales (CAEN)</w:t>
      </w:r>
      <w:r w:rsidR="00F56B30" w:rsidRPr="003F628B">
        <w:rPr>
          <w:rFonts w:ascii="Times New Roman" w:hAnsi="Times New Roman" w:cs="Times New Roman"/>
        </w:rPr>
        <w:t>.</w:t>
      </w:r>
      <w:r w:rsidR="003F628B" w:rsidRPr="003F628B">
        <w:rPr>
          <w:rFonts w:ascii="Times New Roman" w:hAnsi="Times New Roman" w:cs="Times New Roman"/>
        </w:rPr>
        <w:t xml:space="preserve"> </w:t>
      </w:r>
      <w:r w:rsidR="003F628B" w:rsidRPr="00185F1A">
        <w:rPr>
          <w:rFonts w:ascii="Times New Roman" w:hAnsi="Times New Roman" w:cs="Times New Roman"/>
        </w:rPr>
        <w:t xml:space="preserve">Email: </w:t>
      </w:r>
      <w:hyperlink r:id="rId1" w:history="1">
        <w:r w:rsidR="003F628B" w:rsidRPr="00185F1A">
          <w:rPr>
            <w:rStyle w:val="Hipervnculo"/>
            <w:rFonts w:ascii="Times New Roman" w:hAnsi="Times New Roman" w:cs="Times New Roman"/>
          </w:rPr>
          <w:t>cecilia.frech@gmail.com</w:t>
        </w:r>
      </w:hyperlink>
      <w:r w:rsidR="003F628B" w:rsidRPr="00185F1A">
        <w:rPr>
          <w:rFonts w:ascii="Times New Roman" w:hAnsi="Times New Roman" w:cs="Times New Roman"/>
        </w:rPr>
        <w:t xml:space="preserve">  Id. </w:t>
      </w:r>
      <w:r w:rsidR="003F628B" w:rsidRPr="009E434C">
        <w:rPr>
          <w:rFonts w:ascii="Times New Roman" w:hAnsi="Times New Roman" w:cs="Times New Roman"/>
        </w:rPr>
        <w:t>Orcid: https://orcid.org/0000-0002-1472-9631</w:t>
      </w:r>
    </w:p>
    <w:p w14:paraId="08C9F20F" w14:textId="77777777" w:rsidR="007604C6" w:rsidRPr="009E434C" w:rsidRDefault="007604C6" w:rsidP="003F628B">
      <w:pPr>
        <w:pStyle w:val="Textonotapie"/>
        <w:jc w:val="both"/>
        <w:rPr>
          <w:rFonts w:ascii="Times New Roman" w:hAnsi="Times New Roman" w:cs="Times New Roman"/>
        </w:rPr>
      </w:pPr>
    </w:p>
  </w:footnote>
  <w:footnote w:id="2">
    <w:p w14:paraId="3884F0E8" w14:textId="4A84C409" w:rsidR="006F311B" w:rsidRPr="00DD13E9" w:rsidRDefault="006F311B" w:rsidP="00DD13E9">
      <w:pPr>
        <w:pStyle w:val="Textonotapie"/>
        <w:jc w:val="both"/>
        <w:rPr>
          <w:rFonts w:ascii="Times New Roman" w:hAnsi="Times New Roman" w:cs="Times New Roman"/>
        </w:rPr>
      </w:pPr>
      <w:r>
        <w:rPr>
          <w:rStyle w:val="Refdenotaalpie"/>
        </w:rPr>
        <w:footnoteRef/>
      </w:r>
      <w:r>
        <w:t xml:space="preserve"> </w:t>
      </w:r>
      <w:r w:rsidRPr="00DD13E9">
        <w:rPr>
          <w:rFonts w:ascii="Times New Roman" w:hAnsi="Times New Roman" w:cs="Times New Roman"/>
        </w:rPr>
        <w:t>Afectación del Turismo en el Perú por las protestas sociales del 2022.</w:t>
      </w:r>
    </w:p>
  </w:footnote>
  <w:footnote w:id="3">
    <w:p w14:paraId="2E360E91" w14:textId="086BF594" w:rsidR="002F2337" w:rsidRPr="00DD13E9" w:rsidRDefault="002F2337" w:rsidP="00DD13E9">
      <w:pPr>
        <w:pStyle w:val="Textonotapie"/>
        <w:jc w:val="both"/>
        <w:rPr>
          <w:rFonts w:ascii="Times New Roman" w:hAnsi="Times New Roman" w:cs="Times New Roman"/>
        </w:rPr>
      </w:pPr>
      <w:r w:rsidRPr="00DD13E9">
        <w:rPr>
          <w:rStyle w:val="Refdenotaalpie"/>
          <w:rFonts w:ascii="Times New Roman" w:hAnsi="Times New Roman" w:cs="Times New Roman"/>
        </w:rPr>
        <w:footnoteRef/>
      </w:r>
      <w:r w:rsidR="00DD13E9">
        <w:rPr>
          <w:rFonts w:ascii="Times New Roman" w:hAnsi="Times New Roman" w:cs="Times New Roman"/>
        </w:rPr>
        <w:t xml:space="preserve"> </w:t>
      </w:r>
      <w:r w:rsidRPr="00DD13E9">
        <w:rPr>
          <w:rFonts w:ascii="Times New Roman" w:hAnsi="Times New Roman" w:cs="Times New Roman"/>
        </w:rPr>
        <w:t xml:space="preserve">MIDIS: Ministerio de Desarrollo e Inclusión Social </w:t>
      </w:r>
      <w:r w:rsidR="00016D2D" w:rsidRPr="00DD13E9">
        <w:rPr>
          <w:rFonts w:ascii="Times New Roman" w:hAnsi="Times New Roman" w:cs="Times New Roman"/>
        </w:rPr>
        <w:t>– Perú y WPS: Programa Mundial de Alimentos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9DA4" w14:textId="61A651EE" w:rsidR="009E434C" w:rsidRPr="009E434C" w:rsidRDefault="009E434C" w:rsidP="009E434C">
    <w:pPr>
      <w:pStyle w:val="Encabezado"/>
      <w:tabs>
        <w:tab w:val="clear" w:pos="8504"/>
      </w:tabs>
      <w:rPr>
        <w:rFonts w:ascii="Calibri" w:eastAsia="Calibri" w:hAnsi="Calibri" w:cs="Times New Roman"/>
        <w:kern w:val="0"/>
        <w14:ligatures w14:val="none"/>
      </w:rPr>
    </w:pPr>
    <w:r w:rsidRPr="009E434C">
      <w:rPr>
        <w:rFonts w:ascii="Times New Roman" w:eastAsia="Calibri" w:hAnsi="Times New Roman" w:cs="Times New Roman"/>
        <w:b/>
        <w:i/>
        <w:iCs/>
        <w:color w:val="C0504D"/>
        <w:kern w:val="0"/>
        <w:sz w:val="20"/>
        <w:szCs w:val="20"/>
        <w14:ligatures w14:val="none"/>
      </w:rPr>
      <w:t xml:space="preserve">Seguridad multidimensional y competitividad turística Perú (…)    </w:t>
    </w:r>
    <w:r>
      <w:rPr>
        <w:rFonts w:ascii="Times New Roman" w:eastAsia="Calibri" w:hAnsi="Times New Roman" w:cs="Times New Roman"/>
        <w:b/>
        <w:i/>
        <w:iCs/>
        <w:color w:val="C0504D"/>
        <w:kern w:val="0"/>
        <w:sz w:val="20"/>
        <w:szCs w:val="20"/>
        <w14:ligatures w14:val="none"/>
      </w:rPr>
      <w:t xml:space="preserve"> </w:t>
    </w:r>
    <w:r w:rsidRPr="009E434C">
      <w:rPr>
        <w:rFonts w:ascii="Times New Roman" w:eastAsia="Calibri" w:hAnsi="Times New Roman" w:cs="Times New Roman"/>
        <w:b/>
        <w:i/>
        <w:iCs/>
        <w:color w:val="C0504D"/>
        <w:kern w:val="0"/>
        <w:sz w:val="20"/>
        <w:szCs w:val="20"/>
        <w14:ligatures w14:val="none"/>
      </w:rPr>
      <w:t xml:space="preserve">                           </w:t>
    </w:r>
    <w:r>
      <w:rPr>
        <w:rFonts w:ascii="Times New Roman" w:eastAsia="Calibri" w:hAnsi="Times New Roman" w:cs="Times New Roman"/>
        <w:b/>
        <w:i/>
        <w:iCs/>
        <w:color w:val="C0504D"/>
        <w:kern w:val="0"/>
        <w:sz w:val="20"/>
        <w:szCs w:val="20"/>
        <w14:ligatures w14:val="none"/>
      </w:rPr>
      <w:t xml:space="preserve">          </w:t>
    </w:r>
    <w:r w:rsidRPr="009E434C">
      <w:rPr>
        <w:rFonts w:ascii="Times New Roman" w:eastAsia="Calibri" w:hAnsi="Times New Roman" w:cs="Times New Roman"/>
        <w:b/>
        <w:i/>
        <w:iCs/>
        <w:color w:val="C0504D"/>
        <w:kern w:val="0"/>
        <w:sz w:val="20"/>
        <w:szCs w:val="20"/>
        <w14:ligatures w14:val="none"/>
      </w:rPr>
      <w:t xml:space="preserve"> </w:t>
    </w:r>
    <w:r w:rsidRPr="009E434C">
      <w:rPr>
        <w:rFonts w:ascii="Times New Roman" w:eastAsia="Calibri" w:hAnsi="Times New Roman" w:cs="Times New Roman"/>
        <w:b/>
        <w:color w:val="C0504D"/>
        <w:kern w:val="0"/>
        <w:sz w:val="20"/>
        <w:szCs w:val="20"/>
        <w14:ligatures w14:val="none"/>
      </w:rPr>
      <w:t>Frech,</w:t>
    </w:r>
    <w:r>
      <w:rPr>
        <w:rFonts w:ascii="Times New Roman" w:eastAsia="Calibri" w:hAnsi="Times New Roman" w:cs="Times New Roman"/>
        <w:b/>
        <w:color w:val="C0504D"/>
        <w:kern w:val="0"/>
        <w:sz w:val="20"/>
        <w:szCs w:val="20"/>
        <w14:ligatures w14:val="none"/>
      </w:rPr>
      <w:t xml:space="preserve"> H.C.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D0F0" w14:textId="62926493" w:rsidR="009E434C" w:rsidRPr="009E434C" w:rsidRDefault="009E434C" w:rsidP="009E434C">
    <w:pPr>
      <w:widowControl w:val="0"/>
      <w:tabs>
        <w:tab w:val="center" w:pos="4252"/>
        <w:tab w:val="right" w:pos="8504"/>
        <w:tab w:val="right" w:pos="9070"/>
      </w:tabs>
      <w:autoSpaceDE w:val="0"/>
      <w:autoSpaceDN w:val="0"/>
      <w:spacing w:after="0" w:line="240" w:lineRule="auto"/>
      <w:ind w:left="-567" w:right="-284" w:firstLine="567"/>
      <w:jc w:val="center"/>
      <w:rPr>
        <w:rFonts w:ascii="Times New Roman" w:eastAsia="Calibri" w:hAnsi="Times New Roman" w:cs="Times New Roman"/>
        <w:kern w:val="0"/>
        <w:sz w:val="20"/>
        <w:szCs w:val="20"/>
        <w:lang w:val="en-GB"/>
        <w14:ligatures w14:val="none"/>
      </w:rPr>
    </w:pPr>
    <w:bookmarkStart w:id="3" w:name="_Hlk182078885"/>
    <w:bookmarkStart w:id="4" w:name="_Hlk182078886"/>
    <w:bookmarkStart w:id="5" w:name="_Hlk182078887"/>
    <w:bookmarkStart w:id="6" w:name="_Hlk182078888"/>
    <w:bookmarkStart w:id="7" w:name="_Hlk182079559"/>
    <w:bookmarkStart w:id="8" w:name="_Hlk182079560"/>
    <w:bookmarkStart w:id="9" w:name="_Hlk182079561"/>
    <w:bookmarkStart w:id="10" w:name="_Hlk182079562"/>
    <w:r w:rsidRPr="009E434C">
      <w:rPr>
        <w:rFonts w:ascii="Times New Roman" w:eastAsia="Calibri" w:hAnsi="Times New Roman" w:cs="Times New Roman"/>
        <w:kern w:val="0"/>
        <w:sz w:val="20"/>
        <w:szCs w:val="20"/>
        <w:lang w:val="en-GB"/>
        <w14:ligatures w14:val="none"/>
      </w:rPr>
      <w:t>REVISTA INTERNACIONAL DE TURISMO, EMPRESA Y TERRITORIO</w:t>
    </w:r>
  </w:p>
  <w:p w14:paraId="10906261" w14:textId="1899F135" w:rsidR="009E434C" w:rsidRPr="009E434C" w:rsidRDefault="009E434C" w:rsidP="009E434C">
    <w:pPr>
      <w:tabs>
        <w:tab w:val="center" w:pos="4252"/>
        <w:tab w:val="right" w:pos="8504"/>
        <w:tab w:val="right" w:pos="9070"/>
      </w:tabs>
      <w:autoSpaceDN w:val="0"/>
      <w:spacing w:after="0" w:line="240" w:lineRule="auto"/>
      <w:ind w:left="-567" w:right="-284" w:firstLine="567"/>
      <w:jc w:val="center"/>
      <w:rPr>
        <w:rFonts w:ascii="Times New Roman" w:eastAsia="Calibri" w:hAnsi="Times New Roman" w:cs="Times New Roman"/>
        <w:kern w:val="0"/>
        <w:sz w:val="20"/>
        <w:szCs w:val="20"/>
        <w:lang w:val="en-GB"/>
        <w14:ligatures w14:val="none"/>
      </w:rPr>
    </w:pPr>
    <w:r w:rsidRPr="009E434C">
      <w:rPr>
        <w:rFonts w:ascii="Times New Roman" w:eastAsia="Calibri" w:hAnsi="Times New Roman" w:cs="Times New Roman"/>
        <w:kern w:val="0"/>
        <w:sz w:val="20"/>
        <w:szCs w:val="20"/>
        <w:lang w:val="en-GB"/>
        <w14:ligatures w14:val="none"/>
      </w:rPr>
      <w:t>Nº 17, julio-diciembre de 2024, pp. 181-</w:t>
    </w:r>
    <w:r>
      <w:rPr>
        <w:rFonts w:ascii="Times New Roman" w:eastAsia="Calibri" w:hAnsi="Times New Roman" w:cs="Times New Roman"/>
        <w:kern w:val="0"/>
        <w:sz w:val="20"/>
        <w:szCs w:val="20"/>
        <w:lang w:val="en-GB"/>
        <w14:ligatures w14:val="none"/>
      </w:rPr>
      <w:t>199</w:t>
    </w:r>
  </w:p>
  <w:p w14:paraId="0E1AD8E4" w14:textId="77777777" w:rsidR="009E434C" w:rsidRPr="009E434C" w:rsidRDefault="009E434C" w:rsidP="009E434C">
    <w:pPr>
      <w:tabs>
        <w:tab w:val="center" w:pos="4252"/>
        <w:tab w:val="right" w:pos="8504"/>
      </w:tabs>
      <w:autoSpaceDN w:val="0"/>
      <w:spacing w:after="0" w:line="240" w:lineRule="auto"/>
      <w:ind w:left="-567" w:right="-284" w:firstLine="567"/>
      <w:jc w:val="center"/>
      <w:rPr>
        <w:rFonts w:ascii="Liberation Serif" w:eastAsia="NSimSun" w:hAnsi="Liberation Serif" w:cs="Lucida Sans" w:hint="eastAsia"/>
        <w:kern w:val="3"/>
        <w:sz w:val="24"/>
        <w:szCs w:val="24"/>
        <w:lang w:eastAsia="zh-CN" w:bidi="hi-IN"/>
        <w14:ligatures w14:val="none"/>
      </w:rPr>
    </w:pPr>
    <w:r w:rsidRPr="009E434C">
      <w:rPr>
        <w:rFonts w:ascii="Times New Roman" w:eastAsia="Calibri" w:hAnsi="Times New Roman" w:cs="Times New Roman"/>
        <w:kern w:val="0"/>
        <w:sz w:val="20"/>
        <w:szCs w:val="20"/>
        <w:lang w:val="en-GB"/>
        <w14:ligatures w14:val="none"/>
      </w:rPr>
      <w:t>ISSN:</w:t>
    </w:r>
    <w:r w:rsidRPr="009E434C">
      <w:rPr>
        <w:rFonts w:ascii="Calibri" w:eastAsia="Malgun Gothic" w:hAnsi="Calibri" w:cs="Arial"/>
        <w:kern w:val="0"/>
        <w:lang w:eastAsia="ko-KR"/>
        <w14:ligatures w14:val="none"/>
      </w:rPr>
      <w:t xml:space="preserve"> </w:t>
    </w:r>
    <w:r w:rsidRPr="009E434C">
      <w:rPr>
        <w:rFonts w:ascii="Times New Roman" w:eastAsia="Calibri" w:hAnsi="Times New Roman" w:cs="Times New Roman"/>
        <w:kern w:val="0"/>
        <w:sz w:val="20"/>
        <w:szCs w:val="20"/>
        <w:lang w:val="en-GB"/>
        <w14:ligatures w14:val="none"/>
      </w:rPr>
      <w:t>2660-9320</w:t>
    </w:r>
  </w:p>
  <w:p w14:paraId="36FF5867" w14:textId="5761C549" w:rsidR="009E434C" w:rsidRPr="009E434C" w:rsidRDefault="009E434C" w:rsidP="009E434C">
    <w:pPr>
      <w:tabs>
        <w:tab w:val="center" w:pos="4252"/>
        <w:tab w:val="right" w:pos="8504"/>
      </w:tabs>
      <w:autoSpaceDN w:val="0"/>
      <w:spacing w:after="0" w:line="240" w:lineRule="auto"/>
      <w:ind w:left="-567" w:right="-284" w:firstLine="567"/>
      <w:jc w:val="center"/>
      <w:rPr>
        <w:rFonts w:ascii="Liberation Serif" w:eastAsia="NSimSun" w:hAnsi="Liberation Serif" w:cs="Lucida Sans" w:hint="eastAsia"/>
        <w:kern w:val="3"/>
        <w:sz w:val="24"/>
        <w:szCs w:val="24"/>
        <w:lang w:eastAsia="zh-CN" w:bidi="hi-IN"/>
        <w14:ligatures w14:val="none"/>
      </w:rPr>
    </w:pPr>
    <w:r w:rsidRPr="009E434C">
      <w:rPr>
        <w:rFonts w:ascii="Times New Roman" w:eastAsia="Calibri" w:hAnsi="Times New Roman" w:cs="Times New Roman"/>
        <w:kern w:val="0"/>
        <w:sz w:val="20"/>
        <w:szCs w:val="20"/>
        <w:lang w:val="en-GB"/>
        <w14:ligatures w14:val="none"/>
      </w:rPr>
      <w:t>DOI:10.21071/</w:t>
    </w:r>
    <w:proofErr w:type="gramStart"/>
    <w:r w:rsidRPr="009E434C">
      <w:rPr>
        <w:rFonts w:ascii="Times New Roman" w:eastAsia="Calibri" w:hAnsi="Times New Roman" w:cs="Times New Roman"/>
        <w:kern w:val="0"/>
        <w:sz w:val="20"/>
        <w:szCs w:val="20"/>
        <w:lang w:val="en-GB"/>
        <w14:ligatures w14:val="none"/>
      </w:rPr>
      <w:t>riturem.v</w:t>
    </w:r>
    <w:proofErr w:type="gramEnd"/>
    <w:r w:rsidRPr="009E434C">
      <w:rPr>
        <w:rFonts w:ascii="Times New Roman" w:eastAsia="Calibri" w:hAnsi="Times New Roman" w:cs="Times New Roman"/>
        <w:kern w:val="0"/>
        <w:sz w:val="20"/>
        <w:szCs w:val="20"/>
        <w:lang w:val="en-GB"/>
        <w14:ligatures w14:val="none"/>
      </w:rPr>
      <w:t>8i2.17</w:t>
    </w:r>
    <w:r w:rsidR="005D5792">
      <w:rPr>
        <w:rFonts w:ascii="Times New Roman" w:eastAsia="Calibri" w:hAnsi="Times New Roman" w:cs="Times New Roman"/>
        <w:kern w:val="0"/>
        <w:sz w:val="20"/>
        <w:szCs w:val="20"/>
        <w:lang w:val="en-GB"/>
        <w14:ligatures w14:val="none"/>
      </w:rPr>
      <w:t>173</w:t>
    </w:r>
    <w:r w:rsidRPr="009E434C">
      <w:rPr>
        <w:rFonts w:ascii="Times New Roman" w:eastAsia="Calibri" w:hAnsi="Times New Roman" w:cs="Times New Roman"/>
        <w:kern w:val="0"/>
        <w:sz w:val="20"/>
        <w:szCs w:val="20"/>
        <w:lang w:val="en-GB"/>
        <w14:ligatures w14:val="none"/>
      </w:rPr>
      <w:t xml:space="preserve"> </w:t>
    </w:r>
    <w:r w:rsidRPr="009E434C">
      <w:rPr>
        <w:rFonts w:ascii="Segoe UI" w:eastAsia="Malgun Gothic" w:hAnsi="Segoe UI" w:cs="Segoe UI"/>
        <w:kern w:val="0"/>
        <w:sz w:val="21"/>
        <w:szCs w:val="21"/>
        <w:shd w:val="clear" w:color="auto" w:fill="FFFFFF"/>
        <w:lang w:eastAsia="ko-KR"/>
        <w14:ligatures w14:val="none"/>
      </w:rPr>
      <w:t xml:space="preserve"> </w:t>
    </w:r>
  </w:p>
  <w:p w14:paraId="7CEF3C62" w14:textId="77777777" w:rsidR="009E434C" w:rsidRPr="009E434C" w:rsidRDefault="009E434C" w:rsidP="009E434C">
    <w:pPr>
      <w:tabs>
        <w:tab w:val="center" w:pos="4252"/>
        <w:tab w:val="right" w:pos="8504"/>
      </w:tabs>
      <w:spacing w:after="0" w:line="240" w:lineRule="auto"/>
      <w:ind w:left="-567" w:right="-284" w:firstLine="567"/>
      <w:jc w:val="center"/>
      <w:rPr>
        <w:rFonts w:ascii="Calibri" w:eastAsia="Calibri" w:hAnsi="Calibri" w:cs="Times New Roman"/>
        <w:kern w:val="0"/>
        <w14:ligatures w14:val="none"/>
      </w:rPr>
    </w:pPr>
    <w:r w:rsidRPr="009E434C">
      <w:rPr>
        <w:rFonts w:ascii="Calibri" w:eastAsia="Calibri" w:hAnsi="Calibri" w:cs="Times New Roman"/>
        <w:noProof/>
        <w:kern w:val="0"/>
        <w:lang w:eastAsia="es-ES"/>
        <w14:ligatures w14:val="none"/>
      </w:rPr>
      <w:drawing>
        <wp:inline distT="0" distB="0" distL="0" distR="0" wp14:anchorId="1B99E9FE" wp14:editId="7AB26693">
          <wp:extent cx="1615440" cy="499745"/>
          <wp:effectExtent l="0" t="0" r="3810" b="0"/>
          <wp:docPr id="2029098034" name="Imagen 202909803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00EC7B0F" w14:textId="77777777" w:rsidR="009E434C" w:rsidRPr="009E434C" w:rsidRDefault="009E434C" w:rsidP="009E434C">
    <w:pPr>
      <w:tabs>
        <w:tab w:val="center" w:pos="4252"/>
        <w:tab w:val="right" w:pos="8504"/>
      </w:tabs>
      <w:autoSpaceDN w:val="0"/>
      <w:spacing w:after="0" w:line="240" w:lineRule="auto"/>
      <w:ind w:left="-567" w:right="-284" w:firstLine="567"/>
      <w:jc w:val="center"/>
      <w:rPr>
        <w:rFonts w:ascii="Calibri" w:eastAsia="Calibri" w:hAnsi="Calibri" w:cs="Times New Roman"/>
        <w:kern w:val="0"/>
        <w14:ligatures w14:val="none"/>
      </w:rPr>
    </w:pPr>
  </w:p>
  <w:p w14:paraId="0B39A0E1" w14:textId="7EDFEE1C" w:rsidR="009E434C" w:rsidRPr="009E434C" w:rsidRDefault="009E434C" w:rsidP="009E434C">
    <w:pPr>
      <w:pBdr>
        <w:top w:val="single" w:sz="12" w:space="0" w:color="000000"/>
        <w:bottom w:val="single" w:sz="12" w:space="1" w:color="000000"/>
      </w:pBdr>
      <w:tabs>
        <w:tab w:val="center" w:pos="4252"/>
        <w:tab w:val="right" w:pos="8504"/>
      </w:tabs>
      <w:autoSpaceDN w:val="0"/>
      <w:spacing w:after="200" w:line="276" w:lineRule="auto"/>
      <w:ind w:left="-567" w:right="-284"/>
      <w:jc w:val="both"/>
      <w:rPr>
        <w:rFonts w:ascii="Liberation Serif" w:eastAsia="NSimSun" w:hAnsi="Liberation Serif" w:cs="Lucida Sans" w:hint="eastAsia"/>
        <w:kern w:val="3"/>
        <w:sz w:val="24"/>
        <w:szCs w:val="24"/>
        <w:lang w:eastAsia="zh-CN" w:bidi="hi-IN"/>
        <w14:ligatures w14:val="none"/>
      </w:rPr>
    </w:pPr>
    <w:r w:rsidRPr="009E434C">
      <w:rPr>
        <w:rFonts w:ascii="Times New Roman" w:eastAsia="Calibri" w:hAnsi="Times New Roman" w:cs="Times New Roman"/>
        <w:b/>
        <w:bCs/>
        <w:kern w:val="0"/>
        <w:sz w:val="18"/>
        <w:szCs w:val="18"/>
        <w:lang w:val="en-GB"/>
        <w14:ligatures w14:val="none"/>
      </w:rPr>
      <w:t>Cita bibliográfica:</w:t>
    </w:r>
    <w:r w:rsidRPr="009E434C">
      <w:rPr>
        <w:rFonts w:ascii="Times New Roman" w:eastAsia="Calibri" w:hAnsi="Times New Roman" w:cs="Times New Roman"/>
        <w:kern w:val="0"/>
        <w:sz w:val="18"/>
        <w:szCs w:val="18"/>
        <w:lang w:val="en-GB"/>
        <w14:ligatures w14:val="none"/>
      </w:rPr>
      <w:t xml:space="preserve"> Rivera Capón, P. (2024)</w:t>
    </w:r>
    <w:r w:rsidRPr="009E434C">
      <w:rPr>
        <w:rFonts w:ascii="Times New Roman" w:eastAsia="NSimSun" w:hAnsi="Times New Roman" w:cs="Times New Roman"/>
        <w:kern w:val="3"/>
        <w:sz w:val="18"/>
        <w:szCs w:val="18"/>
        <w:lang w:eastAsia="zh-CN" w:bidi="hi-IN"/>
        <w14:ligatures w14:val="none"/>
      </w:rPr>
      <w:t>. Seguridad multidimensional y competitividad turística en Perú: Perú: una relación necesaria</w:t>
    </w:r>
    <w:r w:rsidRPr="009E434C">
      <w:rPr>
        <w:rFonts w:ascii="Times New Roman" w:eastAsia="NSimSun" w:hAnsi="Times New Roman" w:cs="Times New Roman"/>
        <w:kern w:val="3"/>
        <w:sz w:val="18"/>
        <w:szCs w:val="18"/>
        <w:lang w:val="en-US" w:eastAsia="zh-CN" w:bidi="hi-IN"/>
        <w14:ligatures w14:val="none"/>
      </w:rPr>
      <w:t>.</w:t>
    </w:r>
    <w:r w:rsidRPr="009E434C">
      <w:rPr>
        <w:rFonts w:ascii="Times New Roman" w:eastAsia="NSimSun" w:hAnsi="Times New Roman" w:cs="Lucida Sans"/>
        <w:bCs/>
        <w:kern w:val="3"/>
        <w:sz w:val="18"/>
        <w:szCs w:val="18"/>
        <w:lang w:val="en-US" w:eastAsia="zh-CN" w:bidi="hi-IN"/>
        <w14:ligatures w14:val="none"/>
      </w:rPr>
      <w:t xml:space="preserve"> </w:t>
    </w:r>
    <w:r w:rsidRPr="009E434C">
      <w:rPr>
        <w:rFonts w:ascii="Times New Roman" w:eastAsia="NSimSun" w:hAnsi="Times New Roman" w:cs="Lucida Sans"/>
        <w:bCs/>
        <w:i/>
        <w:iCs/>
        <w:kern w:val="3"/>
        <w:sz w:val="18"/>
        <w:szCs w:val="18"/>
        <w:lang w:val="en-US" w:eastAsia="zh-CN" w:bidi="hi-IN"/>
        <w14:ligatures w14:val="none"/>
      </w:rPr>
      <w:t>Re</w:t>
    </w:r>
    <w:r w:rsidRPr="009E434C">
      <w:rPr>
        <w:rFonts w:ascii="Times New Roman" w:eastAsia="Calibri" w:hAnsi="Times New Roman" w:cs="Times New Roman"/>
        <w:i/>
        <w:iCs/>
        <w:kern w:val="0"/>
        <w:sz w:val="18"/>
        <w:szCs w:val="18"/>
        <w:lang w:val="en-GB"/>
        <w14:ligatures w14:val="none"/>
      </w:rPr>
      <w:t>vista Internacional de Turismo, Empresa y Territorio,</w:t>
    </w:r>
    <w:r w:rsidRPr="009E434C">
      <w:rPr>
        <w:rFonts w:ascii="Times New Roman" w:eastAsia="Calibri" w:hAnsi="Times New Roman" w:cs="Times New Roman"/>
        <w:kern w:val="0"/>
        <w:sz w:val="18"/>
        <w:szCs w:val="18"/>
        <w:lang w:val="en-GB"/>
        <w14:ligatures w14:val="none"/>
      </w:rPr>
      <w:t xml:space="preserve"> 8 (2), 181-</w:t>
    </w:r>
    <w:r>
      <w:rPr>
        <w:rFonts w:ascii="Times New Roman" w:eastAsia="Calibri" w:hAnsi="Times New Roman" w:cs="Times New Roman"/>
        <w:kern w:val="0"/>
        <w:sz w:val="18"/>
        <w:szCs w:val="18"/>
        <w:lang w:val="en-GB"/>
        <w14:ligatures w14:val="none"/>
      </w:rPr>
      <w:t>199</w:t>
    </w:r>
    <w:r w:rsidRPr="009E434C">
      <w:rPr>
        <w:rFonts w:ascii="Times New Roman" w:eastAsia="Calibri" w:hAnsi="Times New Roman" w:cs="Times New Roman"/>
        <w:kern w:val="0"/>
        <w:sz w:val="18"/>
        <w:szCs w:val="18"/>
        <w:lang w:val="en-GB"/>
        <w14:ligatures w14:val="none"/>
      </w:rPr>
      <w:t xml:space="preserve">. </w:t>
    </w:r>
    <w:hyperlink r:id="rId2" w:history="1">
      <w:r w:rsidRPr="009E434C">
        <w:rPr>
          <w:rFonts w:ascii="Times New Roman" w:eastAsia="Calibri" w:hAnsi="Times New Roman" w:cs="Times New Roman"/>
          <w:color w:val="0000FF"/>
          <w:kern w:val="0"/>
          <w:sz w:val="18"/>
          <w:szCs w:val="18"/>
          <w:u w:val="single"/>
          <w:lang w:val="en-GB"/>
          <w14:ligatures w14:val="none"/>
        </w:rPr>
        <w:t>https://doi.org/10.21071/riturem.v8i2.1</w:t>
      </w:r>
    </w:hyperlink>
    <w:r w:rsidRPr="009E434C">
      <w:rPr>
        <w:rFonts w:ascii="Times New Roman" w:eastAsia="Calibri" w:hAnsi="Times New Roman" w:cs="Times New Roman"/>
        <w:color w:val="0000FF"/>
        <w:kern w:val="0"/>
        <w:sz w:val="18"/>
        <w:szCs w:val="18"/>
        <w:u w:val="single"/>
        <w:lang w:val="en-GB"/>
        <w14:ligatures w14:val="none"/>
      </w:rPr>
      <w:t>7</w:t>
    </w:r>
    <w:r w:rsidR="005D5792">
      <w:rPr>
        <w:rFonts w:ascii="Times New Roman" w:eastAsia="Calibri" w:hAnsi="Times New Roman" w:cs="Times New Roman"/>
        <w:color w:val="0000FF"/>
        <w:kern w:val="0"/>
        <w:sz w:val="18"/>
        <w:szCs w:val="18"/>
        <w:u w:val="single"/>
        <w:lang w:val="en-GB"/>
        <w14:ligatures w14:val="none"/>
      </w:rPr>
      <w:t>173</w:t>
    </w:r>
    <w:r w:rsidRPr="009E434C">
      <w:rPr>
        <w:rFonts w:ascii="Times New Roman" w:eastAsia="Calibri" w:hAnsi="Times New Roman" w:cs="Times New Roman"/>
        <w:kern w:val="0"/>
        <w:sz w:val="18"/>
        <w:szCs w:val="18"/>
        <w:lang w:val="en-GB"/>
        <w14:ligatures w14:val="none"/>
      </w:rPr>
      <w:t xml:space="preserve"> </w:t>
    </w:r>
    <w:bookmarkEnd w:id="3"/>
    <w:bookmarkEnd w:id="4"/>
    <w:bookmarkEnd w:id="5"/>
    <w:bookmarkEnd w:id="6"/>
    <w:bookmarkEnd w:id="7"/>
    <w:bookmarkEnd w:id="8"/>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7F6"/>
    <w:multiLevelType w:val="hybridMultilevel"/>
    <w:tmpl w:val="F3F45EAE"/>
    <w:lvl w:ilvl="0" w:tplc="F844D4D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6D22F4"/>
    <w:multiLevelType w:val="hybridMultilevel"/>
    <w:tmpl w:val="4C7EEEDA"/>
    <w:lvl w:ilvl="0" w:tplc="2FC6319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D0662D0"/>
    <w:multiLevelType w:val="multilevel"/>
    <w:tmpl w:val="82DE1E86"/>
    <w:lvl w:ilvl="0">
      <w:start w:val="1"/>
      <w:numFmt w:val="decimal"/>
      <w:lvlText w:val="%1."/>
      <w:lvlJc w:val="left"/>
      <w:pPr>
        <w:ind w:left="720" w:hanging="360"/>
      </w:pPr>
      <w:rPr>
        <w:rFonts w:ascii="Calibri" w:hAnsi="Calibri" w:cs="Calibri" w:hint="default"/>
        <w:sz w:val="24"/>
        <w:szCs w:val="24"/>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num w:numId="1" w16cid:durableId="120350009">
    <w:abstractNumId w:val="0"/>
  </w:num>
  <w:num w:numId="2" w16cid:durableId="1219318025">
    <w:abstractNumId w:val="1"/>
  </w:num>
  <w:num w:numId="3" w16cid:durableId="1748646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EDF"/>
    <w:rsid w:val="00016D2D"/>
    <w:rsid w:val="00020666"/>
    <w:rsid w:val="000241E0"/>
    <w:rsid w:val="00046E75"/>
    <w:rsid w:val="000736E8"/>
    <w:rsid w:val="000743EC"/>
    <w:rsid w:val="00084F09"/>
    <w:rsid w:val="0009542F"/>
    <w:rsid w:val="000A789C"/>
    <w:rsid w:val="000B22D4"/>
    <w:rsid w:val="000E326C"/>
    <w:rsid w:val="000E55D8"/>
    <w:rsid w:val="000F42E4"/>
    <w:rsid w:val="000F5EDF"/>
    <w:rsid w:val="00111398"/>
    <w:rsid w:val="00155AD9"/>
    <w:rsid w:val="00157C19"/>
    <w:rsid w:val="001600E2"/>
    <w:rsid w:val="00173362"/>
    <w:rsid w:val="00173665"/>
    <w:rsid w:val="00181558"/>
    <w:rsid w:val="00181AE8"/>
    <w:rsid w:val="00185F1A"/>
    <w:rsid w:val="00196585"/>
    <w:rsid w:val="00197874"/>
    <w:rsid w:val="001A4DB9"/>
    <w:rsid w:val="001B6F57"/>
    <w:rsid w:val="001C5C17"/>
    <w:rsid w:val="001C5D4B"/>
    <w:rsid w:val="001C6562"/>
    <w:rsid w:val="001D1B5B"/>
    <w:rsid w:val="001D3A95"/>
    <w:rsid w:val="001D51C5"/>
    <w:rsid w:val="001D58A2"/>
    <w:rsid w:val="001E3ABD"/>
    <w:rsid w:val="001F1DEE"/>
    <w:rsid w:val="001F6BDE"/>
    <w:rsid w:val="00207181"/>
    <w:rsid w:val="0020795F"/>
    <w:rsid w:val="00225375"/>
    <w:rsid w:val="002303D4"/>
    <w:rsid w:val="00232013"/>
    <w:rsid w:val="00235F30"/>
    <w:rsid w:val="00237797"/>
    <w:rsid w:val="00241435"/>
    <w:rsid w:val="00243B8F"/>
    <w:rsid w:val="00254303"/>
    <w:rsid w:val="00254FE5"/>
    <w:rsid w:val="0026279D"/>
    <w:rsid w:val="002743F1"/>
    <w:rsid w:val="002753A2"/>
    <w:rsid w:val="0027615C"/>
    <w:rsid w:val="0027778E"/>
    <w:rsid w:val="00280159"/>
    <w:rsid w:val="00287C38"/>
    <w:rsid w:val="002A5AE6"/>
    <w:rsid w:val="002A78BE"/>
    <w:rsid w:val="002C15F7"/>
    <w:rsid w:val="002C733C"/>
    <w:rsid w:val="002D1B00"/>
    <w:rsid w:val="002F2337"/>
    <w:rsid w:val="002F3083"/>
    <w:rsid w:val="00306CFC"/>
    <w:rsid w:val="003074CC"/>
    <w:rsid w:val="00307AB7"/>
    <w:rsid w:val="00307B26"/>
    <w:rsid w:val="003166DB"/>
    <w:rsid w:val="00355408"/>
    <w:rsid w:val="003740E2"/>
    <w:rsid w:val="00381290"/>
    <w:rsid w:val="003A41DA"/>
    <w:rsid w:val="003C073C"/>
    <w:rsid w:val="003D181C"/>
    <w:rsid w:val="003D1848"/>
    <w:rsid w:val="003F520F"/>
    <w:rsid w:val="003F628B"/>
    <w:rsid w:val="00400801"/>
    <w:rsid w:val="004136C6"/>
    <w:rsid w:val="00415530"/>
    <w:rsid w:val="00420C22"/>
    <w:rsid w:val="004237EF"/>
    <w:rsid w:val="004326E6"/>
    <w:rsid w:val="004334B5"/>
    <w:rsid w:val="0044632C"/>
    <w:rsid w:val="0046138E"/>
    <w:rsid w:val="00464A44"/>
    <w:rsid w:val="004854CB"/>
    <w:rsid w:val="004A4400"/>
    <w:rsid w:val="004B67E0"/>
    <w:rsid w:val="004C4098"/>
    <w:rsid w:val="004C67F1"/>
    <w:rsid w:val="004D7C23"/>
    <w:rsid w:val="004E3596"/>
    <w:rsid w:val="004E3C40"/>
    <w:rsid w:val="004F40E7"/>
    <w:rsid w:val="004F6693"/>
    <w:rsid w:val="004F66A3"/>
    <w:rsid w:val="004F774A"/>
    <w:rsid w:val="004F7A5E"/>
    <w:rsid w:val="00507D28"/>
    <w:rsid w:val="00524016"/>
    <w:rsid w:val="005252D7"/>
    <w:rsid w:val="0055267B"/>
    <w:rsid w:val="0056341B"/>
    <w:rsid w:val="00575335"/>
    <w:rsid w:val="005B53C9"/>
    <w:rsid w:val="005D17A6"/>
    <w:rsid w:val="005D561A"/>
    <w:rsid w:val="005D5792"/>
    <w:rsid w:val="005E09DD"/>
    <w:rsid w:val="005E4026"/>
    <w:rsid w:val="005F0A83"/>
    <w:rsid w:val="005F3C94"/>
    <w:rsid w:val="005F5CB4"/>
    <w:rsid w:val="00600935"/>
    <w:rsid w:val="00603BD8"/>
    <w:rsid w:val="00622779"/>
    <w:rsid w:val="00656148"/>
    <w:rsid w:val="006568DA"/>
    <w:rsid w:val="0069169C"/>
    <w:rsid w:val="006A0C91"/>
    <w:rsid w:val="006B4B4E"/>
    <w:rsid w:val="006E208C"/>
    <w:rsid w:val="006E3FA2"/>
    <w:rsid w:val="006F311B"/>
    <w:rsid w:val="00704E05"/>
    <w:rsid w:val="007119C4"/>
    <w:rsid w:val="007256BE"/>
    <w:rsid w:val="007472AD"/>
    <w:rsid w:val="007604C6"/>
    <w:rsid w:val="007722C4"/>
    <w:rsid w:val="00774673"/>
    <w:rsid w:val="007926EC"/>
    <w:rsid w:val="007A7664"/>
    <w:rsid w:val="007B23F3"/>
    <w:rsid w:val="007B6B27"/>
    <w:rsid w:val="007D6FA9"/>
    <w:rsid w:val="007E2476"/>
    <w:rsid w:val="007E37E0"/>
    <w:rsid w:val="007F0569"/>
    <w:rsid w:val="00821004"/>
    <w:rsid w:val="008210DA"/>
    <w:rsid w:val="008234CF"/>
    <w:rsid w:val="0082676E"/>
    <w:rsid w:val="008813DE"/>
    <w:rsid w:val="00882298"/>
    <w:rsid w:val="00887B55"/>
    <w:rsid w:val="00895D05"/>
    <w:rsid w:val="008C0D71"/>
    <w:rsid w:val="008C4323"/>
    <w:rsid w:val="008E0AF8"/>
    <w:rsid w:val="008F1CE8"/>
    <w:rsid w:val="008F37B3"/>
    <w:rsid w:val="008F5355"/>
    <w:rsid w:val="008F7FAE"/>
    <w:rsid w:val="00910236"/>
    <w:rsid w:val="00915616"/>
    <w:rsid w:val="00952DF6"/>
    <w:rsid w:val="009619F1"/>
    <w:rsid w:val="0096209C"/>
    <w:rsid w:val="009855D9"/>
    <w:rsid w:val="00994388"/>
    <w:rsid w:val="00996320"/>
    <w:rsid w:val="009A20C8"/>
    <w:rsid w:val="009A3A45"/>
    <w:rsid w:val="009A460A"/>
    <w:rsid w:val="009B56BD"/>
    <w:rsid w:val="009C0C92"/>
    <w:rsid w:val="009E0AEF"/>
    <w:rsid w:val="009E434C"/>
    <w:rsid w:val="009F3ED0"/>
    <w:rsid w:val="009F635E"/>
    <w:rsid w:val="009F7B94"/>
    <w:rsid w:val="00A064EC"/>
    <w:rsid w:val="00A10199"/>
    <w:rsid w:val="00A10DAE"/>
    <w:rsid w:val="00A173E2"/>
    <w:rsid w:val="00A2511E"/>
    <w:rsid w:val="00A36F2D"/>
    <w:rsid w:val="00A57411"/>
    <w:rsid w:val="00A575F7"/>
    <w:rsid w:val="00A60592"/>
    <w:rsid w:val="00A74AF9"/>
    <w:rsid w:val="00A7586F"/>
    <w:rsid w:val="00A822EF"/>
    <w:rsid w:val="00AB193A"/>
    <w:rsid w:val="00AF6971"/>
    <w:rsid w:val="00B05DDE"/>
    <w:rsid w:val="00B10D71"/>
    <w:rsid w:val="00B2214A"/>
    <w:rsid w:val="00B30EB5"/>
    <w:rsid w:val="00B34F6C"/>
    <w:rsid w:val="00B60A20"/>
    <w:rsid w:val="00B66B27"/>
    <w:rsid w:val="00B676D9"/>
    <w:rsid w:val="00B85EF2"/>
    <w:rsid w:val="00BA787B"/>
    <w:rsid w:val="00BE7BE1"/>
    <w:rsid w:val="00BE7FA0"/>
    <w:rsid w:val="00C037DE"/>
    <w:rsid w:val="00C0713D"/>
    <w:rsid w:val="00C10B29"/>
    <w:rsid w:val="00C10F8F"/>
    <w:rsid w:val="00C1190E"/>
    <w:rsid w:val="00C167DC"/>
    <w:rsid w:val="00C43725"/>
    <w:rsid w:val="00C43E41"/>
    <w:rsid w:val="00C54139"/>
    <w:rsid w:val="00C62D3E"/>
    <w:rsid w:val="00C71C97"/>
    <w:rsid w:val="00C83EA9"/>
    <w:rsid w:val="00C94D55"/>
    <w:rsid w:val="00CA7CA9"/>
    <w:rsid w:val="00CB2461"/>
    <w:rsid w:val="00CE0EB2"/>
    <w:rsid w:val="00CF5AB7"/>
    <w:rsid w:val="00D04CDF"/>
    <w:rsid w:val="00D10984"/>
    <w:rsid w:val="00D15BB9"/>
    <w:rsid w:val="00D2584C"/>
    <w:rsid w:val="00D25C14"/>
    <w:rsid w:val="00D26AEC"/>
    <w:rsid w:val="00D33441"/>
    <w:rsid w:val="00D45858"/>
    <w:rsid w:val="00D512E7"/>
    <w:rsid w:val="00D556BB"/>
    <w:rsid w:val="00D73747"/>
    <w:rsid w:val="00D8139F"/>
    <w:rsid w:val="00D858B3"/>
    <w:rsid w:val="00DB0118"/>
    <w:rsid w:val="00DC0170"/>
    <w:rsid w:val="00DC3506"/>
    <w:rsid w:val="00DD0B74"/>
    <w:rsid w:val="00DD13E9"/>
    <w:rsid w:val="00DD1E50"/>
    <w:rsid w:val="00DD4E55"/>
    <w:rsid w:val="00DD658C"/>
    <w:rsid w:val="00E01101"/>
    <w:rsid w:val="00E01627"/>
    <w:rsid w:val="00E30F06"/>
    <w:rsid w:val="00E31F15"/>
    <w:rsid w:val="00E36F59"/>
    <w:rsid w:val="00E44C31"/>
    <w:rsid w:val="00E605AB"/>
    <w:rsid w:val="00E71E03"/>
    <w:rsid w:val="00E72440"/>
    <w:rsid w:val="00E74CBA"/>
    <w:rsid w:val="00E80E2E"/>
    <w:rsid w:val="00E849AC"/>
    <w:rsid w:val="00E93807"/>
    <w:rsid w:val="00EA2AF3"/>
    <w:rsid w:val="00EA3247"/>
    <w:rsid w:val="00EA578B"/>
    <w:rsid w:val="00EB259D"/>
    <w:rsid w:val="00EF273D"/>
    <w:rsid w:val="00F06F9F"/>
    <w:rsid w:val="00F1445B"/>
    <w:rsid w:val="00F27134"/>
    <w:rsid w:val="00F33C87"/>
    <w:rsid w:val="00F44180"/>
    <w:rsid w:val="00F56B30"/>
    <w:rsid w:val="00F77DCC"/>
    <w:rsid w:val="00F83E90"/>
    <w:rsid w:val="00F84BC4"/>
    <w:rsid w:val="00FB233A"/>
    <w:rsid w:val="00FC5F00"/>
    <w:rsid w:val="00FD3050"/>
    <w:rsid w:val="00FE52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103AF"/>
  <w15:chartTrackingRefBased/>
  <w15:docId w15:val="{342F2638-7762-4137-9B51-92291994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F5E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F5E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F5ED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F5ED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F5ED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F5ED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F5ED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5ED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5ED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5ED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F5ED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F5ED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F5ED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F5ED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F5ED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5ED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5ED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5EDF"/>
    <w:rPr>
      <w:rFonts w:eastAsiaTheme="majorEastAsia" w:cstheme="majorBidi"/>
      <w:color w:val="272727" w:themeColor="text1" w:themeTint="D8"/>
    </w:rPr>
  </w:style>
  <w:style w:type="paragraph" w:styleId="Ttulo">
    <w:name w:val="Title"/>
    <w:basedOn w:val="Normal"/>
    <w:next w:val="Normal"/>
    <w:link w:val="TtuloCar"/>
    <w:uiPriority w:val="10"/>
    <w:qFormat/>
    <w:rsid w:val="000F5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F5ED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F5ED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F5ED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5EDF"/>
    <w:pPr>
      <w:spacing w:before="160"/>
      <w:jc w:val="center"/>
    </w:pPr>
    <w:rPr>
      <w:i/>
      <w:iCs/>
      <w:color w:val="404040" w:themeColor="text1" w:themeTint="BF"/>
    </w:rPr>
  </w:style>
  <w:style w:type="character" w:customStyle="1" w:styleId="CitaCar">
    <w:name w:val="Cita Car"/>
    <w:basedOn w:val="Fuentedeprrafopredeter"/>
    <w:link w:val="Cita"/>
    <w:uiPriority w:val="29"/>
    <w:rsid w:val="000F5EDF"/>
    <w:rPr>
      <w:i/>
      <w:iCs/>
      <w:color w:val="404040" w:themeColor="text1" w:themeTint="BF"/>
    </w:rPr>
  </w:style>
  <w:style w:type="paragraph" w:styleId="Prrafodelista">
    <w:name w:val="List Paragraph"/>
    <w:basedOn w:val="Normal"/>
    <w:uiPriority w:val="34"/>
    <w:qFormat/>
    <w:rsid w:val="000F5EDF"/>
    <w:pPr>
      <w:ind w:left="720"/>
      <w:contextualSpacing/>
    </w:pPr>
  </w:style>
  <w:style w:type="character" w:styleId="nfasisintenso">
    <w:name w:val="Intense Emphasis"/>
    <w:basedOn w:val="Fuentedeprrafopredeter"/>
    <w:uiPriority w:val="21"/>
    <w:qFormat/>
    <w:rsid w:val="000F5EDF"/>
    <w:rPr>
      <w:i/>
      <w:iCs/>
      <w:color w:val="0F4761" w:themeColor="accent1" w:themeShade="BF"/>
    </w:rPr>
  </w:style>
  <w:style w:type="paragraph" w:styleId="Citadestacada">
    <w:name w:val="Intense Quote"/>
    <w:basedOn w:val="Normal"/>
    <w:next w:val="Normal"/>
    <w:link w:val="CitadestacadaCar"/>
    <w:uiPriority w:val="30"/>
    <w:qFormat/>
    <w:rsid w:val="000F5E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5EDF"/>
    <w:rPr>
      <w:i/>
      <w:iCs/>
      <w:color w:val="0F4761" w:themeColor="accent1" w:themeShade="BF"/>
    </w:rPr>
  </w:style>
  <w:style w:type="character" w:styleId="Referenciaintensa">
    <w:name w:val="Intense Reference"/>
    <w:basedOn w:val="Fuentedeprrafopredeter"/>
    <w:uiPriority w:val="32"/>
    <w:qFormat/>
    <w:rsid w:val="000F5EDF"/>
    <w:rPr>
      <w:b/>
      <w:bCs/>
      <w:smallCaps/>
      <w:color w:val="0F4761" w:themeColor="accent1" w:themeShade="BF"/>
      <w:spacing w:val="5"/>
    </w:rPr>
  </w:style>
  <w:style w:type="table" w:styleId="Tablaconcuadrcula">
    <w:name w:val="Table Grid"/>
    <w:basedOn w:val="Tablanormal"/>
    <w:uiPriority w:val="39"/>
    <w:rsid w:val="00F77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D04CDF"/>
  </w:style>
  <w:style w:type="paragraph" w:styleId="Textonotapie">
    <w:name w:val="footnote text"/>
    <w:basedOn w:val="Normal"/>
    <w:link w:val="TextonotapieCar"/>
    <w:uiPriority w:val="99"/>
    <w:unhideWhenUsed/>
    <w:rsid w:val="002F2337"/>
    <w:pPr>
      <w:spacing w:after="0" w:line="240" w:lineRule="auto"/>
    </w:pPr>
    <w:rPr>
      <w:sz w:val="20"/>
      <w:szCs w:val="20"/>
    </w:rPr>
  </w:style>
  <w:style w:type="character" w:customStyle="1" w:styleId="TextonotapieCar">
    <w:name w:val="Texto nota pie Car"/>
    <w:basedOn w:val="Fuentedeprrafopredeter"/>
    <w:link w:val="Textonotapie"/>
    <w:uiPriority w:val="99"/>
    <w:rsid w:val="002F2337"/>
    <w:rPr>
      <w:sz w:val="20"/>
      <w:szCs w:val="20"/>
    </w:rPr>
  </w:style>
  <w:style w:type="character" w:styleId="Refdenotaalpie">
    <w:name w:val="footnote reference"/>
    <w:basedOn w:val="Fuentedeprrafopredeter"/>
    <w:uiPriority w:val="99"/>
    <w:semiHidden/>
    <w:unhideWhenUsed/>
    <w:rsid w:val="002F2337"/>
    <w:rPr>
      <w:vertAlign w:val="superscript"/>
    </w:rPr>
  </w:style>
  <w:style w:type="paragraph" w:styleId="Encabezado">
    <w:name w:val="header"/>
    <w:basedOn w:val="Normal"/>
    <w:link w:val="EncabezadoCar"/>
    <w:uiPriority w:val="99"/>
    <w:unhideWhenUsed/>
    <w:rsid w:val="00CA7C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7CA9"/>
  </w:style>
  <w:style w:type="paragraph" w:styleId="Piedepgina">
    <w:name w:val="footer"/>
    <w:basedOn w:val="Normal"/>
    <w:link w:val="PiedepginaCar"/>
    <w:uiPriority w:val="99"/>
    <w:unhideWhenUsed/>
    <w:rsid w:val="00CA7C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7CA9"/>
  </w:style>
  <w:style w:type="character" w:styleId="Hipervnculo">
    <w:name w:val="Hyperlink"/>
    <w:basedOn w:val="Fuentedeprrafopredeter"/>
    <w:uiPriority w:val="99"/>
    <w:unhideWhenUsed/>
    <w:rsid w:val="007604C6"/>
    <w:rPr>
      <w:color w:val="467886" w:themeColor="hyperlink"/>
      <w:u w:val="single"/>
    </w:rPr>
  </w:style>
  <w:style w:type="character" w:styleId="Mencinsinresolver">
    <w:name w:val="Unresolved Mention"/>
    <w:basedOn w:val="Fuentedeprrafopredeter"/>
    <w:uiPriority w:val="99"/>
    <w:semiHidden/>
    <w:unhideWhenUsed/>
    <w:rsid w:val="007604C6"/>
    <w:rPr>
      <w:color w:val="605E5C"/>
      <w:shd w:val="clear" w:color="auto" w:fill="E1DFDD"/>
    </w:rPr>
  </w:style>
  <w:style w:type="character" w:styleId="Hipervnculovisitado">
    <w:name w:val="FollowedHyperlink"/>
    <w:basedOn w:val="Fuentedeprrafopredeter"/>
    <w:uiPriority w:val="99"/>
    <w:semiHidden/>
    <w:unhideWhenUsed/>
    <w:rsid w:val="007604C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0741">
      <w:bodyDiv w:val="1"/>
      <w:marLeft w:val="0"/>
      <w:marRight w:val="0"/>
      <w:marTop w:val="0"/>
      <w:marBottom w:val="0"/>
      <w:divBdr>
        <w:top w:val="none" w:sz="0" w:space="0" w:color="auto"/>
        <w:left w:val="none" w:sz="0" w:space="0" w:color="auto"/>
        <w:bottom w:val="none" w:sz="0" w:space="0" w:color="auto"/>
        <w:right w:val="none" w:sz="0" w:space="0" w:color="auto"/>
      </w:divBdr>
    </w:div>
    <w:div w:id="71852472">
      <w:bodyDiv w:val="1"/>
      <w:marLeft w:val="0"/>
      <w:marRight w:val="0"/>
      <w:marTop w:val="0"/>
      <w:marBottom w:val="0"/>
      <w:divBdr>
        <w:top w:val="none" w:sz="0" w:space="0" w:color="auto"/>
        <w:left w:val="none" w:sz="0" w:space="0" w:color="auto"/>
        <w:bottom w:val="none" w:sz="0" w:space="0" w:color="auto"/>
        <w:right w:val="none" w:sz="0" w:space="0" w:color="auto"/>
      </w:divBdr>
    </w:div>
    <w:div w:id="79061676">
      <w:bodyDiv w:val="1"/>
      <w:marLeft w:val="0"/>
      <w:marRight w:val="0"/>
      <w:marTop w:val="0"/>
      <w:marBottom w:val="0"/>
      <w:divBdr>
        <w:top w:val="none" w:sz="0" w:space="0" w:color="auto"/>
        <w:left w:val="none" w:sz="0" w:space="0" w:color="auto"/>
        <w:bottom w:val="none" w:sz="0" w:space="0" w:color="auto"/>
        <w:right w:val="none" w:sz="0" w:space="0" w:color="auto"/>
      </w:divBdr>
    </w:div>
    <w:div w:id="105974132">
      <w:bodyDiv w:val="1"/>
      <w:marLeft w:val="0"/>
      <w:marRight w:val="0"/>
      <w:marTop w:val="0"/>
      <w:marBottom w:val="0"/>
      <w:divBdr>
        <w:top w:val="none" w:sz="0" w:space="0" w:color="auto"/>
        <w:left w:val="none" w:sz="0" w:space="0" w:color="auto"/>
        <w:bottom w:val="none" w:sz="0" w:space="0" w:color="auto"/>
        <w:right w:val="none" w:sz="0" w:space="0" w:color="auto"/>
      </w:divBdr>
    </w:div>
    <w:div w:id="116221875">
      <w:bodyDiv w:val="1"/>
      <w:marLeft w:val="0"/>
      <w:marRight w:val="0"/>
      <w:marTop w:val="0"/>
      <w:marBottom w:val="0"/>
      <w:divBdr>
        <w:top w:val="none" w:sz="0" w:space="0" w:color="auto"/>
        <w:left w:val="none" w:sz="0" w:space="0" w:color="auto"/>
        <w:bottom w:val="none" w:sz="0" w:space="0" w:color="auto"/>
        <w:right w:val="none" w:sz="0" w:space="0" w:color="auto"/>
      </w:divBdr>
    </w:div>
    <w:div w:id="141048743">
      <w:bodyDiv w:val="1"/>
      <w:marLeft w:val="0"/>
      <w:marRight w:val="0"/>
      <w:marTop w:val="0"/>
      <w:marBottom w:val="0"/>
      <w:divBdr>
        <w:top w:val="none" w:sz="0" w:space="0" w:color="auto"/>
        <w:left w:val="none" w:sz="0" w:space="0" w:color="auto"/>
        <w:bottom w:val="none" w:sz="0" w:space="0" w:color="auto"/>
        <w:right w:val="none" w:sz="0" w:space="0" w:color="auto"/>
      </w:divBdr>
    </w:div>
    <w:div w:id="146940034">
      <w:bodyDiv w:val="1"/>
      <w:marLeft w:val="0"/>
      <w:marRight w:val="0"/>
      <w:marTop w:val="0"/>
      <w:marBottom w:val="0"/>
      <w:divBdr>
        <w:top w:val="none" w:sz="0" w:space="0" w:color="auto"/>
        <w:left w:val="none" w:sz="0" w:space="0" w:color="auto"/>
        <w:bottom w:val="none" w:sz="0" w:space="0" w:color="auto"/>
        <w:right w:val="none" w:sz="0" w:space="0" w:color="auto"/>
      </w:divBdr>
    </w:div>
    <w:div w:id="148714475">
      <w:bodyDiv w:val="1"/>
      <w:marLeft w:val="0"/>
      <w:marRight w:val="0"/>
      <w:marTop w:val="0"/>
      <w:marBottom w:val="0"/>
      <w:divBdr>
        <w:top w:val="none" w:sz="0" w:space="0" w:color="auto"/>
        <w:left w:val="none" w:sz="0" w:space="0" w:color="auto"/>
        <w:bottom w:val="none" w:sz="0" w:space="0" w:color="auto"/>
        <w:right w:val="none" w:sz="0" w:space="0" w:color="auto"/>
      </w:divBdr>
    </w:div>
    <w:div w:id="165218780">
      <w:bodyDiv w:val="1"/>
      <w:marLeft w:val="0"/>
      <w:marRight w:val="0"/>
      <w:marTop w:val="0"/>
      <w:marBottom w:val="0"/>
      <w:divBdr>
        <w:top w:val="none" w:sz="0" w:space="0" w:color="auto"/>
        <w:left w:val="none" w:sz="0" w:space="0" w:color="auto"/>
        <w:bottom w:val="none" w:sz="0" w:space="0" w:color="auto"/>
        <w:right w:val="none" w:sz="0" w:space="0" w:color="auto"/>
      </w:divBdr>
    </w:div>
    <w:div w:id="177818990">
      <w:bodyDiv w:val="1"/>
      <w:marLeft w:val="0"/>
      <w:marRight w:val="0"/>
      <w:marTop w:val="0"/>
      <w:marBottom w:val="0"/>
      <w:divBdr>
        <w:top w:val="none" w:sz="0" w:space="0" w:color="auto"/>
        <w:left w:val="none" w:sz="0" w:space="0" w:color="auto"/>
        <w:bottom w:val="none" w:sz="0" w:space="0" w:color="auto"/>
        <w:right w:val="none" w:sz="0" w:space="0" w:color="auto"/>
      </w:divBdr>
    </w:div>
    <w:div w:id="221797078">
      <w:bodyDiv w:val="1"/>
      <w:marLeft w:val="0"/>
      <w:marRight w:val="0"/>
      <w:marTop w:val="0"/>
      <w:marBottom w:val="0"/>
      <w:divBdr>
        <w:top w:val="none" w:sz="0" w:space="0" w:color="auto"/>
        <w:left w:val="none" w:sz="0" w:space="0" w:color="auto"/>
        <w:bottom w:val="none" w:sz="0" w:space="0" w:color="auto"/>
        <w:right w:val="none" w:sz="0" w:space="0" w:color="auto"/>
      </w:divBdr>
    </w:div>
    <w:div w:id="268703945">
      <w:bodyDiv w:val="1"/>
      <w:marLeft w:val="0"/>
      <w:marRight w:val="0"/>
      <w:marTop w:val="0"/>
      <w:marBottom w:val="0"/>
      <w:divBdr>
        <w:top w:val="none" w:sz="0" w:space="0" w:color="auto"/>
        <w:left w:val="none" w:sz="0" w:space="0" w:color="auto"/>
        <w:bottom w:val="none" w:sz="0" w:space="0" w:color="auto"/>
        <w:right w:val="none" w:sz="0" w:space="0" w:color="auto"/>
      </w:divBdr>
    </w:div>
    <w:div w:id="430931565">
      <w:bodyDiv w:val="1"/>
      <w:marLeft w:val="0"/>
      <w:marRight w:val="0"/>
      <w:marTop w:val="0"/>
      <w:marBottom w:val="0"/>
      <w:divBdr>
        <w:top w:val="none" w:sz="0" w:space="0" w:color="auto"/>
        <w:left w:val="none" w:sz="0" w:space="0" w:color="auto"/>
        <w:bottom w:val="none" w:sz="0" w:space="0" w:color="auto"/>
        <w:right w:val="none" w:sz="0" w:space="0" w:color="auto"/>
      </w:divBdr>
    </w:div>
    <w:div w:id="445854395">
      <w:bodyDiv w:val="1"/>
      <w:marLeft w:val="0"/>
      <w:marRight w:val="0"/>
      <w:marTop w:val="0"/>
      <w:marBottom w:val="0"/>
      <w:divBdr>
        <w:top w:val="none" w:sz="0" w:space="0" w:color="auto"/>
        <w:left w:val="none" w:sz="0" w:space="0" w:color="auto"/>
        <w:bottom w:val="none" w:sz="0" w:space="0" w:color="auto"/>
        <w:right w:val="none" w:sz="0" w:space="0" w:color="auto"/>
      </w:divBdr>
    </w:div>
    <w:div w:id="453332296">
      <w:bodyDiv w:val="1"/>
      <w:marLeft w:val="0"/>
      <w:marRight w:val="0"/>
      <w:marTop w:val="0"/>
      <w:marBottom w:val="0"/>
      <w:divBdr>
        <w:top w:val="none" w:sz="0" w:space="0" w:color="auto"/>
        <w:left w:val="none" w:sz="0" w:space="0" w:color="auto"/>
        <w:bottom w:val="none" w:sz="0" w:space="0" w:color="auto"/>
        <w:right w:val="none" w:sz="0" w:space="0" w:color="auto"/>
      </w:divBdr>
    </w:div>
    <w:div w:id="471605186">
      <w:bodyDiv w:val="1"/>
      <w:marLeft w:val="0"/>
      <w:marRight w:val="0"/>
      <w:marTop w:val="0"/>
      <w:marBottom w:val="0"/>
      <w:divBdr>
        <w:top w:val="none" w:sz="0" w:space="0" w:color="auto"/>
        <w:left w:val="none" w:sz="0" w:space="0" w:color="auto"/>
        <w:bottom w:val="none" w:sz="0" w:space="0" w:color="auto"/>
        <w:right w:val="none" w:sz="0" w:space="0" w:color="auto"/>
      </w:divBdr>
    </w:div>
    <w:div w:id="474758494">
      <w:bodyDiv w:val="1"/>
      <w:marLeft w:val="0"/>
      <w:marRight w:val="0"/>
      <w:marTop w:val="0"/>
      <w:marBottom w:val="0"/>
      <w:divBdr>
        <w:top w:val="none" w:sz="0" w:space="0" w:color="auto"/>
        <w:left w:val="none" w:sz="0" w:space="0" w:color="auto"/>
        <w:bottom w:val="none" w:sz="0" w:space="0" w:color="auto"/>
        <w:right w:val="none" w:sz="0" w:space="0" w:color="auto"/>
      </w:divBdr>
    </w:div>
    <w:div w:id="475225501">
      <w:bodyDiv w:val="1"/>
      <w:marLeft w:val="0"/>
      <w:marRight w:val="0"/>
      <w:marTop w:val="0"/>
      <w:marBottom w:val="0"/>
      <w:divBdr>
        <w:top w:val="none" w:sz="0" w:space="0" w:color="auto"/>
        <w:left w:val="none" w:sz="0" w:space="0" w:color="auto"/>
        <w:bottom w:val="none" w:sz="0" w:space="0" w:color="auto"/>
        <w:right w:val="none" w:sz="0" w:space="0" w:color="auto"/>
      </w:divBdr>
    </w:div>
    <w:div w:id="479272023">
      <w:bodyDiv w:val="1"/>
      <w:marLeft w:val="0"/>
      <w:marRight w:val="0"/>
      <w:marTop w:val="0"/>
      <w:marBottom w:val="0"/>
      <w:divBdr>
        <w:top w:val="none" w:sz="0" w:space="0" w:color="auto"/>
        <w:left w:val="none" w:sz="0" w:space="0" w:color="auto"/>
        <w:bottom w:val="none" w:sz="0" w:space="0" w:color="auto"/>
        <w:right w:val="none" w:sz="0" w:space="0" w:color="auto"/>
      </w:divBdr>
    </w:div>
    <w:div w:id="486628230">
      <w:bodyDiv w:val="1"/>
      <w:marLeft w:val="0"/>
      <w:marRight w:val="0"/>
      <w:marTop w:val="0"/>
      <w:marBottom w:val="0"/>
      <w:divBdr>
        <w:top w:val="none" w:sz="0" w:space="0" w:color="auto"/>
        <w:left w:val="none" w:sz="0" w:space="0" w:color="auto"/>
        <w:bottom w:val="none" w:sz="0" w:space="0" w:color="auto"/>
        <w:right w:val="none" w:sz="0" w:space="0" w:color="auto"/>
      </w:divBdr>
    </w:div>
    <w:div w:id="530999335">
      <w:bodyDiv w:val="1"/>
      <w:marLeft w:val="0"/>
      <w:marRight w:val="0"/>
      <w:marTop w:val="0"/>
      <w:marBottom w:val="0"/>
      <w:divBdr>
        <w:top w:val="none" w:sz="0" w:space="0" w:color="auto"/>
        <w:left w:val="none" w:sz="0" w:space="0" w:color="auto"/>
        <w:bottom w:val="none" w:sz="0" w:space="0" w:color="auto"/>
        <w:right w:val="none" w:sz="0" w:space="0" w:color="auto"/>
      </w:divBdr>
    </w:div>
    <w:div w:id="547650959">
      <w:bodyDiv w:val="1"/>
      <w:marLeft w:val="0"/>
      <w:marRight w:val="0"/>
      <w:marTop w:val="0"/>
      <w:marBottom w:val="0"/>
      <w:divBdr>
        <w:top w:val="none" w:sz="0" w:space="0" w:color="auto"/>
        <w:left w:val="none" w:sz="0" w:space="0" w:color="auto"/>
        <w:bottom w:val="none" w:sz="0" w:space="0" w:color="auto"/>
        <w:right w:val="none" w:sz="0" w:space="0" w:color="auto"/>
      </w:divBdr>
    </w:div>
    <w:div w:id="567885191">
      <w:bodyDiv w:val="1"/>
      <w:marLeft w:val="0"/>
      <w:marRight w:val="0"/>
      <w:marTop w:val="0"/>
      <w:marBottom w:val="0"/>
      <w:divBdr>
        <w:top w:val="none" w:sz="0" w:space="0" w:color="auto"/>
        <w:left w:val="none" w:sz="0" w:space="0" w:color="auto"/>
        <w:bottom w:val="none" w:sz="0" w:space="0" w:color="auto"/>
        <w:right w:val="none" w:sz="0" w:space="0" w:color="auto"/>
      </w:divBdr>
    </w:div>
    <w:div w:id="577520525">
      <w:bodyDiv w:val="1"/>
      <w:marLeft w:val="0"/>
      <w:marRight w:val="0"/>
      <w:marTop w:val="0"/>
      <w:marBottom w:val="0"/>
      <w:divBdr>
        <w:top w:val="none" w:sz="0" w:space="0" w:color="auto"/>
        <w:left w:val="none" w:sz="0" w:space="0" w:color="auto"/>
        <w:bottom w:val="none" w:sz="0" w:space="0" w:color="auto"/>
        <w:right w:val="none" w:sz="0" w:space="0" w:color="auto"/>
      </w:divBdr>
    </w:div>
    <w:div w:id="617297803">
      <w:bodyDiv w:val="1"/>
      <w:marLeft w:val="0"/>
      <w:marRight w:val="0"/>
      <w:marTop w:val="0"/>
      <w:marBottom w:val="0"/>
      <w:divBdr>
        <w:top w:val="none" w:sz="0" w:space="0" w:color="auto"/>
        <w:left w:val="none" w:sz="0" w:space="0" w:color="auto"/>
        <w:bottom w:val="none" w:sz="0" w:space="0" w:color="auto"/>
        <w:right w:val="none" w:sz="0" w:space="0" w:color="auto"/>
      </w:divBdr>
    </w:div>
    <w:div w:id="629015008">
      <w:bodyDiv w:val="1"/>
      <w:marLeft w:val="0"/>
      <w:marRight w:val="0"/>
      <w:marTop w:val="0"/>
      <w:marBottom w:val="0"/>
      <w:divBdr>
        <w:top w:val="none" w:sz="0" w:space="0" w:color="auto"/>
        <w:left w:val="none" w:sz="0" w:space="0" w:color="auto"/>
        <w:bottom w:val="none" w:sz="0" w:space="0" w:color="auto"/>
        <w:right w:val="none" w:sz="0" w:space="0" w:color="auto"/>
      </w:divBdr>
    </w:div>
    <w:div w:id="632758395">
      <w:bodyDiv w:val="1"/>
      <w:marLeft w:val="0"/>
      <w:marRight w:val="0"/>
      <w:marTop w:val="0"/>
      <w:marBottom w:val="0"/>
      <w:divBdr>
        <w:top w:val="none" w:sz="0" w:space="0" w:color="auto"/>
        <w:left w:val="none" w:sz="0" w:space="0" w:color="auto"/>
        <w:bottom w:val="none" w:sz="0" w:space="0" w:color="auto"/>
        <w:right w:val="none" w:sz="0" w:space="0" w:color="auto"/>
      </w:divBdr>
    </w:div>
    <w:div w:id="634405921">
      <w:bodyDiv w:val="1"/>
      <w:marLeft w:val="0"/>
      <w:marRight w:val="0"/>
      <w:marTop w:val="0"/>
      <w:marBottom w:val="0"/>
      <w:divBdr>
        <w:top w:val="none" w:sz="0" w:space="0" w:color="auto"/>
        <w:left w:val="none" w:sz="0" w:space="0" w:color="auto"/>
        <w:bottom w:val="none" w:sz="0" w:space="0" w:color="auto"/>
        <w:right w:val="none" w:sz="0" w:space="0" w:color="auto"/>
      </w:divBdr>
    </w:div>
    <w:div w:id="665282281">
      <w:bodyDiv w:val="1"/>
      <w:marLeft w:val="0"/>
      <w:marRight w:val="0"/>
      <w:marTop w:val="0"/>
      <w:marBottom w:val="0"/>
      <w:divBdr>
        <w:top w:val="none" w:sz="0" w:space="0" w:color="auto"/>
        <w:left w:val="none" w:sz="0" w:space="0" w:color="auto"/>
        <w:bottom w:val="none" w:sz="0" w:space="0" w:color="auto"/>
        <w:right w:val="none" w:sz="0" w:space="0" w:color="auto"/>
      </w:divBdr>
    </w:div>
    <w:div w:id="668484852">
      <w:bodyDiv w:val="1"/>
      <w:marLeft w:val="0"/>
      <w:marRight w:val="0"/>
      <w:marTop w:val="0"/>
      <w:marBottom w:val="0"/>
      <w:divBdr>
        <w:top w:val="none" w:sz="0" w:space="0" w:color="auto"/>
        <w:left w:val="none" w:sz="0" w:space="0" w:color="auto"/>
        <w:bottom w:val="none" w:sz="0" w:space="0" w:color="auto"/>
        <w:right w:val="none" w:sz="0" w:space="0" w:color="auto"/>
      </w:divBdr>
    </w:div>
    <w:div w:id="716659659">
      <w:bodyDiv w:val="1"/>
      <w:marLeft w:val="0"/>
      <w:marRight w:val="0"/>
      <w:marTop w:val="0"/>
      <w:marBottom w:val="0"/>
      <w:divBdr>
        <w:top w:val="none" w:sz="0" w:space="0" w:color="auto"/>
        <w:left w:val="none" w:sz="0" w:space="0" w:color="auto"/>
        <w:bottom w:val="none" w:sz="0" w:space="0" w:color="auto"/>
        <w:right w:val="none" w:sz="0" w:space="0" w:color="auto"/>
      </w:divBdr>
    </w:div>
    <w:div w:id="743725047">
      <w:bodyDiv w:val="1"/>
      <w:marLeft w:val="0"/>
      <w:marRight w:val="0"/>
      <w:marTop w:val="0"/>
      <w:marBottom w:val="0"/>
      <w:divBdr>
        <w:top w:val="none" w:sz="0" w:space="0" w:color="auto"/>
        <w:left w:val="none" w:sz="0" w:space="0" w:color="auto"/>
        <w:bottom w:val="none" w:sz="0" w:space="0" w:color="auto"/>
        <w:right w:val="none" w:sz="0" w:space="0" w:color="auto"/>
      </w:divBdr>
    </w:div>
    <w:div w:id="751658156">
      <w:bodyDiv w:val="1"/>
      <w:marLeft w:val="0"/>
      <w:marRight w:val="0"/>
      <w:marTop w:val="0"/>
      <w:marBottom w:val="0"/>
      <w:divBdr>
        <w:top w:val="none" w:sz="0" w:space="0" w:color="auto"/>
        <w:left w:val="none" w:sz="0" w:space="0" w:color="auto"/>
        <w:bottom w:val="none" w:sz="0" w:space="0" w:color="auto"/>
        <w:right w:val="none" w:sz="0" w:space="0" w:color="auto"/>
      </w:divBdr>
    </w:div>
    <w:div w:id="772821456">
      <w:bodyDiv w:val="1"/>
      <w:marLeft w:val="0"/>
      <w:marRight w:val="0"/>
      <w:marTop w:val="0"/>
      <w:marBottom w:val="0"/>
      <w:divBdr>
        <w:top w:val="none" w:sz="0" w:space="0" w:color="auto"/>
        <w:left w:val="none" w:sz="0" w:space="0" w:color="auto"/>
        <w:bottom w:val="none" w:sz="0" w:space="0" w:color="auto"/>
        <w:right w:val="none" w:sz="0" w:space="0" w:color="auto"/>
      </w:divBdr>
    </w:div>
    <w:div w:id="779255688">
      <w:bodyDiv w:val="1"/>
      <w:marLeft w:val="0"/>
      <w:marRight w:val="0"/>
      <w:marTop w:val="0"/>
      <w:marBottom w:val="0"/>
      <w:divBdr>
        <w:top w:val="none" w:sz="0" w:space="0" w:color="auto"/>
        <w:left w:val="none" w:sz="0" w:space="0" w:color="auto"/>
        <w:bottom w:val="none" w:sz="0" w:space="0" w:color="auto"/>
        <w:right w:val="none" w:sz="0" w:space="0" w:color="auto"/>
      </w:divBdr>
    </w:div>
    <w:div w:id="783423940">
      <w:bodyDiv w:val="1"/>
      <w:marLeft w:val="0"/>
      <w:marRight w:val="0"/>
      <w:marTop w:val="0"/>
      <w:marBottom w:val="0"/>
      <w:divBdr>
        <w:top w:val="none" w:sz="0" w:space="0" w:color="auto"/>
        <w:left w:val="none" w:sz="0" w:space="0" w:color="auto"/>
        <w:bottom w:val="none" w:sz="0" w:space="0" w:color="auto"/>
        <w:right w:val="none" w:sz="0" w:space="0" w:color="auto"/>
      </w:divBdr>
    </w:div>
    <w:div w:id="804810317">
      <w:bodyDiv w:val="1"/>
      <w:marLeft w:val="0"/>
      <w:marRight w:val="0"/>
      <w:marTop w:val="0"/>
      <w:marBottom w:val="0"/>
      <w:divBdr>
        <w:top w:val="none" w:sz="0" w:space="0" w:color="auto"/>
        <w:left w:val="none" w:sz="0" w:space="0" w:color="auto"/>
        <w:bottom w:val="none" w:sz="0" w:space="0" w:color="auto"/>
        <w:right w:val="none" w:sz="0" w:space="0" w:color="auto"/>
      </w:divBdr>
    </w:div>
    <w:div w:id="809857561">
      <w:bodyDiv w:val="1"/>
      <w:marLeft w:val="0"/>
      <w:marRight w:val="0"/>
      <w:marTop w:val="0"/>
      <w:marBottom w:val="0"/>
      <w:divBdr>
        <w:top w:val="none" w:sz="0" w:space="0" w:color="auto"/>
        <w:left w:val="none" w:sz="0" w:space="0" w:color="auto"/>
        <w:bottom w:val="none" w:sz="0" w:space="0" w:color="auto"/>
        <w:right w:val="none" w:sz="0" w:space="0" w:color="auto"/>
      </w:divBdr>
    </w:div>
    <w:div w:id="818156000">
      <w:bodyDiv w:val="1"/>
      <w:marLeft w:val="0"/>
      <w:marRight w:val="0"/>
      <w:marTop w:val="0"/>
      <w:marBottom w:val="0"/>
      <w:divBdr>
        <w:top w:val="none" w:sz="0" w:space="0" w:color="auto"/>
        <w:left w:val="none" w:sz="0" w:space="0" w:color="auto"/>
        <w:bottom w:val="none" w:sz="0" w:space="0" w:color="auto"/>
        <w:right w:val="none" w:sz="0" w:space="0" w:color="auto"/>
      </w:divBdr>
    </w:div>
    <w:div w:id="831026019">
      <w:bodyDiv w:val="1"/>
      <w:marLeft w:val="0"/>
      <w:marRight w:val="0"/>
      <w:marTop w:val="0"/>
      <w:marBottom w:val="0"/>
      <w:divBdr>
        <w:top w:val="none" w:sz="0" w:space="0" w:color="auto"/>
        <w:left w:val="none" w:sz="0" w:space="0" w:color="auto"/>
        <w:bottom w:val="none" w:sz="0" w:space="0" w:color="auto"/>
        <w:right w:val="none" w:sz="0" w:space="0" w:color="auto"/>
      </w:divBdr>
    </w:div>
    <w:div w:id="841357261">
      <w:bodyDiv w:val="1"/>
      <w:marLeft w:val="0"/>
      <w:marRight w:val="0"/>
      <w:marTop w:val="0"/>
      <w:marBottom w:val="0"/>
      <w:divBdr>
        <w:top w:val="none" w:sz="0" w:space="0" w:color="auto"/>
        <w:left w:val="none" w:sz="0" w:space="0" w:color="auto"/>
        <w:bottom w:val="none" w:sz="0" w:space="0" w:color="auto"/>
        <w:right w:val="none" w:sz="0" w:space="0" w:color="auto"/>
      </w:divBdr>
    </w:div>
    <w:div w:id="842355521">
      <w:bodyDiv w:val="1"/>
      <w:marLeft w:val="0"/>
      <w:marRight w:val="0"/>
      <w:marTop w:val="0"/>
      <w:marBottom w:val="0"/>
      <w:divBdr>
        <w:top w:val="none" w:sz="0" w:space="0" w:color="auto"/>
        <w:left w:val="none" w:sz="0" w:space="0" w:color="auto"/>
        <w:bottom w:val="none" w:sz="0" w:space="0" w:color="auto"/>
        <w:right w:val="none" w:sz="0" w:space="0" w:color="auto"/>
      </w:divBdr>
    </w:div>
    <w:div w:id="861435563">
      <w:bodyDiv w:val="1"/>
      <w:marLeft w:val="0"/>
      <w:marRight w:val="0"/>
      <w:marTop w:val="0"/>
      <w:marBottom w:val="0"/>
      <w:divBdr>
        <w:top w:val="none" w:sz="0" w:space="0" w:color="auto"/>
        <w:left w:val="none" w:sz="0" w:space="0" w:color="auto"/>
        <w:bottom w:val="none" w:sz="0" w:space="0" w:color="auto"/>
        <w:right w:val="none" w:sz="0" w:space="0" w:color="auto"/>
      </w:divBdr>
    </w:div>
    <w:div w:id="899948200">
      <w:bodyDiv w:val="1"/>
      <w:marLeft w:val="0"/>
      <w:marRight w:val="0"/>
      <w:marTop w:val="0"/>
      <w:marBottom w:val="0"/>
      <w:divBdr>
        <w:top w:val="none" w:sz="0" w:space="0" w:color="auto"/>
        <w:left w:val="none" w:sz="0" w:space="0" w:color="auto"/>
        <w:bottom w:val="none" w:sz="0" w:space="0" w:color="auto"/>
        <w:right w:val="none" w:sz="0" w:space="0" w:color="auto"/>
      </w:divBdr>
    </w:div>
    <w:div w:id="933854843">
      <w:bodyDiv w:val="1"/>
      <w:marLeft w:val="0"/>
      <w:marRight w:val="0"/>
      <w:marTop w:val="0"/>
      <w:marBottom w:val="0"/>
      <w:divBdr>
        <w:top w:val="none" w:sz="0" w:space="0" w:color="auto"/>
        <w:left w:val="none" w:sz="0" w:space="0" w:color="auto"/>
        <w:bottom w:val="none" w:sz="0" w:space="0" w:color="auto"/>
        <w:right w:val="none" w:sz="0" w:space="0" w:color="auto"/>
      </w:divBdr>
    </w:div>
    <w:div w:id="942301271">
      <w:bodyDiv w:val="1"/>
      <w:marLeft w:val="0"/>
      <w:marRight w:val="0"/>
      <w:marTop w:val="0"/>
      <w:marBottom w:val="0"/>
      <w:divBdr>
        <w:top w:val="none" w:sz="0" w:space="0" w:color="auto"/>
        <w:left w:val="none" w:sz="0" w:space="0" w:color="auto"/>
        <w:bottom w:val="none" w:sz="0" w:space="0" w:color="auto"/>
        <w:right w:val="none" w:sz="0" w:space="0" w:color="auto"/>
      </w:divBdr>
    </w:div>
    <w:div w:id="945889805">
      <w:bodyDiv w:val="1"/>
      <w:marLeft w:val="0"/>
      <w:marRight w:val="0"/>
      <w:marTop w:val="0"/>
      <w:marBottom w:val="0"/>
      <w:divBdr>
        <w:top w:val="none" w:sz="0" w:space="0" w:color="auto"/>
        <w:left w:val="none" w:sz="0" w:space="0" w:color="auto"/>
        <w:bottom w:val="none" w:sz="0" w:space="0" w:color="auto"/>
        <w:right w:val="none" w:sz="0" w:space="0" w:color="auto"/>
      </w:divBdr>
    </w:div>
    <w:div w:id="989750828">
      <w:bodyDiv w:val="1"/>
      <w:marLeft w:val="0"/>
      <w:marRight w:val="0"/>
      <w:marTop w:val="0"/>
      <w:marBottom w:val="0"/>
      <w:divBdr>
        <w:top w:val="none" w:sz="0" w:space="0" w:color="auto"/>
        <w:left w:val="none" w:sz="0" w:space="0" w:color="auto"/>
        <w:bottom w:val="none" w:sz="0" w:space="0" w:color="auto"/>
        <w:right w:val="none" w:sz="0" w:space="0" w:color="auto"/>
      </w:divBdr>
    </w:div>
    <w:div w:id="1011181409">
      <w:bodyDiv w:val="1"/>
      <w:marLeft w:val="0"/>
      <w:marRight w:val="0"/>
      <w:marTop w:val="0"/>
      <w:marBottom w:val="0"/>
      <w:divBdr>
        <w:top w:val="none" w:sz="0" w:space="0" w:color="auto"/>
        <w:left w:val="none" w:sz="0" w:space="0" w:color="auto"/>
        <w:bottom w:val="none" w:sz="0" w:space="0" w:color="auto"/>
        <w:right w:val="none" w:sz="0" w:space="0" w:color="auto"/>
      </w:divBdr>
    </w:div>
    <w:div w:id="1042747080">
      <w:bodyDiv w:val="1"/>
      <w:marLeft w:val="0"/>
      <w:marRight w:val="0"/>
      <w:marTop w:val="0"/>
      <w:marBottom w:val="0"/>
      <w:divBdr>
        <w:top w:val="none" w:sz="0" w:space="0" w:color="auto"/>
        <w:left w:val="none" w:sz="0" w:space="0" w:color="auto"/>
        <w:bottom w:val="none" w:sz="0" w:space="0" w:color="auto"/>
        <w:right w:val="none" w:sz="0" w:space="0" w:color="auto"/>
      </w:divBdr>
    </w:div>
    <w:div w:id="1082797960">
      <w:bodyDiv w:val="1"/>
      <w:marLeft w:val="0"/>
      <w:marRight w:val="0"/>
      <w:marTop w:val="0"/>
      <w:marBottom w:val="0"/>
      <w:divBdr>
        <w:top w:val="none" w:sz="0" w:space="0" w:color="auto"/>
        <w:left w:val="none" w:sz="0" w:space="0" w:color="auto"/>
        <w:bottom w:val="none" w:sz="0" w:space="0" w:color="auto"/>
        <w:right w:val="none" w:sz="0" w:space="0" w:color="auto"/>
      </w:divBdr>
    </w:div>
    <w:div w:id="1119839689">
      <w:bodyDiv w:val="1"/>
      <w:marLeft w:val="0"/>
      <w:marRight w:val="0"/>
      <w:marTop w:val="0"/>
      <w:marBottom w:val="0"/>
      <w:divBdr>
        <w:top w:val="none" w:sz="0" w:space="0" w:color="auto"/>
        <w:left w:val="none" w:sz="0" w:space="0" w:color="auto"/>
        <w:bottom w:val="none" w:sz="0" w:space="0" w:color="auto"/>
        <w:right w:val="none" w:sz="0" w:space="0" w:color="auto"/>
      </w:divBdr>
    </w:div>
    <w:div w:id="1235235530">
      <w:bodyDiv w:val="1"/>
      <w:marLeft w:val="0"/>
      <w:marRight w:val="0"/>
      <w:marTop w:val="0"/>
      <w:marBottom w:val="0"/>
      <w:divBdr>
        <w:top w:val="none" w:sz="0" w:space="0" w:color="auto"/>
        <w:left w:val="none" w:sz="0" w:space="0" w:color="auto"/>
        <w:bottom w:val="none" w:sz="0" w:space="0" w:color="auto"/>
        <w:right w:val="none" w:sz="0" w:space="0" w:color="auto"/>
      </w:divBdr>
    </w:div>
    <w:div w:id="1257523330">
      <w:bodyDiv w:val="1"/>
      <w:marLeft w:val="0"/>
      <w:marRight w:val="0"/>
      <w:marTop w:val="0"/>
      <w:marBottom w:val="0"/>
      <w:divBdr>
        <w:top w:val="none" w:sz="0" w:space="0" w:color="auto"/>
        <w:left w:val="none" w:sz="0" w:space="0" w:color="auto"/>
        <w:bottom w:val="none" w:sz="0" w:space="0" w:color="auto"/>
        <w:right w:val="none" w:sz="0" w:space="0" w:color="auto"/>
      </w:divBdr>
    </w:div>
    <w:div w:id="1264461451">
      <w:bodyDiv w:val="1"/>
      <w:marLeft w:val="0"/>
      <w:marRight w:val="0"/>
      <w:marTop w:val="0"/>
      <w:marBottom w:val="0"/>
      <w:divBdr>
        <w:top w:val="none" w:sz="0" w:space="0" w:color="auto"/>
        <w:left w:val="none" w:sz="0" w:space="0" w:color="auto"/>
        <w:bottom w:val="none" w:sz="0" w:space="0" w:color="auto"/>
        <w:right w:val="none" w:sz="0" w:space="0" w:color="auto"/>
      </w:divBdr>
    </w:div>
    <w:div w:id="1332023453">
      <w:bodyDiv w:val="1"/>
      <w:marLeft w:val="0"/>
      <w:marRight w:val="0"/>
      <w:marTop w:val="0"/>
      <w:marBottom w:val="0"/>
      <w:divBdr>
        <w:top w:val="none" w:sz="0" w:space="0" w:color="auto"/>
        <w:left w:val="none" w:sz="0" w:space="0" w:color="auto"/>
        <w:bottom w:val="none" w:sz="0" w:space="0" w:color="auto"/>
        <w:right w:val="none" w:sz="0" w:space="0" w:color="auto"/>
      </w:divBdr>
    </w:div>
    <w:div w:id="1424764846">
      <w:bodyDiv w:val="1"/>
      <w:marLeft w:val="0"/>
      <w:marRight w:val="0"/>
      <w:marTop w:val="0"/>
      <w:marBottom w:val="0"/>
      <w:divBdr>
        <w:top w:val="none" w:sz="0" w:space="0" w:color="auto"/>
        <w:left w:val="none" w:sz="0" w:space="0" w:color="auto"/>
        <w:bottom w:val="none" w:sz="0" w:space="0" w:color="auto"/>
        <w:right w:val="none" w:sz="0" w:space="0" w:color="auto"/>
      </w:divBdr>
    </w:div>
    <w:div w:id="1462115456">
      <w:bodyDiv w:val="1"/>
      <w:marLeft w:val="0"/>
      <w:marRight w:val="0"/>
      <w:marTop w:val="0"/>
      <w:marBottom w:val="0"/>
      <w:divBdr>
        <w:top w:val="none" w:sz="0" w:space="0" w:color="auto"/>
        <w:left w:val="none" w:sz="0" w:space="0" w:color="auto"/>
        <w:bottom w:val="none" w:sz="0" w:space="0" w:color="auto"/>
        <w:right w:val="none" w:sz="0" w:space="0" w:color="auto"/>
      </w:divBdr>
    </w:div>
    <w:div w:id="1467553042">
      <w:bodyDiv w:val="1"/>
      <w:marLeft w:val="0"/>
      <w:marRight w:val="0"/>
      <w:marTop w:val="0"/>
      <w:marBottom w:val="0"/>
      <w:divBdr>
        <w:top w:val="none" w:sz="0" w:space="0" w:color="auto"/>
        <w:left w:val="none" w:sz="0" w:space="0" w:color="auto"/>
        <w:bottom w:val="none" w:sz="0" w:space="0" w:color="auto"/>
        <w:right w:val="none" w:sz="0" w:space="0" w:color="auto"/>
      </w:divBdr>
    </w:div>
    <w:div w:id="1469589933">
      <w:bodyDiv w:val="1"/>
      <w:marLeft w:val="0"/>
      <w:marRight w:val="0"/>
      <w:marTop w:val="0"/>
      <w:marBottom w:val="0"/>
      <w:divBdr>
        <w:top w:val="none" w:sz="0" w:space="0" w:color="auto"/>
        <w:left w:val="none" w:sz="0" w:space="0" w:color="auto"/>
        <w:bottom w:val="none" w:sz="0" w:space="0" w:color="auto"/>
        <w:right w:val="none" w:sz="0" w:space="0" w:color="auto"/>
      </w:divBdr>
    </w:div>
    <w:div w:id="1485852125">
      <w:bodyDiv w:val="1"/>
      <w:marLeft w:val="0"/>
      <w:marRight w:val="0"/>
      <w:marTop w:val="0"/>
      <w:marBottom w:val="0"/>
      <w:divBdr>
        <w:top w:val="none" w:sz="0" w:space="0" w:color="auto"/>
        <w:left w:val="none" w:sz="0" w:space="0" w:color="auto"/>
        <w:bottom w:val="none" w:sz="0" w:space="0" w:color="auto"/>
        <w:right w:val="none" w:sz="0" w:space="0" w:color="auto"/>
      </w:divBdr>
    </w:div>
    <w:div w:id="1494056821">
      <w:bodyDiv w:val="1"/>
      <w:marLeft w:val="0"/>
      <w:marRight w:val="0"/>
      <w:marTop w:val="0"/>
      <w:marBottom w:val="0"/>
      <w:divBdr>
        <w:top w:val="none" w:sz="0" w:space="0" w:color="auto"/>
        <w:left w:val="none" w:sz="0" w:space="0" w:color="auto"/>
        <w:bottom w:val="none" w:sz="0" w:space="0" w:color="auto"/>
        <w:right w:val="none" w:sz="0" w:space="0" w:color="auto"/>
      </w:divBdr>
    </w:div>
    <w:div w:id="1519077013">
      <w:bodyDiv w:val="1"/>
      <w:marLeft w:val="0"/>
      <w:marRight w:val="0"/>
      <w:marTop w:val="0"/>
      <w:marBottom w:val="0"/>
      <w:divBdr>
        <w:top w:val="none" w:sz="0" w:space="0" w:color="auto"/>
        <w:left w:val="none" w:sz="0" w:space="0" w:color="auto"/>
        <w:bottom w:val="none" w:sz="0" w:space="0" w:color="auto"/>
        <w:right w:val="none" w:sz="0" w:space="0" w:color="auto"/>
      </w:divBdr>
    </w:div>
    <w:div w:id="1532454608">
      <w:bodyDiv w:val="1"/>
      <w:marLeft w:val="0"/>
      <w:marRight w:val="0"/>
      <w:marTop w:val="0"/>
      <w:marBottom w:val="0"/>
      <w:divBdr>
        <w:top w:val="none" w:sz="0" w:space="0" w:color="auto"/>
        <w:left w:val="none" w:sz="0" w:space="0" w:color="auto"/>
        <w:bottom w:val="none" w:sz="0" w:space="0" w:color="auto"/>
        <w:right w:val="none" w:sz="0" w:space="0" w:color="auto"/>
      </w:divBdr>
    </w:div>
    <w:div w:id="1547108647">
      <w:bodyDiv w:val="1"/>
      <w:marLeft w:val="0"/>
      <w:marRight w:val="0"/>
      <w:marTop w:val="0"/>
      <w:marBottom w:val="0"/>
      <w:divBdr>
        <w:top w:val="none" w:sz="0" w:space="0" w:color="auto"/>
        <w:left w:val="none" w:sz="0" w:space="0" w:color="auto"/>
        <w:bottom w:val="none" w:sz="0" w:space="0" w:color="auto"/>
        <w:right w:val="none" w:sz="0" w:space="0" w:color="auto"/>
      </w:divBdr>
    </w:div>
    <w:div w:id="1549225668">
      <w:bodyDiv w:val="1"/>
      <w:marLeft w:val="0"/>
      <w:marRight w:val="0"/>
      <w:marTop w:val="0"/>
      <w:marBottom w:val="0"/>
      <w:divBdr>
        <w:top w:val="none" w:sz="0" w:space="0" w:color="auto"/>
        <w:left w:val="none" w:sz="0" w:space="0" w:color="auto"/>
        <w:bottom w:val="none" w:sz="0" w:space="0" w:color="auto"/>
        <w:right w:val="none" w:sz="0" w:space="0" w:color="auto"/>
      </w:divBdr>
    </w:div>
    <w:div w:id="1568346120">
      <w:bodyDiv w:val="1"/>
      <w:marLeft w:val="0"/>
      <w:marRight w:val="0"/>
      <w:marTop w:val="0"/>
      <w:marBottom w:val="0"/>
      <w:divBdr>
        <w:top w:val="none" w:sz="0" w:space="0" w:color="auto"/>
        <w:left w:val="none" w:sz="0" w:space="0" w:color="auto"/>
        <w:bottom w:val="none" w:sz="0" w:space="0" w:color="auto"/>
        <w:right w:val="none" w:sz="0" w:space="0" w:color="auto"/>
      </w:divBdr>
    </w:div>
    <w:div w:id="1579443618">
      <w:bodyDiv w:val="1"/>
      <w:marLeft w:val="0"/>
      <w:marRight w:val="0"/>
      <w:marTop w:val="0"/>
      <w:marBottom w:val="0"/>
      <w:divBdr>
        <w:top w:val="none" w:sz="0" w:space="0" w:color="auto"/>
        <w:left w:val="none" w:sz="0" w:space="0" w:color="auto"/>
        <w:bottom w:val="none" w:sz="0" w:space="0" w:color="auto"/>
        <w:right w:val="none" w:sz="0" w:space="0" w:color="auto"/>
      </w:divBdr>
    </w:div>
    <w:div w:id="1655791242">
      <w:bodyDiv w:val="1"/>
      <w:marLeft w:val="0"/>
      <w:marRight w:val="0"/>
      <w:marTop w:val="0"/>
      <w:marBottom w:val="0"/>
      <w:divBdr>
        <w:top w:val="none" w:sz="0" w:space="0" w:color="auto"/>
        <w:left w:val="none" w:sz="0" w:space="0" w:color="auto"/>
        <w:bottom w:val="none" w:sz="0" w:space="0" w:color="auto"/>
        <w:right w:val="none" w:sz="0" w:space="0" w:color="auto"/>
      </w:divBdr>
    </w:div>
    <w:div w:id="1682660214">
      <w:bodyDiv w:val="1"/>
      <w:marLeft w:val="0"/>
      <w:marRight w:val="0"/>
      <w:marTop w:val="0"/>
      <w:marBottom w:val="0"/>
      <w:divBdr>
        <w:top w:val="none" w:sz="0" w:space="0" w:color="auto"/>
        <w:left w:val="none" w:sz="0" w:space="0" w:color="auto"/>
        <w:bottom w:val="none" w:sz="0" w:space="0" w:color="auto"/>
        <w:right w:val="none" w:sz="0" w:space="0" w:color="auto"/>
      </w:divBdr>
    </w:div>
    <w:div w:id="1720206401">
      <w:bodyDiv w:val="1"/>
      <w:marLeft w:val="0"/>
      <w:marRight w:val="0"/>
      <w:marTop w:val="0"/>
      <w:marBottom w:val="0"/>
      <w:divBdr>
        <w:top w:val="none" w:sz="0" w:space="0" w:color="auto"/>
        <w:left w:val="none" w:sz="0" w:space="0" w:color="auto"/>
        <w:bottom w:val="none" w:sz="0" w:space="0" w:color="auto"/>
        <w:right w:val="none" w:sz="0" w:space="0" w:color="auto"/>
      </w:divBdr>
    </w:div>
    <w:div w:id="1726029410">
      <w:bodyDiv w:val="1"/>
      <w:marLeft w:val="0"/>
      <w:marRight w:val="0"/>
      <w:marTop w:val="0"/>
      <w:marBottom w:val="0"/>
      <w:divBdr>
        <w:top w:val="none" w:sz="0" w:space="0" w:color="auto"/>
        <w:left w:val="none" w:sz="0" w:space="0" w:color="auto"/>
        <w:bottom w:val="none" w:sz="0" w:space="0" w:color="auto"/>
        <w:right w:val="none" w:sz="0" w:space="0" w:color="auto"/>
      </w:divBdr>
    </w:div>
    <w:div w:id="1752123286">
      <w:bodyDiv w:val="1"/>
      <w:marLeft w:val="0"/>
      <w:marRight w:val="0"/>
      <w:marTop w:val="0"/>
      <w:marBottom w:val="0"/>
      <w:divBdr>
        <w:top w:val="none" w:sz="0" w:space="0" w:color="auto"/>
        <w:left w:val="none" w:sz="0" w:space="0" w:color="auto"/>
        <w:bottom w:val="none" w:sz="0" w:space="0" w:color="auto"/>
        <w:right w:val="none" w:sz="0" w:space="0" w:color="auto"/>
      </w:divBdr>
    </w:div>
    <w:div w:id="1765760388">
      <w:bodyDiv w:val="1"/>
      <w:marLeft w:val="0"/>
      <w:marRight w:val="0"/>
      <w:marTop w:val="0"/>
      <w:marBottom w:val="0"/>
      <w:divBdr>
        <w:top w:val="none" w:sz="0" w:space="0" w:color="auto"/>
        <w:left w:val="none" w:sz="0" w:space="0" w:color="auto"/>
        <w:bottom w:val="none" w:sz="0" w:space="0" w:color="auto"/>
        <w:right w:val="none" w:sz="0" w:space="0" w:color="auto"/>
      </w:divBdr>
    </w:div>
    <w:div w:id="1771001492">
      <w:bodyDiv w:val="1"/>
      <w:marLeft w:val="0"/>
      <w:marRight w:val="0"/>
      <w:marTop w:val="0"/>
      <w:marBottom w:val="0"/>
      <w:divBdr>
        <w:top w:val="none" w:sz="0" w:space="0" w:color="auto"/>
        <w:left w:val="none" w:sz="0" w:space="0" w:color="auto"/>
        <w:bottom w:val="none" w:sz="0" w:space="0" w:color="auto"/>
        <w:right w:val="none" w:sz="0" w:space="0" w:color="auto"/>
      </w:divBdr>
    </w:div>
    <w:div w:id="1775899164">
      <w:bodyDiv w:val="1"/>
      <w:marLeft w:val="0"/>
      <w:marRight w:val="0"/>
      <w:marTop w:val="0"/>
      <w:marBottom w:val="0"/>
      <w:divBdr>
        <w:top w:val="none" w:sz="0" w:space="0" w:color="auto"/>
        <w:left w:val="none" w:sz="0" w:space="0" w:color="auto"/>
        <w:bottom w:val="none" w:sz="0" w:space="0" w:color="auto"/>
        <w:right w:val="none" w:sz="0" w:space="0" w:color="auto"/>
      </w:divBdr>
    </w:div>
    <w:div w:id="1801411043">
      <w:bodyDiv w:val="1"/>
      <w:marLeft w:val="0"/>
      <w:marRight w:val="0"/>
      <w:marTop w:val="0"/>
      <w:marBottom w:val="0"/>
      <w:divBdr>
        <w:top w:val="none" w:sz="0" w:space="0" w:color="auto"/>
        <w:left w:val="none" w:sz="0" w:space="0" w:color="auto"/>
        <w:bottom w:val="none" w:sz="0" w:space="0" w:color="auto"/>
        <w:right w:val="none" w:sz="0" w:space="0" w:color="auto"/>
      </w:divBdr>
    </w:div>
    <w:div w:id="1802990882">
      <w:bodyDiv w:val="1"/>
      <w:marLeft w:val="0"/>
      <w:marRight w:val="0"/>
      <w:marTop w:val="0"/>
      <w:marBottom w:val="0"/>
      <w:divBdr>
        <w:top w:val="none" w:sz="0" w:space="0" w:color="auto"/>
        <w:left w:val="none" w:sz="0" w:space="0" w:color="auto"/>
        <w:bottom w:val="none" w:sz="0" w:space="0" w:color="auto"/>
        <w:right w:val="none" w:sz="0" w:space="0" w:color="auto"/>
      </w:divBdr>
    </w:div>
    <w:div w:id="1850557586">
      <w:bodyDiv w:val="1"/>
      <w:marLeft w:val="0"/>
      <w:marRight w:val="0"/>
      <w:marTop w:val="0"/>
      <w:marBottom w:val="0"/>
      <w:divBdr>
        <w:top w:val="none" w:sz="0" w:space="0" w:color="auto"/>
        <w:left w:val="none" w:sz="0" w:space="0" w:color="auto"/>
        <w:bottom w:val="none" w:sz="0" w:space="0" w:color="auto"/>
        <w:right w:val="none" w:sz="0" w:space="0" w:color="auto"/>
      </w:divBdr>
    </w:div>
    <w:div w:id="1850943881">
      <w:bodyDiv w:val="1"/>
      <w:marLeft w:val="0"/>
      <w:marRight w:val="0"/>
      <w:marTop w:val="0"/>
      <w:marBottom w:val="0"/>
      <w:divBdr>
        <w:top w:val="none" w:sz="0" w:space="0" w:color="auto"/>
        <w:left w:val="none" w:sz="0" w:space="0" w:color="auto"/>
        <w:bottom w:val="none" w:sz="0" w:space="0" w:color="auto"/>
        <w:right w:val="none" w:sz="0" w:space="0" w:color="auto"/>
      </w:divBdr>
    </w:div>
    <w:div w:id="1872373942">
      <w:bodyDiv w:val="1"/>
      <w:marLeft w:val="0"/>
      <w:marRight w:val="0"/>
      <w:marTop w:val="0"/>
      <w:marBottom w:val="0"/>
      <w:divBdr>
        <w:top w:val="none" w:sz="0" w:space="0" w:color="auto"/>
        <w:left w:val="none" w:sz="0" w:space="0" w:color="auto"/>
        <w:bottom w:val="none" w:sz="0" w:space="0" w:color="auto"/>
        <w:right w:val="none" w:sz="0" w:space="0" w:color="auto"/>
      </w:divBdr>
    </w:div>
    <w:div w:id="1920746384">
      <w:bodyDiv w:val="1"/>
      <w:marLeft w:val="0"/>
      <w:marRight w:val="0"/>
      <w:marTop w:val="0"/>
      <w:marBottom w:val="0"/>
      <w:divBdr>
        <w:top w:val="none" w:sz="0" w:space="0" w:color="auto"/>
        <w:left w:val="none" w:sz="0" w:space="0" w:color="auto"/>
        <w:bottom w:val="none" w:sz="0" w:space="0" w:color="auto"/>
        <w:right w:val="none" w:sz="0" w:space="0" w:color="auto"/>
      </w:divBdr>
    </w:div>
    <w:div w:id="1928609689">
      <w:bodyDiv w:val="1"/>
      <w:marLeft w:val="0"/>
      <w:marRight w:val="0"/>
      <w:marTop w:val="0"/>
      <w:marBottom w:val="0"/>
      <w:divBdr>
        <w:top w:val="none" w:sz="0" w:space="0" w:color="auto"/>
        <w:left w:val="none" w:sz="0" w:space="0" w:color="auto"/>
        <w:bottom w:val="none" w:sz="0" w:space="0" w:color="auto"/>
        <w:right w:val="none" w:sz="0" w:space="0" w:color="auto"/>
      </w:divBdr>
    </w:div>
    <w:div w:id="1962686396">
      <w:bodyDiv w:val="1"/>
      <w:marLeft w:val="0"/>
      <w:marRight w:val="0"/>
      <w:marTop w:val="0"/>
      <w:marBottom w:val="0"/>
      <w:divBdr>
        <w:top w:val="none" w:sz="0" w:space="0" w:color="auto"/>
        <w:left w:val="none" w:sz="0" w:space="0" w:color="auto"/>
        <w:bottom w:val="none" w:sz="0" w:space="0" w:color="auto"/>
        <w:right w:val="none" w:sz="0" w:space="0" w:color="auto"/>
      </w:divBdr>
    </w:div>
    <w:div w:id="1963727060">
      <w:bodyDiv w:val="1"/>
      <w:marLeft w:val="0"/>
      <w:marRight w:val="0"/>
      <w:marTop w:val="0"/>
      <w:marBottom w:val="0"/>
      <w:divBdr>
        <w:top w:val="none" w:sz="0" w:space="0" w:color="auto"/>
        <w:left w:val="none" w:sz="0" w:space="0" w:color="auto"/>
        <w:bottom w:val="none" w:sz="0" w:space="0" w:color="auto"/>
        <w:right w:val="none" w:sz="0" w:space="0" w:color="auto"/>
      </w:divBdr>
    </w:div>
    <w:div w:id="1968048679">
      <w:bodyDiv w:val="1"/>
      <w:marLeft w:val="0"/>
      <w:marRight w:val="0"/>
      <w:marTop w:val="0"/>
      <w:marBottom w:val="0"/>
      <w:divBdr>
        <w:top w:val="none" w:sz="0" w:space="0" w:color="auto"/>
        <w:left w:val="none" w:sz="0" w:space="0" w:color="auto"/>
        <w:bottom w:val="none" w:sz="0" w:space="0" w:color="auto"/>
        <w:right w:val="none" w:sz="0" w:space="0" w:color="auto"/>
      </w:divBdr>
    </w:div>
    <w:div w:id="1973828775">
      <w:bodyDiv w:val="1"/>
      <w:marLeft w:val="0"/>
      <w:marRight w:val="0"/>
      <w:marTop w:val="0"/>
      <w:marBottom w:val="0"/>
      <w:divBdr>
        <w:top w:val="none" w:sz="0" w:space="0" w:color="auto"/>
        <w:left w:val="none" w:sz="0" w:space="0" w:color="auto"/>
        <w:bottom w:val="none" w:sz="0" w:space="0" w:color="auto"/>
        <w:right w:val="none" w:sz="0" w:space="0" w:color="auto"/>
      </w:divBdr>
    </w:div>
    <w:div w:id="1988197864">
      <w:bodyDiv w:val="1"/>
      <w:marLeft w:val="0"/>
      <w:marRight w:val="0"/>
      <w:marTop w:val="0"/>
      <w:marBottom w:val="0"/>
      <w:divBdr>
        <w:top w:val="none" w:sz="0" w:space="0" w:color="auto"/>
        <w:left w:val="none" w:sz="0" w:space="0" w:color="auto"/>
        <w:bottom w:val="none" w:sz="0" w:space="0" w:color="auto"/>
        <w:right w:val="none" w:sz="0" w:space="0" w:color="auto"/>
      </w:divBdr>
    </w:div>
    <w:div w:id="2034110241">
      <w:bodyDiv w:val="1"/>
      <w:marLeft w:val="0"/>
      <w:marRight w:val="0"/>
      <w:marTop w:val="0"/>
      <w:marBottom w:val="0"/>
      <w:divBdr>
        <w:top w:val="none" w:sz="0" w:space="0" w:color="auto"/>
        <w:left w:val="none" w:sz="0" w:space="0" w:color="auto"/>
        <w:bottom w:val="none" w:sz="0" w:space="0" w:color="auto"/>
        <w:right w:val="none" w:sz="0" w:space="0" w:color="auto"/>
      </w:divBdr>
    </w:div>
    <w:div w:id="20373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Data" Target="diagrams/data1.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5.xml"/><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chart" Target="charts/chart10.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cecilia.frech@g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8i2.1"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Arribo</a:t>
            </a:r>
            <a:r>
              <a:rPr lang="en-US" sz="1100" b="1" baseline="0"/>
              <a:t> de visitantes a la Macrorregión Sur</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1"/>
          <c:tx>
            <c:strRef>
              <c:f>'Visitantes MN vs MS'!$A$45:$B$45</c:f>
              <c:strCache>
                <c:ptCount val="2"/>
                <c:pt idx="0">
                  <c:v>Apurímac</c:v>
                </c:pt>
              </c:strCache>
            </c:strRef>
          </c:tx>
          <c:spPr>
            <a:solidFill>
              <a:schemeClr val="accent2"/>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MS'!$D$45:$E$45,'Visitantes MN vs MS'!$G$45:$H$45,'Visitantes MN vs MS'!$J$45:$K$45)</c:f>
              <c:numCache>
                <c:formatCode>\-</c:formatCode>
                <c:ptCount val="6"/>
                <c:pt idx="0" formatCode="#\ ###\ ##0\ ">
                  <c:v>11235</c:v>
                </c:pt>
                <c:pt idx="1">
                  <c:v>0</c:v>
                </c:pt>
                <c:pt idx="2" formatCode="#\ ###\ ##0\ ">
                  <c:v>11470</c:v>
                </c:pt>
                <c:pt idx="3" formatCode="0">
                  <c:v>270</c:v>
                </c:pt>
                <c:pt idx="4" formatCode="#\ ###\ ##0\ ">
                  <c:v>10648</c:v>
                </c:pt>
                <c:pt idx="5" formatCode="General">
                  <c:v>166</c:v>
                </c:pt>
              </c:numCache>
              <c:extLst/>
            </c:numRef>
          </c:val>
          <c:extLst>
            <c:ext xmlns:c16="http://schemas.microsoft.com/office/drawing/2014/chart" uri="{C3380CC4-5D6E-409C-BE32-E72D297353CC}">
              <c16:uniqueId val="{00000000-B528-44B9-8A19-B7FD5043319E}"/>
            </c:ext>
          </c:extLst>
        </c:ser>
        <c:ser>
          <c:idx val="2"/>
          <c:order val="2"/>
          <c:tx>
            <c:strRef>
              <c:f>'Visitantes MN vs MS'!$A$46:$B$46</c:f>
              <c:strCache>
                <c:ptCount val="2"/>
                <c:pt idx="0">
                  <c:v>Arequipa</c:v>
                </c:pt>
              </c:strCache>
            </c:strRef>
          </c:tx>
          <c:spPr>
            <a:solidFill>
              <a:schemeClr val="accent3"/>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MS'!$D$46:$E$46,'Visitantes MN vs MS'!$G$46:$H$46,'Visitantes MN vs MS'!$J$46:$K$46)</c:f>
              <c:numCache>
                <c:formatCode>0</c:formatCode>
                <c:ptCount val="6"/>
                <c:pt idx="0" formatCode="#\ ###\ ##0\ ">
                  <c:v>1432347</c:v>
                </c:pt>
                <c:pt idx="1">
                  <c:v>353382</c:v>
                </c:pt>
                <c:pt idx="2" formatCode="#\ ###\ ##0\ ">
                  <c:v>1645570</c:v>
                </c:pt>
                <c:pt idx="3">
                  <c:v>384648</c:v>
                </c:pt>
                <c:pt idx="4" formatCode="#\ ###\ ##0\ ">
                  <c:v>1786965</c:v>
                </c:pt>
                <c:pt idx="5">
                  <c:v>437959</c:v>
                </c:pt>
              </c:numCache>
              <c:extLst/>
            </c:numRef>
          </c:val>
          <c:extLst>
            <c:ext xmlns:c16="http://schemas.microsoft.com/office/drawing/2014/chart" uri="{C3380CC4-5D6E-409C-BE32-E72D297353CC}">
              <c16:uniqueId val="{00000001-B528-44B9-8A19-B7FD5043319E}"/>
            </c:ext>
          </c:extLst>
        </c:ser>
        <c:ser>
          <c:idx val="4"/>
          <c:order val="4"/>
          <c:tx>
            <c:strRef>
              <c:f>'Visitantes MN vs MS'!$A$48:$B$48</c:f>
              <c:strCache>
                <c:ptCount val="2"/>
                <c:pt idx="0">
                  <c:v>Cusco</c:v>
                </c:pt>
              </c:strCache>
            </c:strRef>
          </c:tx>
          <c:spPr>
            <a:solidFill>
              <a:schemeClr val="accent5"/>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MS'!$D$48:$E$48,'Visitantes MN vs MS'!$G$48:$H$48,'Visitantes MN vs MS'!$J$48:$K$48)</c:f>
              <c:numCache>
                <c:formatCode>#\ ###\ ##0\ </c:formatCode>
                <c:ptCount val="6"/>
                <c:pt idx="0">
                  <c:v>684312</c:v>
                </c:pt>
                <c:pt idx="1">
                  <c:v>1583054</c:v>
                </c:pt>
                <c:pt idx="2">
                  <c:v>740533</c:v>
                </c:pt>
                <c:pt idx="3">
                  <c:v>1772472</c:v>
                </c:pt>
                <c:pt idx="4">
                  <c:v>771493</c:v>
                </c:pt>
                <c:pt idx="5">
                  <c:v>1804849</c:v>
                </c:pt>
              </c:numCache>
              <c:extLst/>
            </c:numRef>
          </c:val>
          <c:extLst>
            <c:ext xmlns:c16="http://schemas.microsoft.com/office/drawing/2014/chart" uri="{C3380CC4-5D6E-409C-BE32-E72D297353CC}">
              <c16:uniqueId val="{00000002-B528-44B9-8A19-B7FD5043319E}"/>
            </c:ext>
          </c:extLst>
        </c:ser>
        <c:ser>
          <c:idx val="6"/>
          <c:order val="6"/>
          <c:tx>
            <c:strRef>
              <c:f>'Visitantes MN vs MS'!$A$50:$B$50</c:f>
              <c:strCache>
                <c:ptCount val="2"/>
                <c:pt idx="0">
                  <c:v>Moquegua</c:v>
                </c:pt>
              </c:strCache>
            </c:strRef>
          </c:tx>
          <c:spPr>
            <a:solidFill>
              <a:schemeClr val="accent1">
                <a:lumMod val="60000"/>
              </a:schemeClr>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MS'!$D$50:$E$50,'Visitantes MN vs MS'!$G$50:$H$50,'Visitantes MN vs MS'!$J$50:$K$50)</c:f>
              <c:numCache>
                <c:formatCode>General</c:formatCode>
                <c:ptCount val="6"/>
                <c:pt idx="0">
                  <c:v>204299</c:v>
                </c:pt>
                <c:pt idx="1">
                  <c:v>12506</c:v>
                </c:pt>
                <c:pt idx="2">
                  <c:v>224987</c:v>
                </c:pt>
                <c:pt idx="3">
                  <c:v>13112</c:v>
                </c:pt>
                <c:pt idx="4">
                  <c:v>247642</c:v>
                </c:pt>
                <c:pt idx="5">
                  <c:v>15515</c:v>
                </c:pt>
              </c:numCache>
              <c:extLst/>
            </c:numRef>
          </c:val>
          <c:extLst>
            <c:ext xmlns:c16="http://schemas.microsoft.com/office/drawing/2014/chart" uri="{C3380CC4-5D6E-409C-BE32-E72D297353CC}">
              <c16:uniqueId val="{00000003-B528-44B9-8A19-B7FD5043319E}"/>
            </c:ext>
          </c:extLst>
        </c:ser>
        <c:ser>
          <c:idx val="7"/>
          <c:order val="7"/>
          <c:tx>
            <c:strRef>
              <c:f>'Visitantes MN vs MS'!$A$51:$B$51</c:f>
              <c:strCache>
                <c:ptCount val="2"/>
                <c:pt idx="0">
                  <c:v>Puno</c:v>
                </c:pt>
              </c:strCache>
            </c:strRef>
          </c:tx>
          <c:spPr>
            <a:solidFill>
              <a:schemeClr val="accent2">
                <a:lumMod val="60000"/>
              </a:schemeClr>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MS'!$D$51:$E$51,'Visitantes MN vs MS'!$G$51:$H$51,'Visitantes MN vs MS'!$J$51:$K$51)</c:f>
              <c:numCache>
                <c:formatCode>#\ ###\ ##0\ </c:formatCode>
                <c:ptCount val="6"/>
                <c:pt idx="0">
                  <c:v>37579</c:v>
                </c:pt>
                <c:pt idx="1">
                  <c:v>117138</c:v>
                </c:pt>
                <c:pt idx="2">
                  <c:v>42531</c:v>
                </c:pt>
                <c:pt idx="3">
                  <c:v>118245</c:v>
                </c:pt>
                <c:pt idx="4">
                  <c:v>45733</c:v>
                </c:pt>
                <c:pt idx="5">
                  <c:v>112647</c:v>
                </c:pt>
              </c:numCache>
              <c:extLst/>
            </c:numRef>
          </c:val>
          <c:extLst>
            <c:ext xmlns:c16="http://schemas.microsoft.com/office/drawing/2014/chart" uri="{C3380CC4-5D6E-409C-BE32-E72D297353CC}">
              <c16:uniqueId val="{00000004-B528-44B9-8A19-B7FD5043319E}"/>
            </c:ext>
          </c:extLst>
        </c:ser>
        <c:ser>
          <c:idx val="9"/>
          <c:order val="9"/>
          <c:tx>
            <c:strRef>
              <c:f>'Visitantes MN vs MS'!$A$53:$B$53</c:f>
              <c:strCache>
                <c:ptCount val="2"/>
                <c:pt idx="0">
                  <c:v>Tacna</c:v>
                </c:pt>
              </c:strCache>
            </c:strRef>
          </c:tx>
          <c:spPr>
            <a:solidFill>
              <a:schemeClr val="accent4">
                <a:lumMod val="60000"/>
              </a:schemeClr>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MS'!$D$53:$E$53,'Visitantes MN vs MS'!$G$53:$H$53,'Visitantes MN vs MS'!$J$53:$K$53)</c:f>
              <c:numCache>
                <c:formatCode>#\ ###\ ##0\ </c:formatCode>
                <c:ptCount val="6"/>
                <c:pt idx="0">
                  <c:v>420179</c:v>
                </c:pt>
                <c:pt idx="1">
                  <c:v>282225</c:v>
                </c:pt>
                <c:pt idx="2">
                  <c:v>377311</c:v>
                </c:pt>
                <c:pt idx="3">
                  <c:v>315475</c:v>
                </c:pt>
                <c:pt idx="4">
                  <c:v>364153</c:v>
                </c:pt>
                <c:pt idx="5">
                  <c:v>242143</c:v>
                </c:pt>
              </c:numCache>
              <c:extLst/>
            </c:numRef>
          </c:val>
          <c:extLst>
            <c:ext xmlns:c16="http://schemas.microsoft.com/office/drawing/2014/chart" uri="{C3380CC4-5D6E-409C-BE32-E72D297353CC}">
              <c16:uniqueId val="{00000005-B528-44B9-8A19-B7FD5043319E}"/>
            </c:ext>
          </c:extLst>
        </c:ser>
        <c:ser>
          <c:idx val="11"/>
          <c:order val="11"/>
          <c:tx>
            <c:strRef>
              <c:f>'Visitantes MN vs MS'!$A$55:$B$55</c:f>
              <c:strCache>
                <c:ptCount val="2"/>
                <c:pt idx="0">
                  <c:v>Madre de Dios</c:v>
                </c:pt>
              </c:strCache>
            </c:strRef>
          </c:tx>
          <c:spPr>
            <a:solidFill>
              <a:schemeClr val="accent6">
                <a:lumMod val="60000"/>
              </a:schemeClr>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MS'!$D$55:$E$55,'Visitantes MN vs MS'!$G$55:$H$55,'Visitantes MN vs MS'!$J$55:$K$55)</c:f>
              <c:numCache>
                <c:formatCode>#\ ###\ ##0\ </c:formatCode>
                <c:ptCount val="6"/>
                <c:pt idx="0">
                  <c:v>356264</c:v>
                </c:pt>
                <c:pt idx="1">
                  <c:v>86412</c:v>
                </c:pt>
                <c:pt idx="2">
                  <c:v>379249</c:v>
                </c:pt>
                <c:pt idx="3">
                  <c:v>101899</c:v>
                </c:pt>
                <c:pt idx="4">
                  <c:v>375035</c:v>
                </c:pt>
                <c:pt idx="5">
                  <c:v>110100</c:v>
                </c:pt>
              </c:numCache>
              <c:extLst/>
            </c:numRef>
          </c:val>
          <c:extLst>
            <c:ext xmlns:c16="http://schemas.microsoft.com/office/drawing/2014/chart" uri="{C3380CC4-5D6E-409C-BE32-E72D297353CC}">
              <c16:uniqueId val="{00000006-B528-44B9-8A19-B7FD5043319E}"/>
            </c:ext>
          </c:extLst>
        </c:ser>
        <c:dLbls>
          <c:showLegendKey val="0"/>
          <c:showVal val="0"/>
          <c:showCatName val="0"/>
          <c:showSerName val="0"/>
          <c:showPercent val="0"/>
          <c:showBubbleSize val="0"/>
        </c:dLbls>
        <c:gapWidth val="219"/>
        <c:overlap val="-27"/>
        <c:axId val="1547130880"/>
        <c:axId val="1547123200"/>
        <c:extLst>
          <c:ext xmlns:c15="http://schemas.microsoft.com/office/drawing/2012/chart" uri="{02D57815-91ED-43cb-92C2-25804820EDAC}">
            <c15:filteredBarSeries>
              <c15:ser>
                <c:idx val="0"/>
                <c:order val="0"/>
                <c:tx>
                  <c:strRef>
                    <c:extLst>
                      <c:ext uri="{02D57815-91ED-43cb-92C2-25804820EDAC}">
                        <c15:formulaRef>
                          <c15:sqref>'Visitantes MN vs MS'!$A$44:$B$44</c15:sqref>
                        </c15:formulaRef>
                      </c:ext>
                    </c:extLst>
                    <c:strCache>
                      <c:ptCount val="2"/>
                      <c:pt idx="0">
                        <c:v>Región</c:v>
                      </c:pt>
                      <c:pt idx="1">
                        <c:v>Sitio Turístico</c:v>
                      </c:pt>
                    </c:strCache>
                  </c:strRef>
                </c:tx>
                <c:spPr>
                  <a:solidFill>
                    <a:schemeClr val="accent1"/>
                  </a:solidFill>
                  <a:ln>
                    <a:noFill/>
                  </a:ln>
                  <a:effectLst/>
                </c:spPr>
                <c:invertIfNegative val="0"/>
                <c:cat>
                  <c:strRef>
                    <c:extLst>
                      <c:ex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c:ext uri="{02D57815-91ED-43cb-92C2-25804820EDAC}">
                        <c15:formulaRef>
                          <c15:sqref>('Visitantes MN vs MS'!$D$44:$E$44,'Visitantes MN vs MS'!$G$44:$H$44,'Visitantes MN vs MS'!$J$44:$K$44)</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7-B528-44B9-8A19-B7FD5043319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'Visitantes MN vs MS'!$A$47:$B$47</c15:sqref>
                        </c15:formulaRef>
                      </c:ext>
                    </c:extLst>
                    <c:strCache>
                      <c:ptCount val="2"/>
                      <c:pt idx="0">
                        <c:v>Arequipa</c:v>
                      </c:pt>
                      <c:pt idx="1">
                        <c:v>Monasterio Santa Catalina</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MS'!$D$47:$E$47,'Visitantes MN vs MS'!$G$47:$H$47,'Visitantes MN vs MS'!$J$47:$K$47)</c15:sqref>
                        </c15:formulaRef>
                      </c:ext>
                    </c:extLst>
                    <c:numCache>
                      <c:formatCode>#\ ###\ ##0\ </c:formatCode>
                      <c:ptCount val="6"/>
                      <c:pt idx="0">
                        <c:v>54324</c:v>
                      </c:pt>
                      <c:pt idx="1">
                        <c:v>149618</c:v>
                      </c:pt>
                      <c:pt idx="2">
                        <c:v>75292</c:v>
                      </c:pt>
                      <c:pt idx="3">
                        <c:v>163177</c:v>
                      </c:pt>
                      <c:pt idx="4">
                        <c:v>74919</c:v>
                      </c:pt>
                      <c:pt idx="5">
                        <c:v>173377</c:v>
                      </c:pt>
                    </c:numCache>
                  </c:numRef>
                </c:val>
                <c:extLst xmlns:c15="http://schemas.microsoft.com/office/drawing/2012/chart">
                  <c:ext xmlns:c16="http://schemas.microsoft.com/office/drawing/2014/chart" uri="{C3380CC4-5D6E-409C-BE32-E72D297353CC}">
                    <c16:uniqueId val="{00000008-B528-44B9-8A19-B7FD5043319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'Visitantes MN vs MS'!$A$49:$B$49</c15:sqref>
                        </c15:formulaRef>
                      </c:ext>
                    </c:extLst>
                    <c:strCache>
                      <c:ptCount val="2"/>
                      <c:pt idx="0">
                        <c:v>Cusco</c:v>
                      </c:pt>
                      <c:pt idx="1">
                        <c:v>Machupichu</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MS'!$D$49:$E$49,'Visitantes MN vs MS'!$G$49:$H$49,'Visitantes MN vs MS'!$J$49:$K$49)</c15:sqref>
                        </c15:formulaRef>
                      </c:ext>
                    </c:extLst>
                    <c:numCache>
                      <c:formatCode>#\ ###\ ##0\ </c:formatCode>
                      <c:ptCount val="6"/>
                      <c:pt idx="0">
                        <c:v>338891</c:v>
                      </c:pt>
                      <c:pt idx="1">
                        <c:v>994152</c:v>
                      </c:pt>
                      <c:pt idx="2">
                        <c:v>348061</c:v>
                      </c:pt>
                      <c:pt idx="3">
                        <c:v>1144267</c:v>
                      </c:pt>
                      <c:pt idx="4">
                        <c:v>368208</c:v>
                      </c:pt>
                      <c:pt idx="5">
                        <c:v>1137226</c:v>
                      </c:pt>
                    </c:numCache>
                  </c:numRef>
                </c:val>
                <c:extLst xmlns:c15="http://schemas.microsoft.com/office/drawing/2012/chart">
                  <c:ext xmlns:c16="http://schemas.microsoft.com/office/drawing/2014/chart" uri="{C3380CC4-5D6E-409C-BE32-E72D297353CC}">
                    <c16:uniqueId val="{00000009-B528-44B9-8A19-B7FD5043319E}"/>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'Visitantes MN vs MS'!$A$52:$B$52</c15:sqref>
                        </c15:formulaRef>
                      </c:ext>
                    </c:extLst>
                    <c:strCache>
                      <c:ptCount val="2"/>
                      <c:pt idx="0">
                        <c:v>Puno</c:v>
                      </c:pt>
                      <c:pt idx="1">
                        <c:v>RN Lago Titicaca</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MS'!$D$52:$E$52,'Visitantes MN vs MS'!$G$52:$H$52,'Visitantes MN vs MS'!$J$52:$K$52)</c15:sqref>
                        </c15:formulaRef>
                      </c:ext>
                    </c:extLst>
                    <c:numCache>
                      <c:formatCode>#\ ###\ ##0\ </c:formatCode>
                      <c:ptCount val="6"/>
                      <c:pt idx="0">
                        <c:v>39212</c:v>
                      </c:pt>
                      <c:pt idx="1">
                        <c:v>155483</c:v>
                      </c:pt>
                      <c:pt idx="2">
                        <c:v>33527</c:v>
                      </c:pt>
                      <c:pt idx="3">
                        <c:v>113092</c:v>
                      </c:pt>
                      <c:pt idx="4">
                        <c:v>46092</c:v>
                      </c:pt>
                      <c:pt idx="5">
                        <c:v>140859</c:v>
                      </c:pt>
                    </c:numCache>
                  </c:numRef>
                </c:val>
                <c:extLst xmlns:c15="http://schemas.microsoft.com/office/drawing/2012/chart">
                  <c:ext xmlns:c16="http://schemas.microsoft.com/office/drawing/2014/chart" uri="{C3380CC4-5D6E-409C-BE32-E72D297353CC}">
                    <c16:uniqueId val="{0000000A-B528-44B9-8A19-B7FD5043319E}"/>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'Visitantes MN vs MS'!$A$54:$B$54</c15:sqref>
                        </c15:formulaRef>
                      </c:ext>
                    </c:extLst>
                    <c:strCache>
                      <c:ptCount val="2"/>
                      <c:pt idx="0">
                        <c:v>Tacna</c:v>
                      </c:pt>
                      <c:pt idx="1">
                        <c:v>Museo Historico Regional</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MS'!$D$54:$E$54,'Visitantes MN vs MS'!$G$54:$H$54,'Visitantes MN vs MS'!$J$54:$K$54)</c15:sqref>
                        </c15:formulaRef>
                      </c:ext>
                    </c:extLst>
                    <c:numCache>
                      <c:formatCode>#\ ###\ ##0\ </c:formatCode>
                      <c:ptCount val="6"/>
                      <c:pt idx="0">
                        <c:v>1566</c:v>
                      </c:pt>
                      <c:pt idx="1">
                        <c:v>590</c:v>
                      </c:pt>
                      <c:pt idx="2">
                        <c:v>1223</c:v>
                      </c:pt>
                      <c:pt idx="3">
                        <c:v>1150</c:v>
                      </c:pt>
                      <c:pt idx="4">
                        <c:v>820</c:v>
                      </c:pt>
                      <c:pt idx="5">
                        <c:v>1063</c:v>
                      </c:pt>
                    </c:numCache>
                  </c:numRef>
                </c:val>
                <c:extLst xmlns:c15="http://schemas.microsoft.com/office/drawing/2012/chart">
                  <c:ext xmlns:c16="http://schemas.microsoft.com/office/drawing/2014/chart" uri="{C3380CC4-5D6E-409C-BE32-E72D297353CC}">
                    <c16:uniqueId val="{0000000B-B528-44B9-8A19-B7FD5043319E}"/>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'Visitantes MN vs MS'!$A$56:$B$56</c15:sqref>
                        </c15:formulaRef>
                      </c:ext>
                    </c:extLst>
                    <c:strCache>
                      <c:ptCount val="2"/>
                      <c:pt idx="0">
                        <c:v>Madre de Dios</c:v>
                      </c:pt>
                      <c:pt idx="1">
                        <c:v>RN Tambopata</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MS'!$D$56:$E$56,'Visitantes MN vs MS'!$G$56:$H$56,'Visitantes MN vs MS'!$J$56:$K$56)</c15:sqref>
                        </c15:formulaRef>
                      </c:ext>
                    </c:extLst>
                    <c:numCache>
                      <c:formatCode>General</c:formatCode>
                      <c:ptCount val="6"/>
                      <c:pt idx="0">
                        <c:v>8571</c:v>
                      </c:pt>
                      <c:pt idx="1">
                        <c:v>46571</c:v>
                      </c:pt>
                      <c:pt idx="2">
                        <c:v>11035</c:v>
                      </c:pt>
                      <c:pt idx="3">
                        <c:v>53325</c:v>
                      </c:pt>
                      <c:pt idx="4">
                        <c:v>10851</c:v>
                      </c:pt>
                      <c:pt idx="5">
                        <c:v>54609</c:v>
                      </c:pt>
                    </c:numCache>
                  </c:numRef>
                </c:val>
                <c:extLst xmlns:c15="http://schemas.microsoft.com/office/drawing/2012/chart">
                  <c:ext xmlns:c16="http://schemas.microsoft.com/office/drawing/2014/chart" uri="{C3380CC4-5D6E-409C-BE32-E72D297353CC}">
                    <c16:uniqueId val="{0000000C-B528-44B9-8A19-B7FD5043319E}"/>
                  </c:ext>
                </c:extLst>
              </c15:ser>
            </c15:filteredBarSeries>
          </c:ext>
        </c:extLst>
      </c:barChart>
      <c:catAx>
        <c:axId val="1547130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Nacionales - E: Extranjeros</a:t>
                </a:r>
              </a:p>
            </c:rich>
          </c:tx>
          <c:layout>
            <c:manualLayout>
              <c:xMode val="edge"/>
              <c:yMode val="edge"/>
              <c:x val="0.36253542535502514"/>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7123200"/>
        <c:crosses val="autoZero"/>
        <c:auto val="1"/>
        <c:lblAlgn val="ctr"/>
        <c:lblOffset val="100"/>
        <c:noMultiLvlLbl val="0"/>
      </c:catAx>
      <c:valAx>
        <c:axId val="1547123200"/>
        <c:scaling>
          <c:orientation val="minMax"/>
        </c:scaling>
        <c:delete val="0"/>
        <c:axPos val="l"/>
        <c:numFmt formatCode="#\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47130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bg1">
                    <a:lumMod val="50000"/>
                  </a:schemeClr>
                </a:solidFill>
                <a:latin typeface="+mn-lt"/>
                <a:ea typeface="+mn-ea"/>
                <a:cs typeface="+mn-cs"/>
              </a:defRPr>
            </a:pPr>
            <a:r>
              <a:rPr lang="en-US" sz="1200" b="1">
                <a:solidFill>
                  <a:schemeClr val="bg1">
                    <a:lumMod val="50000"/>
                  </a:schemeClr>
                </a:solidFill>
              </a:rPr>
              <a:t>ICTD - Subíndice Ambiente</a:t>
            </a:r>
            <a:r>
              <a:rPr lang="en-US" sz="1200" b="1" baseline="0">
                <a:solidFill>
                  <a:schemeClr val="bg1">
                    <a:lumMod val="50000"/>
                  </a:schemeClr>
                </a:solidFill>
              </a:rPr>
              <a:t> Apto y condicion de las viviendas en ciertas zonas turísticas rurales del Perú </a:t>
            </a:r>
            <a:endParaRPr lang="en-US" sz="1200" b="1">
              <a:solidFill>
                <a:schemeClr val="bg1">
                  <a:lumMod val="50000"/>
                </a:schemeClr>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bg1">
                  <a:lumMod val="50000"/>
                </a:schemeClr>
              </a:solidFill>
              <a:latin typeface="+mn-lt"/>
              <a:ea typeface="+mn-ea"/>
              <a:cs typeface="+mn-cs"/>
            </a:defRPr>
          </a:pPr>
          <a:endParaRPr lang="es-ES"/>
        </a:p>
      </c:txPr>
    </c:title>
    <c:autoTitleDeleted val="0"/>
    <c:plotArea>
      <c:layout>
        <c:manualLayout>
          <c:layoutTarget val="inner"/>
          <c:xMode val="edge"/>
          <c:yMode val="edge"/>
          <c:x val="5.3804623067829467E-2"/>
          <c:y val="0.16698480871709218"/>
          <c:w val="0.68124497996164401"/>
          <c:h val="0.54724059492563426"/>
        </c:manualLayout>
      </c:layout>
      <c:lineChart>
        <c:grouping val="standard"/>
        <c:varyColors val="0"/>
        <c:ser>
          <c:idx val="0"/>
          <c:order val="0"/>
          <c:tx>
            <c:strRef>
              <c:f>Hoja1!$G$6</c:f>
              <c:strCache>
                <c:ptCount val="1"/>
                <c:pt idx="0">
                  <c:v>ICTD - Subíndice Ambiente Apto</c:v>
                </c:pt>
              </c:strCache>
            </c:strRef>
          </c:tx>
          <c:spPr>
            <a:ln w="31750" cap="rnd">
              <a:solidFill>
                <a:schemeClr val="accent6">
                  <a:lumMod val="60000"/>
                  <a:lumOff val="40000"/>
                </a:schemeClr>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Hoja1!$G$7:$G$24</c:f>
              <c:numCache>
                <c:formatCode>0.00</c:formatCode>
                <c:ptCount val="18"/>
                <c:pt idx="0">
                  <c:v>0.66</c:v>
                </c:pt>
                <c:pt idx="1">
                  <c:v>0.66</c:v>
                </c:pt>
                <c:pt idx="2">
                  <c:v>0.66</c:v>
                </c:pt>
                <c:pt idx="3">
                  <c:v>0.66</c:v>
                </c:pt>
                <c:pt idx="4">
                  <c:v>0.66</c:v>
                </c:pt>
                <c:pt idx="5">
                  <c:v>0.66</c:v>
                </c:pt>
                <c:pt idx="6">
                  <c:v>0.53</c:v>
                </c:pt>
                <c:pt idx="7">
                  <c:v>0.51</c:v>
                </c:pt>
                <c:pt idx="8">
                  <c:v>0.53</c:v>
                </c:pt>
                <c:pt idx="9">
                  <c:v>0.55000000000000004</c:v>
                </c:pt>
                <c:pt idx="10">
                  <c:v>0.42</c:v>
                </c:pt>
                <c:pt idx="11">
                  <c:v>0.51</c:v>
                </c:pt>
                <c:pt idx="12">
                  <c:v>0.53</c:v>
                </c:pt>
                <c:pt idx="13">
                  <c:v>0.53</c:v>
                </c:pt>
                <c:pt idx="14">
                  <c:v>0.55000000000000004</c:v>
                </c:pt>
                <c:pt idx="15">
                  <c:v>0.42</c:v>
                </c:pt>
                <c:pt idx="16">
                  <c:v>0.53</c:v>
                </c:pt>
                <c:pt idx="17">
                  <c:v>0.42</c:v>
                </c:pt>
              </c:numCache>
            </c:numRef>
          </c:val>
          <c:smooth val="0"/>
          <c:extLst>
            <c:ext xmlns:c16="http://schemas.microsoft.com/office/drawing/2014/chart" uri="{C3380CC4-5D6E-409C-BE32-E72D297353CC}">
              <c16:uniqueId val="{00000000-CD1E-4AB5-9878-8342EB45D4DB}"/>
            </c:ext>
          </c:extLst>
        </c:ser>
        <c:ser>
          <c:idx val="1"/>
          <c:order val="1"/>
          <c:tx>
            <c:strRef>
              <c:f>Hoja1!$I$6</c:f>
              <c:strCache>
                <c:ptCount val="1"/>
                <c:pt idx="0">
                  <c:v>Proporción de viviendas con piso de tierra, 2017</c:v>
                </c:pt>
              </c:strCache>
            </c:strRef>
          </c:tx>
          <c:spPr>
            <a:ln w="19050" cap="rnd">
              <a:solidFill>
                <a:schemeClr val="accent2"/>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Hoja1!$I$7:$I$24</c:f>
              <c:numCache>
                <c:formatCode>0.0000</c:formatCode>
                <c:ptCount val="18"/>
                <c:pt idx="0">
                  <c:v>0.378328173374613</c:v>
                </c:pt>
                <c:pt idx="1">
                  <c:v>0.49935649935649934</c:v>
                </c:pt>
                <c:pt idx="2">
                  <c:v>0.70491803278688525</c:v>
                </c:pt>
                <c:pt idx="3">
                  <c:v>0.71255060728744934</c:v>
                </c:pt>
                <c:pt idx="4">
                  <c:v>0.89950576606260302</c:v>
                </c:pt>
                <c:pt idx="5">
                  <c:v>0.85770750988142297</c:v>
                </c:pt>
                <c:pt idx="6">
                  <c:v>0.6743878226340172</c:v>
                </c:pt>
                <c:pt idx="7">
                  <c:v>0.61415252211331584</c:v>
                </c:pt>
                <c:pt idx="8">
                  <c:v>0.73287177268137893</c:v>
                </c:pt>
                <c:pt idx="9">
                  <c:v>0.28390965188031203</c:v>
                </c:pt>
                <c:pt idx="10">
                  <c:v>0.89884216940889705</c:v>
                </c:pt>
                <c:pt idx="11">
                  <c:v>0.79308873720136519</c:v>
                </c:pt>
                <c:pt idx="12">
                  <c:v>0.77847658979734446</c:v>
                </c:pt>
                <c:pt idx="13">
                  <c:v>0.18782249742002063</c:v>
                </c:pt>
                <c:pt idx="14">
                  <c:v>0.48181631395109925</c:v>
                </c:pt>
                <c:pt idx="15">
                  <c:v>0.71739130434782605</c:v>
                </c:pt>
                <c:pt idx="16">
                  <c:v>0.24961715160796324</c:v>
                </c:pt>
                <c:pt idx="17">
                  <c:v>0.9179620034542314</c:v>
                </c:pt>
              </c:numCache>
            </c:numRef>
          </c:val>
          <c:smooth val="0"/>
          <c:extLst>
            <c:ext xmlns:c16="http://schemas.microsoft.com/office/drawing/2014/chart" uri="{C3380CC4-5D6E-409C-BE32-E72D297353CC}">
              <c16:uniqueId val="{00000001-CD1E-4AB5-9878-8342EB45D4DB}"/>
            </c:ext>
          </c:extLst>
        </c:ser>
        <c:ser>
          <c:idx val="2"/>
          <c:order val="2"/>
          <c:tx>
            <c:strRef>
              <c:f>Hoja1!$J$6</c:f>
              <c:strCache>
                <c:ptCount val="1"/>
                <c:pt idx="0">
                  <c:v>Proporción de viviendas sin electricidad, 2017</c:v>
                </c:pt>
              </c:strCache>
            </c:strRef>
          </c:tx>
          <c:spPr>
            <a:ln w="19050" cap="rnd">
              <a:solidFill>
                <a:schemeClr val="accent3"/>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Hoja1!$J$7:$J$24</c:f>
              <c:numCache>
                <c:formatCode>0.0000</c:formatCode>
                <c:ptCount val="18"/>
                <c:pt idx="0">
                  <c:v>7.1826625386996898E-2</c:v>
                </c:pt>
                <c:pt idx="1">
                  <c:v>0.27927927927927926</c:v>
                </c:pt>
                <c:pt idx="2">
                  <c:v>0.26775956284153007</c:v>
                </c:pt>
                <c:pt idx="3">
                  <c:v>0.34412955465587042</c:v>
                </c:pt>
                <c:pt idx="4">
                  <c:v>0.71828665568369032</c:v>
                </c:pt>
                <c:pt idx="5">
                  <c:v>0.30434782608695654</c:v>
                </c:pt>
                <c:pt idx="6">
                  <c:v>9.8610191925876903E-2</c:v>
                </c:pt>
                <c:pt idx="7">
                  <c:v>0.19627061917284247</c:v>
                </c:pt>
                <c:pt idx="8">
                  <c:v>0.12519832684263665</c:v>
                </c:pt>
                <c:pt idx="9">
                  <c:v>8.9358481779019672E-2</c:v>
                </c:pt>
                <c:pt idx="10">
                  <c:v>0.27178549664838514</c:v>
                </c:pt>
                <c:pt idx="11">
                  <c:v>0.23890784982935154</c:v>
                </c:pt>
                <c:pt idx="12">
                  <c:v>0.19741439552760306</c:v>
                </c:pt>
                <c:pt idx="13">
                  <c:v>0.15273477812177502</c:v>
                </c:pt>
                <c:pt idx="14">
                  <c:v>8.115882473803164E-2</c:v>
                </c:pt>
                <c:pt idx="15">
                  <c:v>8.6956521739130432E-2</c:v>
                </c:pt>
                <c:pt idx="16">
                  <c:v>3.6753445635528327E-2</c:v>
                </c:pt>
                <c:pt idx="17">
                  <c:v>0.99395509499136447</c:v>
                </c:pt>
              </c:numCache>
            </c:numRef>
          </c:val>
          <c:smooth val="0"/>
          <c:extLst>
            <c:ext xmlns:c16="http://schemas.microsoft.com/office/drawing/2014/chart" uri="{C3380CC4-5D6E-409C-BE32-E72D297353CC}">
              <c16:uniqueId val="{00000002-CD1E-4AB5-9878-8342EB45D4DB}"/>
            </c:ext>
          </c:extLst>
        </c:ser>
        <c:ser>
          <c:idx val="3"/>
          <c:order val="3"/>
          <c:tx>
            <c:strRef>
              <c:f>Hoja1!$M$6</c:f>
              <c:strCache>
                <c:ptCount val="1"/>
                <c:pt idx="0">
                  <c:v>Proporción de viviendas sin agua segura, 2017</c:v>
                </c:pt>
              </c:strCache>
            </c:strRef>
          </c:tx>
          <c:spPr>
            <a:ln w="19050" cap="rnd">
              <a:solidFill>
                <a:schemeClr val="accent4"/>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Hoja1!$M$7:$M$24</c:f>
              <c:numCache>
                <c:formatCode>0.0000</c:formatCode>
                <c:ptCount val="18"/>
                <c:pt idx="0">
                  <c:v>0.13993808049535605</c:v>
                </c:pt>
                <c:pt idx="1">
                  <c:v>1</c:v>
                </c:pt>
                <c:pt idx="2">
                  <c:v>0.92896174863387981</c:v>
                </c:pt>
                <c:pt idx="3">
                  <c:v>1</c:v>
                </c:pt>
                <c:pt idx="4">
                  <c:v>1</c:v>
                </c:pt>
                <c:pt idx="5">
                  <c:v>1</c:v>
                </c:pt>
                <c:pt idx="6">
                  <c:v>1</c:v>
                </c:pt>
                <c:pt idx="7">
                  <c:v>1</c:v>
                </c:pt>
                <c:pt idx="8">
                  <c:v>1</c:v>
                </c:pt>
                <c:pt idx="9">
                  <c:v>0.29485388287344283</c:v>
                </c:pt>
                <c:pt idx="10">
                  <c:v>1</c:v>
                </c:pt>
                <c:pt idx="11">
                  <c:v>1</c:v>
                </c:pt>
                <c:pt idx="12">
                  <c:v>1</c:v>
                </c:pt>
                <c:pt idx="13">
                  <c:v>1</c:v>
                </c:pt>
                <c:pt idx="14">
                  <c:v>0.6420793096363262</c:v>
                </c:pt>
                <c:pt idx="15">
                  <c:v>1</c:v>
                </c:pt>
                <c:pt idx="16">
                  <c:v>1</c:v>
                </c:pt>
                <c:pt idx="17">
                  <c:v>1</c:v>
                </c:pt>
              </c:numCache>
            </c:numRef>
          </c:val>
          <c:smooth val="0"/>
          <c:extLst>
            <c:ext xmlns:c16="http://schemas.microsoft.com/office/drawing/2014/chart" uri="{C3380CC4-5D6E-409C-BE32-E72D297353CC}">
              <c16:uniqueId val="{00000003-CD1E-4AB5-9878-8342EB45D4DB}"/>
            </c:ext>
          </c:extLst>
        </c:ser>
        <c:ser>
          <c:idx val="4"/>
          <c:order val="4"/>
          <c:tx>
            <c:strRef>
              <c:f>Hoja1!$N$6</c:f>
              <c:strCache>
                <c:ptCount val="1"/>
                <c:pt idx="0">
                  <c:v>Proporcion de viv. sin sshh de red pública, 2017</c:v>
                </c:pt>
              </c:strCache>
            </c:strRef>
          </c:tx>
          <c:spPr>
            <a:ln w="19050" cap="rnd">
              <a:solidFill>
                <a:schemeClr val="accent5"/>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Hoja1!$N$7:$N$24</c:f>
              <c:numCache>
                <c:formatCode>0.0000</c:formatCode>
                <c:ptCount val="18"/>
                <c:pt idx="0">
                  <c:v>6.2538699690402474E-2</c:v>
                </c:pt>
                <c:pt idx="1">
                  <c:v>0.31531531531531531</c:v>
                </c:pt>
                <c:pt idx="2">
                  <c:v>0.41256830601092898</c:v>
                </c:pt>
                <c:pt idx="3">
                  <c:v>0.95546558704453444</c:v>
                </c:pt>
                <c:pt idx="4">
                  <c:v>0.7545304777594728</c:v>
                </c:pt>
                <c:pt idx="5">
                  <c:v>0.28458498023715417</c:v>
                </c:pt>
                <c:pt idx="6">
                  <c:v>0.51422898742554601</c:v>
                </c:pt>
                <c:pt idx="7">
                  <c:v>0.3762849629452546</c:v>
                </c:pt>
                <c:pt idx="8">
                  <c:v>0.5016587335929612</c:v>
                </c:pt>
                <c:pt idx="9">
                  <c:v>0.29182675515193851</c:v>
                </c:pt>
                <c:pt idx="10">
                  <c:v>0.97501523461304085</c:v>
                </c:pt>
                <c:pt idx="11">
                  <c:v>0.53029010238907848</c:v>
                </c:pt>
                <c:pt idx="12">
                  <c:v>0.48672257162823201</c:v>
                </c:pt>
                <c:pt idx="13">
                  <c:v>0.18988648090815274</c:v>
                </c:pt>
                <c:pt idx="14">
                  <c:v>0.64372303266899522</c:v>
                </c:pt>
                <c:pt idx="15">
                  <c:v>0.37771739130434784</c:v>
                </c:pt>
                <c:pt idx="16">
                  <c:v>5.359877488514548E-2</c:v>
                </c:pt>
                <c:pt idx="17">
                  <c:v>1</c:v>
                </c:pt>
              </c:numCache>
            </c:numRef>
          </c:val>
          <c:smooth val="0"/>
          <c:extLst>
            <c:ext xmlns:c16="http://schemas.microsoft.com/office/drawing/2014/chart" uri="{C3380CC4-5D6E-409C-BE32-E72D297353CC}">
              <c16:uniqueId val="{00000004-CD1E-4AB5-9878-8342EB45D4DB}"/>
            </c:ext>
          </c:extLst>
        </c:ser>
        <c:ser>
          <c:idx val="5"/>
          <c:order val="5"/>
          <c:tx>
            <c:strRef>
              <c:f>Hoja1!$O$6</c:f>
              <c:strCache>
                <c:ptCount val="1"/>
                <c:pt idx="0">
                  <c:v>Proporción de hogares que cocinan con leña y otros, 2017</c:v>
                </c:pt>
              </c:strCache>
            </c:strRef>
          </c:tx>
          <c:spPr>
            <a:ln w="19050" cap="rnd">
              <a:solidFill>
                <a:srgbClr val="00B050"/>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Hoja1!$O$7:$O$24</c:f>
              <c:numCache>
                <c:formatCode>0.0000</c:formatCode>
                <c:ptCount val="18"/>
                <c:pt idx="0">
                  <c:v>0.34811903425042112</c:v>
                </c:pt>
                <c:pt idx="1">
                  <c:v>0.58514724711907806</c:v>
                </c:pt>
                <c:pt idx="2">
                  <c:v>0.7846153846153846</c:v>
                </c:pt>
                <c:pt idx="3">
                  <c:v>0.80155642023346307</c:v>
                </c:pt>
                <c:pt idx="4">
                  <c:v>0.88548387096774195</c:v>
                </c:pt>
                <c:pt idx="5">
                  <c:v>0.87786259541984735</c:v>
                </c:pt>
                <c:pt idx="6">
                  <c:v>0.72528160200250313</c:v>
                </c:pt>
                <c:pt idx="7">
                  <c:v>0.72475795297372059</c:v>
                </c:pt>
                <c:pt idx="8">
                  <c:v>0.74934279705573081</c:v>
                </c:pt>
                <c:pt idx="9">
                  <c:v>0.23070687418936447</c:v>
                </c:pt>
                <c:pt idx="10">
                  <c:v>0.96195652173913049</c:v>
                </c:pt>
                <c:pt idx="11">
                  <c:v>0.88294856217091944</c:v>
                </c:pt>
                <c:pt idx="12">
                  <c:v>0.87769046805603002</c:v>
                </c:pt>
                <c:pt idx="13">
                  <c:v>0.21169354838709678</c:v>
                </c:pt>
                <c:pt idx="14">
                  <c:v>0.64554221609919304</c:v>
                </c:pt>
                <c:pt idx="15">
                  <c:v>0.85974025974025969</c:v>
                </c:pt>
                <c:pt idx="16">
                  <c:v>0.15316642120765833</c:v>
                </c:pt>
                <c:pt idx="17">
                  <c:v>0.98032506415739951</c:v>
                </c:pt>
              </c:numCache>
            </c:numRef>
          </c:val>
          <c:smooth val="0"/>
          <c:extLst>
            <c:ext xmlns:c16="http://schemas.microsoft.com/office/drawing/2014/chart" uri="{C3380CC4-5D6E-409C-BE32-E72D297353CC}">
              <c16:uniqueId val="{00000005-CD1E-4AB5-9878-8342EB45D4DB}"/>
            </c:ext>
          </c:extLst>
        </c:ser>
        <c:dLbls>
          <c:showLegendKey val="0"/>
          <c:showVal val="0"/>
          <c:showCatName val="0"/>
          <c:showSerName val="0"/>
          <c:showPercent val="0"/>
          <c:showBubbleSize val="0"/>
        </c:dLbls>
        <c:smooth val="0"/>
        <c:axId val="696120319"/>
        <c:axId val="696121279"/>
      </c:lineChart>
      <c:catAx>
        <c:axId val="69612031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S" sz="800"/>
                  <a:t>1-Arequipa,</a:t>
                </a:r>
                <a:r>
                  <a:rPr lang="es-ES" sz="800" baseline="0"/>
                  <a:t> 2-Cusco, 3-Ancash, 4-La Libertad,</a:t>
                </a:r>
              </a:p>
              <a:p>
                <a:pPr>
                  <a:defRPr sz="800"/>
                </a:pPr>
                <a:r>
                  <a:rPr lang="es-ES" sz="800" baseline="0"/>
                  <a:t>5-Lambayeque, 6-Puno, 7-Amazonas</a:t>
                </a:r>
                <a:endParaRPr lang="es-ES" sz="800"/>
              </a:p>
            </c:rich>
          </c:tx>
          <c:layout>
            <c:manualLayout>
              <c:xMode val="edge"/>
              <c:yMode val="edge"/>
              <c:x val="0.75577364653043855"/>
              <c:y val="0.882831587799097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696121279"/>
        <c:crosses val="autoZero"/>
        <c:auto val="1"/>
        <c:lblAlgn val="ctr"/>
        <c:lblOffset val="100"/>
        <c:noMultiLvlLbl val="0"/>
      </c:catAx>
      <c:valAx>
        <c:axId val="6961212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96120319"/>
        <c:crosses val="autoZero"/>
        <c:crossBetween val="between"/>
      </c:valAx>
      <c:spPr>
        <a:noFill/>
        <a:ln w="25400">
          <a:noFill/>
        </a:ln>
        <a:effectLst/>
      </c:spPr>
    </c:plotArea>
    <c:legend>
      <c:legendPos val="r"/>
      <c:layout>
        <c:manualLayout>
          <c:xMode val="edge"/>
          <c:yMode val="edge"/>
          <c:x val="0.73801373322270958"/>
          <c:y val="0.16377150772820065"/>
          <c:w val="0.25535093420606242"/>
          <c:h val="0.663197725284339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Arribo de Visitantes a los principales sitios turísticos</a:t>
            </a:r>
            <a:r>
              <a:rPr lang="en-US" sz="1100" b="1" baseline="0"/>
              <a:t> en la Macrorregión  Sur</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3"/>
          <c:order val="3"/>
          <c:tx>
            <c:strRef>
              <c:f>'Visitantes MN vs MS'!$A$47:$B$47</c:f>
              <c:strCache>
                <c:ptCount val="2"/>
                <c:pt idx="0">
                  <c:v>Arequipa</c:v>
                </c:pt>
                <c:pt idx="1">
                  <c:v>Monasterio Santa Catalina</c:v>
                </c:pt>
              </c:strCache>
            </c:strRef>
          </c:tx>
          <c:spPr>
            <a:solidFill>
              <a:schemeClr val="accent4"/>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MS'!$D$47:$E$47,'Visitantes MN vs MS'!$G$47:$H$47,'Visitantes MN vs MS'!$J$47:$K$47)</c:f>
              <c:numCache>
                <c:formatCode>#\ ###\ ##0\ </c:formatCode>
                <c:ptCount val="6"/>
                <c:pt idx="0">
                  <c:v>54324</c:v>
                </c:pt>
                <c:pt idx="1">
                  <c:v>149618</c:v>
                </c:pt>
                <c:pt idx="2">
                  <c:v>75292</c:v>
                </c:pt>
                <c:pt idx="3">
                  <c:v>163177</c:v>
                </c:pt>
                <c:pt idx="4">
                  <c:v>74919</c:v>
                </c:pt>
                <c:pt idx="5">
                  <c:v>173377</c:v>
                </c:pt>
              </c:numCache>
              <c:extLst/>
            </c:numRef>
          </c:val>
          <c:extLst>
            <c:ext xmlns:c16="http://schemas.microsoft.com/office/drawing/2014/chart" uri="{C3380CC4-5D6E-409C-BE32-E72D297353CC}">
              <c16:uniqueId val="{00000000-A06E-4907-8037-57056760BDE2}"/>
            </c:ext>
          </c:extLst>
        </c:ser>
        <c:ser>
          <c:idx val="5"/>
          <c:order val="5"/>
          <c:tx>
            <c:strRef>
              <c:f>'Visitantes MN vs MS'!$A$49:$B$49</c:f>
              <c:strCache>
                <c:ptCount val="2"/>
                <c:pt idx="0">
                  <c:v>Cusco</c:v>
                </c:pt>
                <c:pt idx="1">
                  <c:v>Machupichu</c:v>
                </c:pt>
              </c:strCache>
            </c:strRef>
          </c:tx>
          <c:spPr>
            <a:solidFill>
              <a:schemeClr val="accent6"/>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MS'!$D$49:$E$49,'Visitantes MN vs MS'!$G$49:$H$49,'Visitantes MN vs MS'!$J$49:$K$49)</c:f>
              <c:numCache>
                <c:formatCode>#\ ###\ ##0\ </c:formatCode>
                <c:ptCount val="6"/>
                <c:pt idx="0">
                  <c:v>338891</c:v>
                </c:pt>
                <c:pt idx="1">
                  <c:v>994152</c:v>
                </c:pt>
                <c:pt idx="2">
                  <c:v>348061</c:v>
                </c:pt>
                <c:pt idx="3">
                  <c:v>1144267</c:v>
                </c:pt>
                <c:pt idx="4">
                  <c:v>368208</c:v>
                </c:pt>
                <c:pt idx="5">
                  <c:v>1137226</c:v>
                </c:pt>
              </c:numCache>
              <c:extLst/>
            </c:numRef>
          </c:val>
          <c:extLst>
            <c:ext xmlns:c16="http://schemas.microsoft.com/office/drawing/2014/chart" uri="{C3380CC4-5D6E-409C-BE32-E72D297353CC}">
              <c16:uniqueId val="{00000001-A06E-4907-8037-57056760BDE2}"/>
            </c:ext>
          </c:extLst>
        </c:ser>
        <c:ser>
          <c:idx val="8"/>
          <c:order val="8"/>
          <c:tx>
            <c:strRef>
              <c:f>'Visitantes MN vs MS'!$A$52:$B$52</c:f>
              <c:strCache>
                <c:ptCount val="2"/>
                <c:pt idx="0">
                  <c:v>Puno</c:v>
                </c:pt>
                <c:pt idx="1">
                  <c:v>RN Lago Titicaca</c:v>
                </c:pt>
              </c:strCache>
            </c:strRef>
          </c:tx>
          <c:spPr>
            <a:solidFill>
              <a:schemeClr val="accent3">
                <a:lumMod val="60000"/>
              </a:schemeClr>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MS'!$D$52:$E$52,'Visitantes MN vs MS'!$G$52:$H$52,'Visitantes MN vs MS'!$J$52:$K$52)</c:f>
              <c:numCache>
                <c:formatCode>#\ ###\ ##0\ </c:formatCode>
                <c:ptCount val="6"/>
                <c:pt idx="0">
                  <c:v>39212</c:v>
                </c:pt>
                <c:pt idx="1">
                  <c:v>155483</c:v>
                </c:pt>
                <c:pt idx="2">
                  <c:v>33527</c:v>
                </c:pt>
                <c:pt idx="3">
                  <c:v>113092</c:v>
                </c:pt>
                <c:pt idx="4">
                  <c:v>46092</c:v>
                </c:pt>
                <c:pt idx="5">
                  <c:v>140859</c:v>
                </c:pt>
              </c:numCache>
              <c:extLst/>
            </c:numRef>
          </c:val>
          <c:extLst>
            <c:ext xmlns:c16="http://schemas.microsoft.com/office/drawing/2014/chart" uri="{C3380CC4-5D6E-409C-BE32-E72D297353CC}">
              <c16:uniqueId val="{00000002-A06E-4907-8037-57056760BDE2}"/>
            </c:ext>
          </c:extLst>
        </c:ser>
        <c:ser>
          <c:idx val="10"/>
          <c:order val="10"/>
          <c:tx>
            <c:strRef>
              <c:f>'Visitantes MN vs MS'!$A$54:$B$54</c:f>
              <c:strCache>
                <c:ptCount val="2"/>
                <c:pt idx="0">
                  <c:v>Tacna</c:v>
                </c:pt>
                <c:pt idx="1">
                  <c:v>Museo Historico Regional</c:v>
                </c:pt>
              </c:strCache>
            </c:strRef>
          </c:tx>
          <c:spPr>
            <a:solidFill>
              <a:schemeClr val="accent5">
                <a:lumMod val="60000"/>
              </a:schemeClr>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MS'!$D$54:$E$54,'Visitantes MN vs MS'!$G$54:$H$54,'Visitantes MN vs MS'!$J$54:$K$54)</c:f>
              <c:numCache>
                <c:formatCode>#\ ###\ ##0\ </c:formatCode>
                <c:ptCount val="6"/>
                <c:pt idx="0">
                  <c:v>1566</c:v>
                </c:pt>
                <c:pt idx="1">
                  <c:v>590</c:v>
                </c:pt>
                <c:pt idx="2">
                  <c:v>1223</c:v>
                </c:pt>
                <c:pt idx="3">
                  <c:v>1150</c:v>
                </c:pt>
                <c:pt idx="4">
                  <c:v>820</c:v>
                </c:pt>
                <c:pt idx="5">
                  <c:v>1063</c:v>
                </c:pt>
              </c:numCache>
              <c:extLst/>
            </c:numRef>
          </c:val>
          <c:extLst>
            <c:ext xmlns:c16="http://schemas.microsoft.com/office/drawing/2014/chart" uri="{C3380CC4-5D6E-409C-BE32-E72D297353CC}">
              <c16:uniqueId val="{00000003-A06E-4907-8037-57056760BDE2}"/>
            </c:ext>
          </c:extLst>
        </c:ser>
        <c:ser>
          <c:idx val="12"/>
          <c:order val="12"/>
          <c:tx>
            <c:strRef>
              <c:f>'Visitantes MN vs MS'!$A$56:$B$56</c:f>
              <c:strCache>
                <c:ptCount val="2"/>
                <c:pt idx="0">
                  <c:v>Madre de Dios</c:v>
                </c:pt>
                <c:pt idx="1">
                  <c:v>RN Tambopata</c:v>
                </c:pt>
              </c:strCache>
            </c:strRef>
          </c:tx>
          <c:spPr>
            <a:solidFill>
              <a:schemeClr val="accent1">
                <a:lumMod val="80000"/>
                <a:lumOff val="20000"/>
              </a:schemeClr>
            </a:solidFill>
            <a:ln>
              <a:noFill/>
            </a:ln>
            <a:effectLst/>
          </c:spPr>
          <c:invertIfNegative val="0"/>
          <c:cat>
            <c:strRef>
              <c:f>('Visitantes MN vs MS'!$D$43:$E$43,'Visitantes MN vs MS'!$G$43:$H$43,'Visitantes MN vs MS'!$J$43:$K$43)</c:f>
              <c:strCache>
                <c:ptCount val="6"/>
                <c:pt idx="0">
                  <c:v>2017-N</c:v>
                </c:pt>
                <c:pt idx="1">
                  <c:v>2017-E</c:v>
                </c:pt>
                <c:pt idx="2">
                  <c:v>2018-N</c:v>
                </c:pt>
                <c:pt idx="3">
                  <c:v>2018-E</c:v>
                </c:pt>
                <c:pt idx="4">
                  <c:v>2019-N</c:v>
                </c:pt>
                <c:pt idx="5">
                  <c:v>2019-E</c:v>
                </c:pt>
              </c:strCache>
              <c:extLst/>
            </c:strRef>
          </c:cat>
          <c:val>
            <c:numRef>
              <c:f>('Visitantes MN vs MS'!$D$56:$E$56,'Visitantes MN vs MS'!$G$56:$H$56,'Visitantes MN vs MS'!$J$56:$K$56)</c:f>
              <c:numCache>
                <c:formatCode>General</c:formatCode>
                <c:ptCount val="6"/>
                <c:pt idx="0">
                  <c:v>8571</c:v>
                </c:pt>
                <c:pt idx="1">
                  <c:v>46571</c:v>
                </c:pt>
                <c:pt idx="2">
                  <c:v>11035</c:v>
                </c:pt>
                <c:pt idx="3">
                  <c:v>53325</c:v>
                </c:pt>
                <c:pt idx="4">
                  <c:v>10851</c:v>
                </c:pt>
                <c:pt idx="5">
                  <c:v>54609</c:v>
                </c:pt>
              </c:numCache>
              <c:extLst/>
            </c:numRef>
          </c:val>
          <c:extLst>
            <c:ext xmlns:c16="http://schemas.microsoft.com/office/drawing/2014/chart" uri="{C3380CC4-5D6E-409C-BE32-E72D297353CC}">
              <c16:uniqueId val="{00000004-A06E-4907-8037-57056760BDE2}"/>
            </c:ext>
          </c:extLst>
        </c:ser>
        <c:dLbls>
          <c:showLegendKey val="0"/>
          <c:showVal val="0"/>
          <c:showCatName val="0"/>
          <c:showSerName val="0"/>
          <c:showPercent val="0"/>
          <c:showBubbleSize val="0"/>
        </c:dLbls>
        <c:gapWidth val="219"/>
        <c:overlap val="-27"/>
        <c:axId val="1438761952"/>
        <c:axId val="1438764352"/>
        <c:extLst>
          <c:ext xmlns:c15="http://schemas.microsoft.com/office/drawing/2012/chart" uri="{02D57815-91ED-43cb-92C2-25804820EDAC}">
            <c15:filteredBarSeries>
              <c15:ser>
                <c:idx val="0"/>
                <c:order val="0"/>
                <c:tx>
                  <c:strRef>
                    <c:extLst>
                      <c:ext uri="{02D57815-91ED-43cb-92C2-25804820EDAC}">
                        <c15:formulaRef>
                          <c15:sqref>'Visitantes MN vs MS'!$A$44:$B$44</c15:sqref>
                        </c15:formulaRef>
                      </c:ext>
                    </c:extLst>
                    <c:strCache>
                      <c:ptCount val="2"/>
                      <c:pt idx="0">
                        <c:v>Región</c:v>
                      </c:pt>
                      <c:pt idx="1">
                        <c:v>Sitio Turístico</c:v>
                      </c:pt>
                    </c:strCache>
                  </c:strRef>
                </c:tx>
                <c:spPr>
                  <a:solidFill>
                    <a:schemeClr val="accent1"/>
                  </a:solidFill>
                  <a:ln>
                    <a:noFill/>
                  </a:ln>
                  <a:effectLst/>
                </c:spPr>
                <c:invertIfNegative val="0"/>
                <c:cat>
                  <c:strRef>
                    <c:extLst>
                      <c:ex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c:ext uri="{02D57815-91ED-43cb-92C2-25804820EDAC}">
                        <c15:formulaRef>
                          <c15:sqref>('Visitantes MN vs MS'!$D$44:$E$44,'Visitantes MN vs MS'!$G$44:$H$44,'Visitantes MN vs MS'!$J$44:$K$44)</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5-A06E-4907-8037-57056760BDE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'Visitantes MN vs MS'!$A$45:$B$45</c15:sqref>
                        </c15:formulaRef>
                      </c:ext>
                    </c:extLst>
                    <c:strCache>
                      <c:ptCount val="2"/>
                      <c:pt idx="0">
                        <c:v>Apurímac</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MS'!$D$45:$E$45,'Visitantes MN vs MS'!$G$45:$H$45,'Visitantes MN vs MS'!$J$45:$K$45)</c15:sqref>
                        </c15:formulaRef>
                      </c:ext>
                    </c:extLst>
                    <c:numCache>
                      <c:formatCode>\-</c:formatCode>
                      <c:ptCount val="6"/>
                      <c:pt idx="0" formatCode="#\ ###\ ##0\ ">
                        <c:v>11235</c:v>
                      </c:pt>
                      <c:pt idx="1">
                        <c:v>0</c:v>
                      </c:pt>
                      <c:pt idx="2" formatCode="#\ ###\ ##0\ ">
                        <c:v>11470</c:v>
                      </c:pt>
                      <c:pt idx="3" formatCode="0">
                        <c:v>270</c:v>
                      </c:pt>
                      <c:pt idx="4" formatCode="#\ ###\ ##0\ ">
                        <c:v>10648</c:v>
                      </c:pt>
                      <c:pt idx="5" formatCode="General">
                        <c:v>166</c:v>
                      </c:pt>
                    </c:numCache>
                  </c:numRef>
                </c:val>
                <c:extLst xmlns:c15="http://schemas.microsoft.com/office/drawing/2012/chart">
                  <c:ext xmlns:c16="http://schemas.microsoft.com/office/drawing/2014/chart" uri="{C3380CC4-5D6E-409C-BE32-E72D297353CC}">
                    <c16:uniqueId val="{00000006-A06E-4907-8037-57056760BDE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'Visitantes MN vs MS'!$A$46:$B$46</c15:sqref>
                        </c15:formulaRef>
                      </c:ext>
                    </c:extLst>
                    <c:strCache>
                      <c:ptCount val="2"/>
                      <c:pt idx="0">
                        <c:v>Arequipa</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MS'!$D$46:$E$46,'Visitantes MN vs MS'!$G$46:$H$46,'Visitantes MN vs MS'!$J$46:$K$46)</c15:sqref>
                        </c15:formulaRef>
                      </c:ext>
                    </c:extLst>
                    <c:numCache>
                      <c:formatCode>0</c:formatCode>
                      <c:ptCount val="6"/>
                      <c:pt idx="0" formatCode="#\ ###\ ##0\ ">
                        <c:v>1432347</c:v>
                      </c:pt>
                      <c:pt idx="1">
                        <c:v>353382</c:v>
                      </c:pt>
                      <c:pt idx="2" formatCode="#\ ###\ ##0\ ">
                        <c:v>1645570</c:v>
                      </c:pt>
                      <c:pt idx="3">
                        <c:v>384648</c:v>
                      </c:pt>
                      <c:pt idx="4" formatCode="#\ ###\ ##0\ ">
                        <c:v>1786965</c:v>
                      </c:pt>
                      <c:pt idx="5">
                        <c:v>437959</c:v>
                      </c:pt>
                    </c:numCache>
                  </c:numRef>
                </c:val>
                <c:extLst xmlns:c15="http://schemas.microsoft.com/office/drawing/2012/chart">
                  <c:ext xmlns:c16="http://schemas.microsoft.com/office/drawing/2014/chart" uri="{C3380CC4-5D6E-409C-BE32-E72D297353CC}">
                    <c16:uniqueId val="{00000007-A06E-4907-8037-57056760BDE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'Visitantes MN vs MS'!$A$48:$B$48</c15:sqref>
                        </c15:formulaRef>
                      </c:ext>
                    </c:extLst>
                    <c:strCache>
                      <c:ptCount val="2"/>
                      <c:pt idx="0">
                        <c:v>Cusco</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MS'!$D$48:$E$48,'Visitantes MN vs MS'!$G$48:$H$48,'Visitantes MN vs MS'!$J$48:$K$48)</c15:sqref>
                        </c15:formulaRef>
                      </c:ext>
                    </c:extLst>
                    <c:numCache>
                      <c:formatCode>#\ ###\ ##0\ </c:formatCode>
                      <c:ptCount val="6"/>
                      <c:pt idx="0">
                        <c:v>684312</c:v>
                      </c:pt>
                      <c:pt idx="1">
                        <c:v>1583054</c:v>
                      </c:pt>
                      <c:pt idx="2">
                        <c:v>740533</c:v>
                      </c:pt>
                      <c:pt idx="3">
                        <c:v>1772472</c:v>
                      </c:pt>
                      <c:pt idx="4">
                        <c:v>771493</c:v>
                      </c:pt>
                      <c:pt idx="5">
                        <c:v>1804849</c:v>
                      </c:pt>
                    </c:numCache>
                  </c:numRef>
                </c:val>
                <c:extLst xmlns:c15="http://schemas.microsoft.com/office/drawing/2012/chart">
                  <c:ext xmlns:c16="http://schemas.microsoft.com/office/drawing/2014/chart" uri="{C3380CC4-5D6E-409C-BE32-E72D297353CC}">
                    <c16:uniqueId val="{00000008-A06E-4907-8037-57056760BDE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'Visitantes MN vs MS'!$A$50:$B$50</c15:sqref>
                        </c15:formulaRef>
                      </c:ext>
                    </c:extLst>
                    <c:strCache>
                      <c:ptCount val="2"/>
                      <c:pt idx="0">
                        <c:v>Moquegua</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MS'!$D$50:$E$50,'Visitantes MN vs MS'!$G$50:$H$50,'Visitantes MN vs MS'!$J$50:$K$50)</c15:sqref>
                        </c15:formulaRef>
                      </c:ext>
                    </c:extLst>
                    <c:numCache>
                      <c:formatCode>General</c:formatCode>
                      <c:ptCount val="6"/>
                      <c:pt idx="0">
                        <c:v>204299</c:v>
                      </c:pt>
                      <c:pt idx="1">
                        <c:v>12506</c:v>
                      </c:pt>
                      <c:pt idx="2">
                        <c:v>224987</c:v>
                      </c:pt>
                      <c:pt idx="3">
                        <c:v>13112</c:v>
                      </c:pt>
                      <c:pt idx="4">
                        <c:v>247642</c:v>
                      </c:pt>
                      <c:pt idx="5">
                        <c:v>15515</c:v>
                      </c:pt>
                    </c:numCache>
                  </c:numRef>
                </c:val>
                <c:extLst xmlns:c15="http://schemas.microsoft.com/office/drawing/2012/chart">
                  <c:ext xmlns:c16="http://schemas.microsoft.com/office/drawing/2014/chart" uri="{C3380CC4-5D6E-409C-BE32-E72D297353CC}">
                    <c16:uniqueId val="{00000009-A06E-4907-8037-57056760BDE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'Visitantes MN vs MS'!$A$51:$B$51</c15:sqref>
                        </c15:formulaRef>
                      </c:ext>
                    </c:extLst>
                    <c:strCache>
                      <c:ptCount val="2"/>
                      <c:pt idx="0">
                        <c:v>Puno</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MS'!$D$51:$E$51,'Visitantes MN vs MS'!$G$51:$H$51,'Visitantes MN vs MS'!$J$51:$K$51)</c15:sqref>
                        </c15:formulaRef>
                      </c:ext>
                    </c:extLst>
                    <c:numCache>
                      <c:formatCode>#\ ###\ ##0\ </c:formatCode>
                      <c:ptCount val="6"/>
                      <c:pt idx="0">
                        <c:v>37579</c:v>
                      </c:pt>
                      <c:pt idx="1">
                        <c:v>117138</c:v>
                      </c:pt>
                      <c:pt idx="2">
                        <c:v>42531</c:v>
                      </c:pt>
                      <c:pt idx="3">
                        <c:v>118245</c:v>
                      </c:pt>
                      <c:pt idx="4">
                        <c:v>45733</c:v>
                      </c:pt>
                      <c:pt idx="5">
                        <c:v>112647</c:v>
                      </c:pt>
                    </c:numCache>
                  </c:numRef>
                </c:val>
                <c:extLst xmlns:c15="http://schemas.microsoft.com/office/drawing/2012/chart">
                  <c:ext xmlns:c16="http://schemas.microsoft.com/office/drawing/2014/chart" uri="{C3380CC4-5D6E-409C-BE32-E72D297353CC}">
                    <c16:uniqueId val="{0000000A-A06E-4907-8037-57056760BDE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'Visitantes MN vs MS'!$A$53:$B$53</c15:sqref>
                        </c15:formulaRef>
                      </c:ext>
                    </c:extLst>
                    <c:strCache>
                      <c:ptCount val="2"/>
                      <c:pt idx="0">
                        <c:v>Tacna</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MS'!$D$53:$E$53,'Visitantes MN vs MS'!$G$53:$H$53,'Visitantes MN vs MS'!$J$53:$K$53)</c15:sqref>
                        </c15:formulaRef>
                      </c:ext>
                    </c:extLst>
                    <c:numCache>
                      <c:formatCode>#\ ###\ ##0\ </c:formatCode>
                      <c:ptCount val="6"/>
                      <c:pt idx="0">
                        <c:v>420179</c:v>
                      </c:pt>
                      <c:pt idx="1">
                        <c:v>282225</c:v>
                      </c:pt>
                      <c:pt idx="2">
                        <c:v>377311</c:v>
                      </c:pt>
                      <c:pt idx="3">
                        <c:v>315475</c:v>
                      </c:pt>
                      <c:pt idx="4">
                        <c:v>364153</c:v>
                      </c:pt>
                      <c:pt idx="5">
                        <c:v>242143</c:v>
                      </c:pt>
                    </c:numCache>
                  </c:numRef>
                </c:val>
                <c:extLst xmlns:c15="http://schemas.microsoft.com/office/drawing/2012/chart">
                  <c:ext xmlns:c16="http://schemas.microsoft.com/office/drawing/2014/chart" uri="{C3380CC4-5D6E-409C-BE32-E72D297353CC}">
                    <c16:uniqueId val="{0000000B-A06E-4907-8037-57056760BDE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'Visitantes MN vs MS'!$A$55:$B$55</c15:sqref>
                        </c15:formulaRef>
                      </c:ext>
                    </c:extLst>
                    <c:strCache>
                      <c:ptCount val="2"/>
                      <c:pt idx="0">
                        <c:v>Madre de Dios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MS'!$D$43:$E$43,'Visitantes MN vs MS'!$G$43:$H$43,'Visitantes MN vs MS'!$J$43:$K$43)</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MS'!$D$55:$E$55,'Visitantes MN vs MS'!$G$55:$H$55,'Visitantes MN vs MS'!$J$55:$K$55)</c15:sqref>
                        </c15:formulaRef>
                      </c:ext>
                    </c:extLst>
                    <c:numCache>
                      <c:formatCode>#\ ###\ ##0\ </c:formatCode>
                      <c:ptCount val="6"/>
                      <c:pt idx="0">
                        <c:v>356264</c:v>
                      </c:pt>
                      <c:pt idx="1">
                        <c:v>86412</c:v>
                      </c:pt>
                      <c:pt idx="2">
                        <c:v>379249</c:v>
                      </c:pt>
                      <c:pt idx="3">
                        <c:v>101899</c:v>
                      </c:pt>
                      <c:pt idx="4">
                        <c:v>375035</c:v>
                      </c:pt>
                      <c:pt idx="5">
                        <c:v>110100</c:v>
                      </c:pt>
                    </c:numCache>
                  </c:numRef>
                </c:val>
                <c:extLst xmlns:c15="http://schemas.microsoft.com/office/drawing/2012/chart">
                  <c:ext xmlns:c16="http://schemas.microsoft.com/office/drawing/2014/chart" uri="{C3380CC4-5D6E-409C-BE32-E72D297353CC}">
                    <c16:uniqueId val="{0000000C-A06E-4907-8037-57056760BDE2}"/>
                  </c:ext>
                </c:extLst>
              </c15:ser>
            </c15:filteredBarSeries>
          </c:ext>
        </c:extLst>
      </c:barChart>
      <c:catAx>
        <c:axId val="1438761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a:t>
                </a:r>
                <a:r>
                  <a:rPr lang="es-ES" baseline="0"/>
                  <a:t> Nacionales - E: Extranjeros</a:t>
                </a:r>
                <a:endParaRPr lang="es-E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38764352"/>
        <c:crosses val="autoZero"/>
        <c:auto val="1"/>
        <c:lblAlgn val="ctr"/>
        <c:lblOffset val="100"/>
        <c:noMultiLvlLbl val="0"/>
      </c:catAx>
      <c:valAx>
        <c:axId val="1438764352"/>
        <c:scaling>
          <c:orientation val="minMax"/>
        </c:scaling>
        <c:delete val="0"/>
        <c:axPos val="l"/>
        <c:numFmt formatCode="#\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38761952"/>
        <c:crosses val="autoZero"/>
        <c:crossBetween val="between"/>
      </c:valAx>
      <c:spPr>
        <a:noFill/>
        <a:ln>
          <a:noFill/>
        </a:ln>
        <a:effectLst/>
      </c:spPr>
    </c:plotArea>
    <c:legend>
      <c:legendPos val="r"/>
      <c:layout>
        <c:manualLayout>
          <c:xMode val="edge"/>
          <c:yMode val="edge"/>
          <c:x val="0.64043715846994531"/>
          <c:y val="0.36295030917745452"/>
          <c:w val="0.34644808743169397"/>
          <c:h val="0.476698251701588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Arribo de visitantes a la Macrorregión</a:t>
            </a:r>
            <a:r>
              <a:rPr lang="en-US" b="1" baseline="0"/>
              <a:t> Norte</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1"/>
          <c:tx>
            <c:strRef>
              <c:f>'Visitantes MN vs MS'!$A$6:$B$6</c:f>
              <c:strCache>
                <c:ptCount val="2"/>
                <c:pt idx="0">
                  <c:v>Amazonas</c:v>
                </c:pt>
              </c:strCache>
            </c:strRef>
          </c:tx>
          <c:spPr>
            <a:solidFill>
              <a:schemeClr val="accent2"/>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MS'!$D$6:$E$6,'Visitantes MN vs MS'!$G$6:$H$6,'Visitantes MN vs MS'!$J$6:$K$6)</c:f>
              <c:numCache>
                <c:formatCode>#\ ###\ ###</c:formatCode>
                <c:ptCount val="6"/>
                <c:pt idx="0">
                  <c:v>405280</c:v>
                </c:pt>
                <c:pt idx="1">
                  <c:v>28324</c:v>
                </c:pt>
                <c:pt idx="2">
                  <c:v>429053</c:v>
                </c:pt>
                <c:pt idx="3">
                  <c:v>32575</c:v>
                </c:pt>
                <c:pt idx="4">
                  <c:v>460389</c:v>
                </c:pt>
                <c:pt idx="5">
                  <c:v>24301</c:v>
                </c:pt>
              </c:numCache>
              <c:extLst/>
            </c:numRef>
          </c:val>
          <c:extLst>
            <c:ext xmlns:c16="http://schemas.microsoft.com/office/drawing/2014/chart" uri="{C3380CC4-5D6E-409C-BE32-E72D297353CC}">
              <c16:uniqueId val="{00000000-C2EE-4C95-BE60-FA518E3F679C}"/>
            </c:ext>
          </c:extLst>
        </c:ser>
        <c:ser>
          <c:idx val="3"/>
          <c:order val="3"/>
          <c:tx>
            <c:strRef>
              <c:f>'Visitantes MN vs MS'!$A$8:$B$8</c:f>
              <c:strCache>
                <c:ptCount val="2"/>
                <c:pt idx="0">
                  <c:v>Ancash</c:v>
                </c:pt>
              </c:strCache>
            </c:strRef>
          </c:tx>
          <c:spPr>
            <a:solidFill>
              <a:schemeClr val="accent4"/>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MS'!$D$8:$E$8,'Visitantes MN vs MS'!$G$8:$H$8,'Visitantes MN vs MS'!$J$8:$K$8)</c:f>
              <c:numCache>
                <c:formatCode>#\ ###\ ###</c:formatCode>
                <c:ptCount val="6"/>
                <c:pt idx="0">
                  <c:v>1084289</c:v>
                </c:pt>
                <c:pt idx="1">
                  <c:v>47315</c:v>
                </c:pt>
                <c:pt idx="2">
                  <c:v>1088669</c:v>
                </c:pt>
                <c:pt idx="3">
                  <c:v>55864</c:v>
                </c:pt>
                <c:pt idx="4">
                  <c:v>1200819</c:v>
                </c:pt>
                <c:pt idx="5">
                  <c:v>84969</c:v>
                </c:pt>
              </c:numCache>
              <c:extLst/>
            </c:numRef>
          </c:val>
          <c:extLst>
            <c:ext xmlns:c16="http://schemas.microsoft.com/office/drawing/2014/chart" uri="{C3380CC4-5D6E-409C-BE32-E72D297353CC}">
              <c16:uniqueId val="{00000001-C2EE-4C95-BE60-FA518E3F679C}"/>
            </c:ext>
          </c:extLst>
        </c:ser>
        <c:ser>
          <c:idx val="6"/>
          <c:order val="6"/>
          <c:tx>
            <c:strRef>
              <c:f>'Visitantes MN vs MS'!$A$11:$B$11</c:f>
              <c:strCache>
                <c:ptCount val="2"/>
                <c:pt idx="0">
                  <c:v>Cajamarca</c:v>
                </c:pt>
              </c:strCache>
            </c:strRef>
          </c:tx>
          <c:spPr>
            <a:solidFill>
              <a:schemeClr val="accent1">
                <a:lumMod val="6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MS'!$D$11:$E$11,'Visitantes MN vs MS'!$G$11:$H$11,'Visitantes MN vs MS'!$J$11:$K$11)</c:f>
              <c:numCache>
                <c:formatCode>#\ ###\ ###</c:formatCode>
                <c:ptCount val="6"/>
                <c:pt idx="0">
                  <c:v>871770</c:v>
                </c:pt>
                <c:pt idx="1">
                  <c:v>21770</c:v>
                </c:pt>
                <c:pt idx="2">
                  <c:v>921511</c:v>
                </c:pt>
                <c:pt idx="3">
                  <c:v>20555</c:v>
                </c:pt>
                <c:pt idx="4">
                  <c:v>1005109</c:v>
                </c:pt>
                <c:pt idx="5">
                  <c:v>20884</c:v>
                </c:pt>
              </c:numCache>
              <c:extLst/>
            </c:numRef>
          </c:val>
          <c:extLst>
            <c:ext xmlns:c16="http://schemas.microsoft.com/office/drawing/2014/chart" uri="{C3380CC4-5D6E-409C-BE32-E72D297353CC}">
              <c16:uniqueId val="{00000002-C2EE-4C95-BE60-FA518E3F679C}"/>
            </c:ext>
          </c:extLst>
        </c:ser>
        <c:ser>
          <c:idx val="8"/>
          <c:order val="8"/>
          <c:tx>
            <c:strRef>
              <c:f>'Visitantes MN vs MS'!$A$13:$B$13</c:f>
              <c:strCache>
                <c:ptCount val="2"/>
                <c:pt idx="0">
                  <c:v>La Libertad</c:v>
                </c:pt>
              </c:strCache>
            </c:strRef>
          </c:tx>
          <c:spPr>
            <a:solidFill>
              <a:schemeClr val="accent3">
                <a:lumMod val="6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MS'!$D$13:$E$13,'Visitantes MN vs MS'!$G$13:$H$13,'Visitantes MN vs MS'!$J$13:$K$13)</c:f>
              <c:numCache>
                <c:formatCode>#\ ###\ ###</c:formatCode>
                <c:ptCount val="6"/>
                <c:pt idx="0">
                  <c:v>1706987</c:v>
                </c:pt>
                <c:pt idx="1">
                  <c:v>62102</c:v>
                </c:pt>
                <c:pt idx="2">
                  <c:v>1637153</c:v>
                </c:pt>
                <c:pt idx="3">
                  <c:v>75926</c:v>
                </c:pt>
                <c:pt idx="4">
                  <c:v>1871377</c:v>
                </c:pt>
                <c:pt idx="5">
                  <c:v>93139</c:v>
                </c:pt>
              </c:numCache>
              <c:extLst/>
            </c:numRef>
          </c:val>
          <c:extLst>
            <c:ext xmlns:c16="http://schemas.microsoft.com/office/drawing/2014/chart" uri="{C3380CC4-5D6E-409C-BE32-E72D297353CC}">
              <c16:uniqueId val="{00000003-C2EE-4C95-BE60-FA518E3F679C}"/>
            </c:ext>
          </c:extLst>
        </c:ser>
        <c:ser>
          <c:idx val="12"/>
          <c:order val="12"/>
          <c:tx>
            <c:strRef>
              <c:f>'Visitantes MN vs MS'!$A$17:$B$17</c:f>
              <c:strCache>
                <c:ptCount val="2"/>
                <c:pt idx="0">
                  <c:v>Lambayeque</c:v>
                </c:pt>
              </c:strCache>
            </c:strRef>
          </c:tx>
          <c:spPr>
            <a:solidFill>
              <a:schemeClr val="accent1">
                <a:lumMod val="80000"/>
                <a:lumOff val="2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MS'!$D$17:$E$17,'Visitantes MN vs MS'!$G$17:$H$17,'Visitantes MN vs MS'!$J$17:$K$17)</c:f>
              <c:numCache>
                <c:formatCode>#\ ###\ ###</c:formatCode>
                <c:ptCount val="6"/>
                <c:pt idx="0">
                  <c:v>907449</c:v>
                </c:pt>
                <c:pt idx="1">
                  <c:v>21536</c:v>
                </c:pt>
                <c:pt idx="2">
                  <c:v>1002214</c:v>
                </c:pt>
                <c:pt idx="3">
                  <c:v>26780</c:v>
                </c:pt>
                <c:pt idx="4">
                  <c:v>997525</c:v>
                </c:pt>
                <c:pt idx="5">
                  <c:v>34681</c:v>
                </c:pt>
              </c:numCache>
              <c:extLst/>
            </c:numRef>
          </c:val>
          <c:extLst>
            <c:ext xmlns:c16="http://schemas.microsoft.com/office/drawing/2014/chart" uri="{C3380CC4-5D6E-409C-BE32-E72D297353CC}">
              <c16:uniqueId val="{00000004-C2EE-4C95-BE60-FA518E3F679C}"/>
            </c:ext>
          </c:extLst>
        </c:ser>
        <c:ser>
          <c:idx val="16"/>
          <c:order val="16"/>
          <c:tx>
            <c:strRef>
              <c:f>'Visitantes MN vs MS'!$A$21:$B$21</c:f>
              <c:strCache>
                <c:ptCount val="2"/>
                <c:pt idx="0">
                  <c:v>Loreto</c:v>
                </c:pt>
              </c:strCache>
            </c:strRef>
          </c:tx>
          <c:spPr>
            <a:solidFill>
              <a:schemeClr val="accent5">
                <a:lumMod val="80000"/>
                <a:lumOff val="2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MS'!$D$21:$E$21,'Visitantes MN vs MS'!$G$21:$H$21,'Visitantes MN vs MS'!$J$21:$K$21)</c:f>
              <c:numCache>
                <c:formatCode>#\ ###\ ###</c:formatCode>
                <c:ptCount val="6"/>
                <c:pt idx="0">
                  <c:v>438711</c:v>
                </c:pt>
                <c:pt idx="1">
                  <c:v>209133</c:v>
                </c:pt>
                <c:pt idx="2">
                  <c:v>466582</c:v>
                </c:pt>
                <c:pt idx="3">
                  <c:v>220919</c:v>
                </c:pt>
                <c:pt idx="4">
                  <c:v>517401</c:v>
                </c:pt>
                <c:pt idx="5">
                  <c:v>222671</c:v>
                </c:pt>
              </c:numCache>
              <c:extLst/>
            </c:numRef>
          </c:val>
          <c:extLst>
            <c:ext xmlns:c16="http://schemas.microsoft.com/office/drawing/2014/chart" uri="{C3380CC4-5D6E-409C-BE32-E72D297353CC}">
              <c16:uniqueId val="{00000005-C2EE-4C95-BE60-FA518E3F679C}"/>
            </c:ext>
          </c:extLst>
        </c:ser>
        <c:ser>
          <c:idx val="17"/>
          <c:order val="17"/>
          <c:tx>
            <c:strRef>
              <c:f>'Visitantes MN vs MS'!$A$22:$B$22</c:f>
              <c:strCache>
                <c:ptCount val="2"/>
                <c:pt idx="0">
                  <c:v>Piura</c:v>
                </c:pt>
              </c:strCache>
            </c:strRef>
          </c:tx>
          <c:spPr>
            <a:solidFill>
              <a:schemeClr val="accent6">
                <a:lumMod val="80000"/>
                <a:lumOff val="2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MS'!$D$22:$E$22,'Visitantes MN vs MS'!$G$22:$H$22,'Visitantes MN vs MS'!$J$22:$K$22)</c:f>
              <c:numCache>
                <c:formatCode>#\ ###\ ###</c:formatCode>
                <c:ptCount val="6"/>
                <c:pt idx="0">
                  <c:v>1019778</c:v>
                </c:pt>
                <c:pt idx="1">
                  <c:v>99698</c:v>
                </c:pt>
                <c:pt idx="2">
                  <c:v>1084236</c:v>
                </c:pt>
                <c:pt idx="3">
                  <c:v>135238</c:v>
                </c:pt>
                <c:pt idx="4">
                  <c:v>1220879</c:v>
                </c:pt>
                <c:pt idx="5">
                  <c:v>143920</c:v>
                </c:pt>
              </c:numCache>
              <c:extLst/>
            </c:numRef>
          </c:val>
          <c:extLst>
            <c:ext xmlns:c16="http://schemas.microsoft.com/office/drawing/2014/chart" uri="{C3380CC4-5D6E-409C-BE32-E72D297353CC}">
              <c16:uniqueId val="{00000006-C2EE-4C95-BE60-FA518E3F679C}"/>
            </c:ext>
          </c:extLst>
        </c:ser>
        <c:ser>
          <c:idx val="18"/>
          <c:order val="18"/>
          <c:tx>
            <c:strRef>
              <c:f>'Visitantes MN vs MS'!$A$23:$B$23</c:f>
              <c:strCache>
                <c:ptCount val="2"/>
                <c:pt idx="0">
                  <c:v>San Martin</c:v>
                </c:pt>
              </c:strCache>
            </c:strRef>
          </c:tx>
          <c:spPr>
            <a:solidFill>
              <a:schemeClr val="accent1">
                <a:lumMod val="8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MS'!$D$23:$E$23,'Visitantes MN vs MS'!$G$23:$H$23,'Visitantes MN vs MS'!$J$23:$K$23)</c:f>
              <c:numCache>
                <c:formatCode>#\ ###\ ###</c:formatCode>
                <c:ptCount val="6"/>
                <c:pt idx="0">
                  <c:v>1253925</c:v>
                </c:pt>
                <c:pt idx="1">
                  <c:v>19107</c:v>
                </c:pt>
                <c:pt idx="2">
                  <c:v>1272424</c:v>
                </c:pt>
                <c:pt idx="3">
                  <c:v>21472</c:v>
                </c:pt>
                <c:pt idx="4">
                  <c:v>1271382</c:v>
                </c:pt>
                <c:pt idx="5">
                  <c:v>18805</c:v>
                </c:pt>
              </c:numCache>
              <c:extLst/>
            </c:numRef>
          </c:val>
          <c:extLst>
            <c:ext xmlns:c16="http://schemas.microsoft.com/office/drawing/2014/chart" uri="{C3380CC4-5D6E-409C-BE32-E72D297353CC}">
              <c16:uniqueId val="{00000007-C2EE-4C95-BE60-FA518E3F679C}"/>
            </c:ext>
          </c:extLst>
        </c:ser>
        <c:ser>
          <c:idx val="19"/>
          <c:order val="19"/>
          <c:tx>
            <c:strRef>
              <c:f>'Visitantes MN vs MS'!$A$24:$B$24</c:f>
              <c:strCache>
                <c:ptCount val="2"/>
                <c:pt idx="0">
                  <c:v>Tumbes</c:v>
                </c:pt>
              </c:strCache>
            </c:strRef>
          </c:tx>
          <c:spPr>
            <a:solidFill>
              <a:schemeClr val="accent2">
                <a:lumMod val="8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MS'!$D$24:$E$24,'Visitantes MN vs MS'!$G$24:$H$24,'Visitantes MN vs MS'!$J$24:$K$24)</c:f>
              <c:numCache>
                <c:formatCode>#\ ###\ ###</c:formatCode>
                <c:ptCount val="6"/>
                <c:pt idx="0">
                  <c:v>293303</c:v>
                </c:pt>
                <c:pt idx="1">
                  <c:v>70303</c:v>
                </c:pt>
                <c:pt idx="2">
                  <c:v>316655</c:v>
                </c:pt>
                <c:pt idx="3">
                  <c:v>75040</c:v>
                </c:pt>
                <c:pt idx="4">
                  <c:v>314632</c:v>
                </c:pt>
                <c:pt idx="5">
                  <c:v>94910</c:v>
                </c:pt>
              </c:numCache>
              <c:extLst/>
            </c:numRef>
          </c:val>
          <c:extLst>
            <c:ext xmlns:c16="http://schemas.microsoft.com/office/drawing/2014/chart" uri="{C3380CC4-5D6E-409C-BE32-E72D297353CC}">
              <c16:uniqueId val="{00000008-C2EE-4C95-BE60-FA518E3F679C}"/>
            </c:ext>
          </c:extLst>
        </c:ser>
        <c:dLbls>
          <c:showLegendKey val="0"/>
          <c:showVal val="0"/>
          <c:showCatName val="0"/>
          <c:showSerName val="0"/>
          <c:showPercent val="0"/>
          <c:showBubbleSize val="0"/>
        </c:dLbls>
        <c:gapWidth val="219"/>
        <c:overlap val="-27"/>
        <c:axId val="1341281888"/>
        <c:axId val="1341282368"/>
        <c:extLst>
          <c:ext xmlns:c15="http://schemas.microsoft.com/office/drawing/2012/chart" uri="{02D57815-91ED-43cb-92C2-25804820EDAC}">
            <c15:filteredBarSeries>
              <c15:ser>
                <c:idx val="0"/>
                <c:order val="0"/>
                <c:tx>
                  <c:strRef>
                    <c:extLst>
                      <c:ext uri="{02D57815-91ED-43cb-92C2-25804820EDAC}">
                        <c15:formulaRef>
                          <c15:sqref>'Visitantes MN vs MS'!$A$5:$B$5</c15:sqref>
                        </c15:formulaRef>
                      </c:ext>
                    </c:extLst>
                    <c:strCache>
                      <c:ptCount val="2"/>
                      <c:pt idx="0">
                        <c:v>Región</c:v>
                      </c:pt>
                      <c:pt idx="1">
                        <c:v>Sitio Turístico</c:v>
                      </c:pt>
                    </c:strCache>
                  </c:strRef>
                </c:tx>
                <c:spPr>
                  <a:solidFill>
                    <a:schemeClr val="accent1"/>
                  </a:solidFill>
                  <a:ln>
                    <a:noFill/>
                  </a:ln>
                  <a:effectLst/>
                </c:spPr>
                <c:invertIfNegative val="0"/>
                <c:cat>
                  <c:strRef>
                    <c:extLst>
                      <c:ex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c:ext uri="{02D57815-91ED-43cb-92C2-25804820EDAC}">
                        <c15:formulaRef>
                          <c15:sqref>('Visitantes MN vs MS'!$D$5:$E$5,'Visitantes MN vs MS'!$G$5:$H$5,'Visitantes MN vs MS'!$J$5:$K$5)</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9-C2EE-4C95-BE60-FA518E3F67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'Visitantes MN vs MS'!$A$7:$B$7</c15:sqref>
                        </c15:formulaRef>
                      </c:ext>
                    </c:extLst>
                    <c:strCache>
                      <c:ptCount val="2"/>
                      <c:pt idx="0">
                        <c:v>Amazonas</c:v>
                      </c:pt>
                      <c:pt idx="1">
                        <c:v>Kuelap (Tingo)</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MS'!$D$7:$E$7,'Visitantes MN vs MS'!$G$7:$H$7,'Visitantes MN vs MS'!$J$7:$K$7)</c15:sqref>
                        </c15:formulaRef>
                      </c:ext>
                    </c:extLst>
                    <c:numCache>
                      <c:formatCode>#\ ###\ ###</c:formatCode>
                      <c:ptCount val="6"/>
                      <c:pt idx="0">
                        <c:v>85209</c:v>
                      </c:pt>
                      <c:pt idx="1">
                        <c:v>17696</c:v>
                      </c:pt>
                      <c:pt idx="2">
                        <c:v>91661</c:v>
                      </c:pt>
                      <c:pt idx="3">
                        <c:v>18407</c:v>
                      </c:pt>
                      <c:pt idx="4">
                        <c:v>86457</c:v>
                      </c:pt>
                      <c:pt idx="5">
                        <c:v>17617</c:v>
                      </c:pt>
                    </c:numCache>
                  </c:numRef>
                </c:val>
                <c:extLst xmlns:c15="http://schemas.microsoft.com/office/drawing/2012/chart">
                  <c:ext xmlns:c16="http://schemas.microsoft.com/office/drawing/2014/chart" uri="{C3380CC4-5D6E-409C-BE32-E72D297353CC}">
                    <c16:uniqueId val="{0000000A-C2EE-4C95-BE60-FA518E3F679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'Visitantes MN vs MS'!$A$9:$B$9</c15:sqref>
                        </c15:formulaRef>
                      </c:ext>
                    </c:extLst>
                    <c:strCache>
                      <c:ptCount val="2"/>
                      <c:pt idx="0">
                        <c:v>Ancash</c:v>
                      </c:pt>
                      <c:pt idx="1">
                        <c:v>PN Huascaran (Carhuaz)</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MS'!$D$9:$E$9,'Visitantes MN vs MS'!$G$9:$H$9,'Visitantes MN vs MS'!$J$9:$K$9)</c15:sqref>
                        </c15:formulaRef>
                      </c:ext>
                    </c:extLst>
                    <c:numCache>
                      <c:formatCode>#\ ###\ ###</c:formatCode>
                      <c:ptCount val="6"/>
                      <c:pt idx="0">
                        <c:v>197596</c:v>
                      </c:pt>
                      <c:pt idx="1">
                        <c:v>85773</c:v>
                      </c:pt>
                      <c:pt idx="2">
                        <c:v>282111</c:v>
                      </c:pt>
                      <c:pt idx="3">
                        <c:v>96329</c:v>
                      </c:pt>
                      <c:pt idx="4">
                        <c:v>322287</c:v>
                      </c:pt>
                      <c:pt idx="5">
                        <c:v>83301</c:v>
                      </c:pt>
                    </c:numCache>
                  </c:numRef>
                </c:val>
                <c:extLst xmlns:c15="http://schemas.microsoft.com/office/drawing/2012/chart">
                  <c:ext xmlns:c16="http://schemas.microsoft.com/office/drawing/2014/chart" uri="{C3380CC4-5D6E-409C-BE32-E72D297353CC}">
                    <c16:uniqueId val="{0000000B-C2EE-4C95-BE60-FA518E3F679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'Visitantes MN vs MS'!$A$10:$B$10</c15:sqref>
                        </c15:formulaRef>
                      </c:ext>
                    </c:extLst>
                    <c:strCache>
                      <c:ptCount val="2"/>
                      <c:pt idx="0">
                        <c:v>Ancash</c:v>
                      </c:pt>
                      <c:pt idx="1">
                        <c:v>Chavin de Huantar</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MS'!$D$10:$E$10,'Visitantes MN vs MS'!$G$10:$H$10,'Visitantes MN vs MS'!$J$10:$K$10)</c15:sqref>
                        </c15:formulaRef>
                      </c:ext>
                    </c:extLst>
                    <c:numCache>
                      <c:formatCode>#\ ###\ ###</c:formatCode>
                      <c:ptCount val="6"/>
                      <c:pt idx="0">
                        <c:v>72531</c:v>
                      </c:pt>
                      <c:pt idx="1">
                        <c:v>6755</c:v>
                      </c:pt>
                      <c:pt idx="2">
                        <c:v>88769</c:v>
                      </c:pt>
                      <c:pt idx="3">
                        <c:v>7873</c:v>
                      </c:pt>
                      <c:pt idx="4">
                        <c:v>90893</c:v>
                      </c:pt>
                      <c:pt idx="5">
                        <c:v>7085</c:v>
                      </c:pt>
                    </c:numCache>
                  </c:numRef>
                </c:val>
                <c:extLst xmlns:c15="http://schemas.microsoft.com/office/drawing/2012/chart">
                  <c:ext xmlns:c16="http://schemas.microsoft.com/office/drawing/2014/chart" uri="{C3380CC4-5D6E-409C-BE32-E72D297353CC}">
                    <c16:uniqueId val="{0000000C-C2EE-4C95-BE60-FA518E3F679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'Visitantes MN vs MS'!$A$12:$B$12</c15:sqref>
                        </c15:formulaRef>
                      </c:ext>
                    </c:extLst>
                    <c:strCache>
                      <c:ptCount val="2"/>
                      <c:pt idx="0">
                        <c:v>Cajamarca</c:v>
                      </c:pt>
                      <c:pt idx="1">
                        <c:v>Otuzco</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MS'!$D$12:$E$12,'Visitantes MN vs MS'!$G$12:$H$12,'Visitantes MN vs MS'!$J$12:$K$12)</c15:sqref>
                        </c15:formulaRef>
                      </c:ext>
                    </c:extLst>
                    <c:numCache>
                      <c:formatCode>#\ ###\ ###</c:formatCode>
                      <c:ptCount val="6"/>
                      <c:pt idx="0">
                        <c:v>95305</c:v>
                      </c:pt>
                      <c:pt idx="1">
                        <c:v>1998</c:v>
                      </c:pt>
                      <c:pt idx="2">
                        <c:v>88512</c:v>
                      </c:pt>
                      <c:pt idx="3">
                        <c:v>2688</c:v>
                      </c:pt>
                      <c:pt idx="4">
                        <c:v>113315</c:v>
                      </c:pt>
                      <c:pt idx="5">
                        <c:v>2062</c:v>
                      </c:pt>
                    </c:numCache>
                  </c:numRef>
                </c:val>
                <c:extLst xmlns:c15="http://schemas.microsoft.com/office/drawing/2012/chart">
                  <c:ext xmlns:c16="http://schemas.microsoft.com/office/drawing/2014/chart" uri="{C3380CC4-5D6E-409C-BE32-E72D297353CC}">
                    <c16:uniqueId val="{0000000D-C2EE-4C95-BE60-FA518E3F679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'Visitantes MN vs MS'!$A$14:$B$14</c15:sqref>
                        </c15:formulaRef>
                      </c:ext>
                    </c:extLst>
                    <c:strCache>
                      <c:ptCount val="2"/>
                      <c:pt idx="0">
                        <c:v>La Libertad</c:v>
                      </c:pt>
                      <c:pt idx="1">
                        <c:v>Huaca Sol y Luna (Trujillo)</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MS'!$D$14:$E$14,'Visitantes MN vs MS'!$G$14:$H$14,'Visitantes MN vs MS'!$J$14:$K$14)</c15:sqref>
                        </c15:formulaRef>
                      </c:ext>
                    </c:extLst>
                    <c:numCache>
                      <c:formatCode>#\ ###\ ###</c:formatCode>
                      <c:ptCount val="6"/>
                      <c:pt idx="0">
                        <c:v>87884</c:v>
                      </c:pt>
                      <c:pt idx="1">
                        <c:v>28340</c:v>
                      </c:pt>
                      <c:pt idx="2">
                        <c:v>109545</c:v>
                      </c:pt>
                      <c:pt idx="3">
                        <c:v>31578</c:v>
                      </c:pt>
                      <c:pt idx="4">
                        <c:v>106563</c:v>
                      </c:pt>
                      <c:pt idx="5">
                        <c:v>30090</c:v>
                      </c:pt>
                    </c:numCache>
                  </c:numRef>
                </c:val>
                <c:extLst xmlns:c15="http://schemas.microsoft.com/office/drawing/2012/chart">
                  <c:ext xmlns:c16="http://schemas.microsoft.com/office/drawing/2014/chart" uri="{C3380CC4-5D6E-409C-BE32-E72D297353CC}">
                    <c16:uniqueId val="{0000000E-C2EE-4C95-BE60-FA518E3F679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'Visitantes MN vs MS'!$A$15:$B$15</c15:sqref>
                        </c15:formulaRef>
                      </c:ext>
                    </c:extLst>
                    <c:strCache>
                      <c:ptCount val="2"/>
                      <c:pt idx="0">
                        <c:v>La Libertad</c:v>
                      </c:pt>
                      <c:pt idx="1">
                        <c:v>El Brujo (Magdalena de Cao)</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MS'!$D$15:$E$15,'Visitantes MN vs MS'!$G$15:$H$15,'Visitantes MN vs MS'!$J$15:$K$15)</c15:sqref>
                        </c15:formulaRef>
                      </c:ext>
                    </c:extLst>
                    <c:numCache>
                      <c:formatCode>#\ ###\ ###</c:formatCode>
                      <c:ptCount val="6"/>
                      <c:pt idx="0">
                        <c:v>43229</c:v>
                      </c:pt>
                      <c:pt idx="1">
                        <c:v>6624</c:v>
                      </c:pt>
                      <c:pt idx="2">
                        <c:v>59022</c:v>
                      </c:pt>
                      <c:pt idx="3">
                        <c:v>8240</c:v>
                      </c:pt>
                      <c:pt idx="4">
                        <c:v>57760</c:v>
                      </c:pt>
                      <c:pt idx="5">
                        <c:v>8280</c:v>
                      </c:pt>
                    </c:numCache>
                  </c:numRef>
                </c:val>
                <c:extLst xmlns:c15="http://schemas.microsoft.com/office/drawing/2012/chart">
                  <c:ext xmlns:c16="http://schemas.microsoft.com/office/drawing/2014/chart" uri="{C3380CC4-5D6E-409C-BE32-E72D297353CC}">
                    <c16:uniqueId val="{0000000F-C2EE-4C95-BE60-FA518E3F679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'Visitantes MN vs MS'!$A$16:$B$16</c15:sqref>
                        </c15:formulaRef>
                      </c:ext>
                    </c:extLst>
                    <c:strCache>
                      <c:ptCount val="2"/>
                      <c:pt idx="0">
                        <c:v>La Libertad</c:v>
                      </c:pt>
                      <c:pt idx="1">
                        <c:v>Chan Chan (Huanchaco)</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MS'!$D$16:$E$16,'Visitantes MN vs MS'!$G$16:$H$16,'Visitantes MN vs MS'!$J$16:$K$16)</c15:sqref>
                        </c15:formulaRef>
                      </c:ext>
                    </c:extLst>
                    <c:numCache>
                      <c:formatCode>#\ ###\ ###</c:formatCode>
                      <c:ptCount val="6"/>
                      <c:pt idx="0">
                        <c:v>21959</c:v>
                      </c:pt>
                      <c:pt idx="1">
                        <c:v>921</c:v>
                      </c:pt>
                      <c:pt idx="2">
                        <c:v>23930</c:v>
                      </c:pt>
                      <c:pt idx="3">
                        <c:v>2171</c:v>
                      </c:pt>
                      <c:pt idx="4">
                        <c:v>30327</c:v>
                      </c:pt>
                      <c:pt idx="5">
                        <c:v>4386</c:v>
                      </c:pt>
                    </c:numCache>
                  </c:numRef>
                </c:val>
                <c:extLst xmlns:c15="http://schemas.microsoft.com/office/drawing/2012/chart">
                  <c:ext xmlns:c16="http://schemas.microsoft.com/office/drawing/2014/chart" uri="{C3380CC4-5D6E-409C-BE32-E72D297353CC}">
                    <c16:uniqueId val="{00000010-C2EE-4C95-BE60-FA518E3F679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'Visitantes MN vs MS'!$A$18:$B$18</c15:sqref>
                        </c15:formulaRef>
                      </c:ext>
                    </c:extLst>
                    <c:strCache>
                      <c:ptCount val="2"/>
                      <c:pt idx="0">
                        <c:v>Lambayeque</c:v>
                      </c:pt>
                      <c:pt idx="1">
                        <c:v>M. Tumbas Reales de Sipán (Lambayeque)</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MS'!$D$18:$E$18,'Visitantes MN vs MS'!$G$18:$H$18,'Visitantes MN vs MS'!$J$18:$K$18)</c15:sqref>
                        </c15:formulaRef>
                      </c:ext>
                    </c:extLst>
                    <c:numCache>
                      <c:formatCode>#\ ###\ ###</c:formatCode>
                      <c:ptCount val="6"/>
                      <c:pt idx="0">
                        <c:v>137511</c:v>
                      </c:pt>
                      <c:pt idx="1">
                        <c:v>12250</c:v>
                      </c:pt>
                      <c:pt idx="2">
                        <c:v>185419</c:v>
                      </c:pt>
                      <c:pt idx="3">
                        <c:v>10542</c:v>
                      </c:pt>
                      <c:pt idx="4">
                        <c:v>175129</c:v>
                      </c:pt>
                      <c:pt idx="5">
                        <c:v>10259</c:v>
                      </c:pt>
                    </c:numCache>
                  </c:numRef>
                </c:val>
                <c:extLst xmlns:c15="http://schemas.microsoft.com/office/drawing/2012/chart">
                  <c:ext xmlns:c16="http://schemas.microsoft.com/office/drawing/2014/chart" uri="{C3380CC4-5D6E-409C-BE32-E72D297353CC}">
                    <c16:uniqueId val="{00000011-C2EE-4C95-BE60-FA518E3F679C}"/>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'Visitantes MN vs MS'!$A$19:$B$19</c15:sqref>
                        </c15:formulaRef>
                      </c:ext>
                    </c:extLst>
                    <c:strCache>
                      <c:ptCount val="2"/>
                      <c:pt idx="0">
                        <c:v>Lambayeque</c:v>
                      </c:pt>
                      <c:pt idx="1">
                        <c:v>SH Bosque de Pómac</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MS'!$D$19:$E$19,'Visitantes MN vs MS'!$G$19:$H$19,'Visitantes MN vs MS'!$J$19:$K$19)</c15:sqref>
                        </c15:formulaRef>
                      </c:ext>
                    </c:extLst>
                    <c:numCache>
                      <c:formatCode>#\ ###\ ###</c:formatCode>
                      <c:ptCount val="6"/>
                      <c:pt idx="0">
                        <c:v>14497</c:v>
                      </c:pt>
                      <c:pt idx="1">
                        <c:v>1000</c:v>
                      </c:pt>
                      <c:pt idx="2">
                        <c:v>18601</c:v>
                      </c:pt>
                      <c:pt idx="3">
                        <c:v>1029</c:v>
                      </c:pt>
                      <c:pt idx="4">
                        <c:v>19662</c:v>
                      </c:pt>
                      <c:pt idx="5">
                        <c:v>745</c:v>
                      </c:pt>
                    </c:numCache>
                  </c:numRef>
                </c:val>
                <c:extLst xmlns:c15="http://schemas.microsoft.com/office/drawing/2012/chart">
                  <c:ext xmlns:c16="http://schemas.microsoft.com/office/drawing/2014/chart" uri="{C3380CC4-5D6E-409C-BE32-E72D297353CC}">
                    <c16:uniqueId val="{00000012-C2EE-4C95-BE60-FA518E3F679C}"/>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'Visitantes MN vs MS'!$A$20:$B$20</c15:sqref>
                        </c15:formulaRef>
                      </c:ext>
                    </c:extLst>
                    <c:strCache>
                      <c:ptCount val="2"/>
                      <c:pt idx="0">
                        <c:v>Lambayeque</c:v>
                      </c:pt>
                      <c:pt idx="1">
                        <c:v>Túcume</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MS'!$D$20:$E$20,'Visitantes MN vs MS'!$G$20:$H$20,'Visitantes MN vs MS'!$J$20:$K$20)</c15:sqref>
                        </c15:formulaRef>
                      </c:ext>
                    </c:extLst>
                    <c:numCache>
                      <c:formatCode>#\ ###\ ###</c:formatCode>
                      <c:ptCount val="6"/>
                      <c:pt idx="0">
                        <c:v>32957</c:v>
                      </c:pt>
                      <c:pt idx="1">
                        <c:v>4976</c:v>
                      </c:pt>
                      <c:pt idx="2">
                        <c:v>55100</c:v>
                      </c:pt>
                      <c:pt idx="3">
                        <c:v>6009</c:v>
                      </c:pt>
                      <c:pt idx="4">
                        <c:v>64564</c:v>
                      </c:pt>
                      <c:pt idx="5">
                        <c:v>5907</c:v>
                      </c:pt>
                    </c:numCache>
                  </c:numRef>
                </c:val>
                <c:extLst xmlns:c15="http://schemas.microsoft.com/office/drawing/2012/chart">
                  <c:ext xmlns:c16="http://schemas.microsoft.com/office/drawing/2014/chart" uri="{C3380CC4-5D6E-409C-BE32-E72D297353CC}">
                    <c16:uniqueId val="{00000013-C2EE-4C95-BE60-FA518E3F679C}"/>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'Visitantes MN vs MS'!$A$25:$B$25</c15:sqref>
                        </c15:formulaRef>
                      </c:ext>
                    </c:extLst>
                    <c:strCache>
                      <c:ptCount val="2"/>
                      <c:pt idx="0">
                        <c:v>Tumbes</c:v>
                      </c:pt>
                      <c:pt idx="1">
                        <c:v>SN Manglares de Tumbes</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MS'!$D$25:$E$25,'Visitantes MN vs MS'!$G$25:$H$25,'Visitantes MN vs MS'!$J$25:$K$25)</c15:sqref>
                        </c15:formulaRef>
                      </c:ext>
                    </c:extLst>
                    <c:numCache>
                      <c:formatCode>#\ ###\ ###</c:formatCode>
                      <c:ptCount val="6"/>
                      <c:pt idx="0">
                        <c:v>1530</c:v>
                      </c:pt>
                      <c:pt idx="1">
                        <c:v>80</c:v>
                      </c:pt>
                      <c:pt idx="2">
                        <c:v>2726</c:v>
                      </c:pt>
                      <c:pt idx="3">
                        <c:v>71</c:v>
                      </c:pt>
                      <c:pt idx="4">
                        <c:v>2927</c:v>
                      </c:pt>
                      <c:pt idx="5">
                        <c:v>93</c:v>
                      </c:pt>
                    </c:numCache>
                  </c:numRef>
                </c:val>
                <c:extLst xmlns:c15="http://schemas.microsoft.com/office/drawing/2012/chart">
                  <c:ext xmlns:c16="http://schemas.microsoft.com/office/drawing/2014/chart" uri="{C3380CC4-5D6E-409C-BE32-E72D297353CC}">
                    <c16:uniqueId val="{00000014-C2EE-4C95-BE60-FA518E3F679C}"/>
                  </c:ext>
                </c:extLst>
              </c15:ser>
            </c15:filteredBarSeries>
          </c:ext>
        </c:extLst>
      </c:barChart>
      <c:catAx>
        <c:axId val="1341281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t>
                </a:r>
                <a:r>
                  <a:rPr lang="en-US" baseline="0"/>
                  <a:t> Nacionales - E: Extranjeros</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41282368"/>
        <c:crosses val="autoZero"/>
        <c:auto val="1"/>
        <c:lblAlgn val="ctr"/>
        <c:lblOffset val="100"/>
        <c:noMultiLvlLbl val="0"/>
      </c:catAx>
      <c:valAx>
        <c:axId val="1341282368"/>
        <c:scaling>
          <c:orientation val="minMax"/>
        </c:scaling>
        <c:delete val="0"/>
        <c:axPos val="l"/>
        <c:numFmt formatCode="#\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41281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ES" sz="1200" b="1"/>
              <a:t>Arribo de visitantes a los principales sitios turísticos de la Macroregión</a:t>
            </a:r>
            <a:r>
              <a:rPr lang="es-ES" sz="1200" b="1" baseline="0"/>
              <a:t> Norte</a:t>
            </a:r>
            <a:endParaRPr lang="es-E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0145580677013444"/>
          <c:y val="0.26569657774184857"/>
          <c:w val="0.67805267910643008"/>
          <c:h val="0.49542814828017151"/>
        </c:manualLayout>
      </c:layout>
      <c:barChart>
        <c:barDir val="col"/>
        <c:grouping val="clustered"/>
        <c:varyColors val="0"/>
        <c:ser>
          <c:idx val="2"/>
          <c:order val="2"/>
          <c:tx>
            <c:strRef>
              <c:f>'Visitantes MN vs MS'!$A$7:$B$7</c:f>
              <c:strCache>
                <c:ptCount val="2"/>
                <c:pt idx="0">
                  <c:v>Amazonas</c:v>
                </c:pt>
                <c:pt idx="1">
                  <c:v>Kuelap (Tingo)</c:v>
                </c:pt>
              </c:strCache>
            </c:strRef>
          </c:tx>
          <c:spPr>
            <a:solidFill>
              <a:schemeClr val="accent3"/>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MS'!$D$7:$E$7,'Visitantes MN vs MS'!$G$7:$H$7,'Visitantes MN vs MS'!$J$7:$K$7)</c:f>
              <c:numCache>
                <c:formatCode>#\ ###\ ###</c:formatCode>
                <c:ptCount val="6"/>
                <c:pt idx="0">
                  <c:v>85209</c:v>
                </c:pt>
                <c:pt idx="1">
                  <c:v>17696</c:v>
                </c:pt>
                <c:pt idx="2">
                  <c:v>91661</c:v>
                </c:pt>
                <c:pt idx="3">
                  <c:v>18407</c:v>
                </c:pt>
                <c:pt idx="4">
                  <c:v>86457</c:v>
                </c:pt>
                <c:pt idx="5">
                  <c:v>17617</c:v>
                </c:pt>
              </c:numCache>
              <c:extLst/>
            </c:numRef>
          </c:val>
          <c:extLst>
            <c:ext xmlns:c16="http://schemas.microsoft.com/office/drawing/2014/chart" uri="{C3380CC4-5D6E-409C-BE32-E72D297353CC}">
              <c16:uniqueId val="{00000000-173E-49FC-AF44-0ED0E388E0FB}"/>
            </c:ext>
          </c:extLst>
        </c:ser>
        <c:ser>
          <c:idx val="4"/>
          <c:order val="4"/>
          <c:tx>
            <c:strRef>
              <c:f>'Visitantes MN vs MS'!$A$9:$B$9</c:f>
              <c:strCache>
                <c:ptCount val="2"/>
                <c:pt idx="0">
                  <c:v>Ancash</c:v>
                </c:pt>
                <c:pt idx="1">
                  <c:v>PN Huascaran (Carhuaz)</c:v>
                </c:pt>
              </c:strCache>
            </c:strRef>
          </c:tx>
          <c:spPr>
            <a:solidFill>
              <a:schemeClr val="accent5"/>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MS'!$D$9:$E$9,'Visitantes MN vs MS'!$G$9:$H$9,'Visitantes MN vs MS'!$J$9:$K$9)</c:f>
              <c:numCache>
                <c:formatCode>#\ ###\ ###</c:formatCode>
                <c:ptCount val="6"/>
                <c:pt idx="0">
                  <c:v>197596</c:v>
                </c:pt>
                <c:pt idx="1">
                  <c:v>85773</c:v>
                </c:pt>
                <c:pt idx="2">
                  <c:v>282111</c:v>
                </c:pt>
                <c:pt idx="3">
                  <c:v>96329</c:v>
                </c:pt>
                <c:pt idx="4">
                  <c:v>322287</c:v>
                </c:pt>
                <c:pt idx="5">
                  <c:v>83301</c:v>
                </c:pt>
              </c:numCache>
              <c:extLst/>
            </c:numRef>
          </c:val>
          <c:extLst>
            <c:ext xmlns:c16="http://schemas.microsoft.com/office/drawing/2014/chart" uri="{C3380CC4-5D6E-409C-BE32-E72D297353CC}">
              <c16:uniqueId val="{00000001-173E-49FC-AF44-0ED0E388E0FB}"/>
            </c:ext>
          </c:extLst>
        </c:ser>
        <c:ser>
          <c:idx val="5"/>
          <c:order val="5"/>
          <c:tx>
            <c:strRef>
              <c:f>'Visitantes MN vs MS'!$A$10:$B$10</c:f>
              <c:strCache>
                <c:ptCount val="2"/>
                <c:pt idx="0">
                  <c:v>Ancash</c:v>
                </c:pt>
                <c:pt idx="1">
                  <c:v>Chavin de Huantar</c:v>
                </c:pt>
              </c:strCache>
            </c:strRef>
          </c:tx>
          <c:spPr>
            <a:solidFill>
              <a:schemeClr val="accent6"/>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MS'!$D$10:$E$10,'Visitantes MN vs MS'!$G$10:$H$10,'Visitantes MN vs MS'!$J$10:$K$10)</c:f>
              <c:numCache>
                <c:formatCode>#\ ###\ ###</c:formatCode>
                <c:ptCount val="6"/>
                <c:pt idx="0">
                  <c:v>72531</c:v>
                </c:pt>
                <c:pt idx="1">
                  <c:v>6755</c:v>
                </c:pt>
                <c:pt idx="2">
                  <c:v>88769</c:v>
                </c:pt>
                <c:pt idx="3">
                  <c:v>7873</c:v>
                </c:pt>
                <c:pt idx="4">
                  <c:v>90893</c:v>
                </c:pt>
                <c:pt idx="5">
                  <c:v>7085</c:v>
                </c:pt>
              </c:numCache>
              <c:extLst/>
            </c:numRef>
          </c:val>
          <c:extLst>
            <c:ext xmlns:c16="http://schemas.microsoft.com/office/drawing/2014/chart" uri="{C3380CC4-5D6E-409C-BE32-E72D297353CC}">
              <c16:uniqueId val="{00000002-173E-49FC-AF44-0ED0E388E0FB}"/>
            </c:ext>
          </c:extLst>
        </c:ser>
        <c:ser>
          <c:idx val="7"/>
          <c:order val="7"/>
          <c:tx>
            <c:strRef>
              <c:f>'Visitantes MN vs MS'!$A$12:$B$12</c:f>
              <c:strCache>
                <c:ptCount val="2"/>
                <c:pt idx="0">
                  <c:v>Cajamarca</c:v>
                </c:pt>
                <c:pt idx="1">
                  <c:v>Otuzco</c:v>
                </c:pt>
              </c:strCache>
            </c:strRef>
          </c:tx>
          <c:spPr>
            <a:solidFill>
              <a:schemeClr val="accent2">
                <a:lumMod val="6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MS'!$D$12:$E$12,'Visitantes MN vs MS'!$G$12:$H$12,'Visitantes MN vs MS'!$J$12:$K$12)</c:f>
              <c:numCache>
                <c:formatCode>#\ ###\ ###</c:formatCode>
                <c:ptCount val="6"/>
                <c:pt idx="0">
                  <c:v>95305</c:v>
                </c:pt>
                <c:pt idx="1">
                  <c:v>1998</c:v>
                </c:pt>
                <c:pt idx="2">
                  <c:v>88512</c:v>
                </c:pt>
                <c:pt idx="3">
                  <c:v>2688</c:v>
                </c:pt>
                <c:pt idx="4">
                  <c:v>113315</c:v>
                </c:pt>
                <c:pt idx="5">
                  <c:v>2062</c:v>
                </c:pt>
              </c:numCache>
              <c:extLst/>
            </c:numRef>
          </c:val>
          <c:extLst>
            <c:ext xmlns:c16="http://schemas.microsoft.com/office/drawing/2014/chart" uri="{C3380CC4-5D6E-409C-BE32-E72D297353CC}">
              <c16:uniqueId val="{00000003-173E-49FC-AF44-0ED0E388E0FB}"/>
            </c:ext>
          </c:extLst>
        </c:ser>
        <c:ser>
          <c:idx val="9"/>
          <c:order val="9"/>
          <c:tx>
            <c:strRef>
              <c:f>'Visitantes MN vs MS'!$A$14:$B$14</c:f>
              <c:strCache>
                <c:ptCount val="2"/>
                <c:pt idx="0">
                  <c:v>La Libertad</c:v>
                </c:pt>
                <c:pt idx="1">
                  <c:v>Huaca Sol y Luna (Trujillo)</c:v>
                </c:pt>
              </c:strCache>
            </c:strRef>
          </c:tx>
          <c:spPr>
            <a:solidFill>
              <a:schemeClr val="accent4">
                <a:lumMod val="6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MS'!$D$14:$E$14,'Visitantes MN vs MS'!$G$14:$H$14,'Visitantes MN vs MS'!$J$14:$K$14)</c:f>
              <c:numCache>
                <c:formatCode>#\ ###\ ###</c:formatCode>
                <c:ptCount val="6"/>
                <c:pt idx="0">
                  <c:v>87884</c:v>
                </c:pt>
                <c:pt idx="1">
                  <c:v>28340</c:v>
                </c:pt>
                <c:pt idx="2">
                  <c:v>109545</c:v>
                </c:pt>
                <c:pt idx="3">
                  <c:v>31578</c:v>
                </c:pt>
                <c:pt idx="4">
                  <c:v>106563</c:v>
                </c:pt>
                <c:pt idx="5">
                  <c:v>30090</c:v>
                </c:pt>
              </c:numCache>
              <c:extLst/>
            </c:numRef>
          </c:val>
          <c:extLst>
            <c:ext xmlns:c16="http://schemas.microsoft.com/office/drawing/2014/chart" uri="{C3380CC4-5D6E-409C-BE32-E72D297353CC}">
              <c16:uniqueId val="{00000004-173E-49FC-AF44-0ED0E388E0FB}"/>
            </c:ext>
          </c:extLst>
        </c:ser>
        <c:ser>
          <c:idx val="13"/>
          <c:order val="13"/>
          <c:tx>
            <c:strRef>
              <c:f>'Visitantes MN vs MS'!$A$18:$B$18</c:f>
              <c:strCache>
                <c:ptCount val="2"/>
                <c:pt idx="0">
                  <c:v>Lambayeque</c:v>
                </c:pt>
                <c:pt idx="1">
                  <c:v>M. Tumbas Reales de Sipán (Lambayeque)</c:v>
                </c:pt>
              </c:strCache>
            </c:strRef>
          </c:tx>
          <c:spPr>
            <a:solidFill>
              <a:schemeClr val="accent2">
                <a:lumMod val="80000"/>
                <a:lumOff val="2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MS'!$D$18:$E$18,'Visitantes MN vs MS'!$G$18:$H$18,'Visitantes MN vs MS'!$J$18:$K$18)</c:f>
              <c:numCache>
                <c:formatCode>#\ ###\ ###</c:formatCode>
                <c:ptCount val="6"/>
                <c:pt idx="0">
                  <c:v>137511</c:v>
                </c:pt>
                <c:pt idx="1">
                  <c:v>12250</c:v>
                </c:pt>
                <c:pt idx="2">
                  <c:v>185419</c:v>
                </c:pt>
                <c:pt idx="3">
                  <c:v>10542</c:v>
                </c:pt>
                <c:pt idx="4">
                  <c:v>175129</c:v>
                </c:pt>
                <c:pt idx="5">
                  <c:v>10259</c:v>
                </c:pt>
              </c:numCache>
              <c:extLst/>
            </c:numRef>
          </c:val>
          <c:extLst>
            <c:ext xmlns:c16="http://schemas.microsoft.com/office/drawing/2014/chart" uri="{C3380CC4-5D6E-409C-BE32-E72D297353CC}">
              <c16:uniqueId val="{00000005-173E-49FC-AF44-0ED0E388E0FB}"/>
            </c:ext>
          </c:extLst>
        </c:ser>
        <c:ser>
          <c:idx val="20"/>
          <c:order val="20"/>
          <c:tx>
            <c:strRef>
              <c:f>'Visitantes MN vs MS'!$A$25:$B$25</c:f>
              <c:strCache>
                <c:ptCount val="2"/>
                <c:pt idx="0">
                  <c:v>Tumbes</c:v>
                </c:pt>
                <c:pt idx="1">
                  <c:v>SN Manglares de Tumbes</c:v>
                </c:pt>
              </c:strCache>
            </c:strRef>
          </c:tx>
          <c:spPr>
            <a:solidFill>
              <a:schemeClr val="accent3">
                <a:lumMod val="80000"/>
              </a:schemeClr>
            </a:solidFill>
            <a:ln>
              <a:noFill/>
            </a:ln>
            <a:effectLst/>
          </c:spPr>
          <c:invertIfNegative val="0"/>
          <c:cat>
            <c:strRef>
              <c:f>('Visitantes MN vs MS'!$D$4:$E$4,'Visitantes MN vs MS'!$G$4:$H$4,'Visitantes MN vs MS'!$J$4:$K$4)</c:f>
              <c:strCache>
                <c:ptCount val="6"/>
                <c:pt idx="0">
                  <c:v>2017-N</c:v>
                </c:pt>
                <c:pt idx="1">
                  <c:v>2017-E</c:v>
                </c:pt>
                <c:pt idx="2">
                  <c:v>2018-N</c:v>
                </c:pt>
                <c:pt idx="3">
                  <c:v>2018-E</c:v>
                </c:pt>
                <c:pt idx="4">
                  <c:v>2019-N</c:v>
                </c:pt>
                <c:pt idx="5">
                  <c:v>2019-E</c:v>
                </c:pt>
              </c:strCache>
              <c:extLst/>
            </c:strRef>
          </c:cat>
          <c:val>
            <c:numRef>
              <c:f>('Visitantes MN vs MS'!$D$25:$E$25,'Visitantes MN vs MS'!$G$25:$H$25,'Visitantes MN vs MS'!$J$25:$K$25)</c:f>
              <c:numCache>
                <c:formatCode>#\ ###\ ###</c:formatCode>
                <c:ptCount val="6"/>
                <c:pt idx="0">
                  <c:v>1530</c:v>
                </c:pt>
                <c:pt idx="1">
                  <c:v>80</c:v>
                </c:pt>
                <c:pt idx="2">
                  <c:v>2726</c:v>
                </c:pt>
                <c:pt idx="3">
                  <c:v>71</c:v>
                </c:pt>
                <c:pt idx="4">
                  <c:v>2927</c:v>
                </c:pt>
                <c:pt idx="5">
                  <c:v>93</c:v>
                </c:pt>
              </c:numCache>
              <c:extLst/>
            </c:numRef>
          </c:val>
          <c:extLst>
            <c:ext xmlns:c16="http://schemas.microsoft.com/office/drawing/2014/chart" uri="{C3380CC4-5D6E-409C-BE32-E72D297353CC}">
              <c16:uniqueId val="{00000006-173E-49FC-AF44-0ED0E388E0FB}"/>
            </c:ext>
          </c:extLst>
        </c:ser>
        <c:dLbls>
          <c:showLegendKey val="0"/>
          <c:showVal val="0"/>
          <c:showCatName val="0"/>
          <c:showSerName val="0"/>
          <c:showPercent val="0"/>
          <c:showBubbleSize val="0"/>
        </c:dLbls>
        <c:gapWidth val="219"/>
        <c:overlap val="-27"/>
        <c:axId val="1441573760"/>
        <c:axId val="1441579040"/>
        <c:extLst>
          <c:ext xmlns:c15="http://schemas.microsoft.com/office/drawing/2012/chart" uri="{02D57815-91ED-43cb-92C2-25804820EDAC}">
            <c15:filteredBarSeries>
              <c15:ser>
                <c:idx val="0"/>
                <c:order val="0"/>
                <c:tx>
                  <c:strRef>
                    <c:extLst>
                      <c:ext uri="{02D57815-91ED-43cb-92C2-25804820EDAC}">
                        <c15:formulaRef>
                          <c15:sqref>'Visitantes MN vs MS'!$A$5:$B$5</c15:sqref>
                        </c15:formulaRef>
                      </c:ext>
                    </c:extLst>
                    <c:strCache>
                      <c:ptCount val="2"/>
                      <c:pt idx="0">
                        <c:v>Región</c:v>
                      </c:pt>
                      <c:pt idx="1">
                        <c:v>Sitio Turístico</c:v>
                      </c:pt>
                    </c:strCache>
                  </c:strRef>
                </c:tx>
                <c:spPr>
                  <a:solidFill>
                    <a:schemeClr val="accent1"/>
                  </a:solidFill>
                  <a:ln>
                    <a:noFill/>
                  </a:ln>
                  <a:effectLst/>
                </c:spPr>
                <c:invertIfNegative val="0"/>
                <c:cat>
                  <c:strRef>
                    <c:extLst>
                      <c:ex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c:ext uri="{02D57815-91ED-43cb-92C2-25804820EDAC}">
                        <c15:formulaRef>
                          <c15:sqref>('Visitantes MN vs MS'!$D$5:$E$5,'Visitantes MN vs MS'!$G$5:$H$5,'Visitantes MN vs MS'!$J$5:$K$5)</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7-173E-49FC-AF44-0ED0E388E0F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'Visitantes MN vs MS'!$A$6:$B$6</c15:sqref>
                        </c15:formulaRef>
                      </c:ext>
                    </c:extLst>
                    <c:strCache>
                      <c:ptCount val="2"/>
                      <c:pt idx="0">
                        <c:v>Amazonas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MS'!$D$6:$E$6,'Visitantes MN vs MS'!$G$6:$H$6,'Visitantes MN vs MS'!$J$6:$K$6)</c15:sqref>
                        </c15:formulaRef>
                      </c:ext>
                    </c:extLst>
                    <c:numCache>
                      <c:formatCode>#\ ###\ ###</c:formatCode>
                      <c:ptCount val="6"/>
                      <c:pt idx="0">
                        <c:v>405280</c:v>
                      </c:pt>
                      <c:pt idx="1">
                        <c:v>28324</c:v>
                      </c:pt>
                      <c:pt idx="2">
                        <c:v>429053</c:v>
                      </c:pt>
                      <c:pt idx="3">
                        <c:v>32575</c:v>
                      </c:pt>
                      <c:pt idx="4">
                        <c:v>460389</c:v>
                      </c:pt>
                      <c:pt idx="5">
                        <c:v>24301</c:v>
                      </c:pt>
                    </c:numCache>
                  </c:numRef>
                </c:val>
                <c:extLst xmlns:c15="http://schemas.microsoft.com/office/drawing/2012/chart">
                  <c:ext xmlns:c16="http://schemas.microsoft.com/office/drawing/2014/chart" uri="{C3380CC4-5D6E-409C-BE32-E72D297353CC}">
                    <c16:uniqueId val="{00000008-173E-49FC-AF44-0ED0E388E0F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'Visitantes MN vs MS'!$A$8:$B$8</c15:sqref>
                        </c15:formulaRef>
                      </c:ext>
                    </c:extLst>
                    <c:strCache>
                      <c:ptCount val="2"/>
                      <c:pt idx="0">
                        <c:v>Ancash</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MS'!$D$8:$E$8,'Visitantes MN vs MS'!$G$8:$H$8,'Visitantes MN vs MS'!$J$8:$K$8)</c15:sqref>
                        </c15:formulaRef>
                      </c:ext>
                    </c:extLst>
                    <c:numCache>
                      <c:formatCode>#\ ###\ ###</c:formatCode>
                      <c:ptCount val="6"/>
                      <c:pt idx="0">
                        <c:v>1084289</c:v>
                      </c:pt>
                      <c:pt idx="1">
                        <c:v>47315</c:v>
                      </c:pt>
                      <c:pt idx="2">
                        <c:v>1088669</c:v>
                      </c:pt>
                      <c:pt idx="3">
                        <c:v>55864</c:v>
                      </c:pt>
                      <c:pt idx="4">
                        <c:v>1200819</c:v>
                      </c:pt>
                      <c:pt idx="5">
                        <c:v>84969</c:v>
                      </c:pt>
                    </c:numCache>
                  </c:numRef>
                </c:val>
                <c:extLst xmlns:c15="http://schemas.microsoft.com/office/drawing/2012/chart">
                  <c:ext xmlns:c16="http://schemas.microsoft.com/office/drawing/2014/chart" uri="{C3380CC4-5D6E-409C-BE32-E72D297353CC}">
                    <c16:uniqueId val="{00000009-173E-49FC-AF44-0ED0E388E0F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'Visitantes MN vs MS'!$A$11:$B$11</c15:sqref>
                        </c15:formulaRef>
                      </c:ext>
                    </c:extLst>
                    <c:strCache>
                      <c:ptCount val="2"/>
                      <c:pt idx="0">
                        <c:v>Cajamarca</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MS'!$D$11:$E$11,'Visitantes MN vs MS'!$G$11:$H$11,'Visitantes MN vs MS'!$J$11:$K$11)</c15:sqref>
                        </c15:formulaRef>
                      </c:ext>
                    </c:extLst>
                    <c:numCache>
                      <c:formatCode>#\ ###\ ###</c:formatCode>
                      <c:ptCount val="6"/>
                      <c:pt idx="0">
                        <c:v>871770</c:v>
                      </c:pt>
                      <c:pt idx="1">
                        <c:v>21770</c:v>
                      </c:pt>
                      <c:pt idx="2">
                        <c:v>921511</c:v>
                      </c:pt>
                      <c:pt idx="3">
                        <c:v>20555</c:v>
                      </c:pt>
                      <c:pt idx="4">
                        <c:v>1005109</c:v>
                      </c:pt>
                      <c:pt idx="5">
                        <c:v>20884</c:v>
                      </c:pt>
                    </c:numCache>
                  </c:numRef>
                </c:val>
                <c:extLst xmlns:c15="http://schemas.microsoft.com/office/drawing/2012/chart">
                  <c:ext xmlns:c16="http://schemas.microsoft.com/office/drawing/2014/chart" uri="{C3380CC4-5D6E-409C-BE32-E72D297353CC}">
                    <c16:uniqueId val="{0000000A-173E-49FC-AF44-0ED0E388E0F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'Visitantes MN vs MS'!$A$13:$B$13</c15:sqref>
                        </c15:formulaRef>
                      </c:ext>
                    </c:extLst>
                    <c:strCache>
                      <c:ptCount val="2"/>
                      <c:pt idx="0">
                        <c:v>La Libertad</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MS'!$D$13:$E$13,'Visitantes MN vs MS'!$G$13:$H$13,'Visitantes MN vs MS'!$J$13:$K$13)</c15:sqref>
                        </c15:formulaRef>
                      </c:ext>
                    </c:extLst>
                    <c:numCache>
                      <c:formatCode>#\ ###\ ###</c:formatCode>
                      <c:ptCount val="6"/>
                      <c:pt idx="0">
                        <c:v>1706987</c:v>
                      </c:pt>
                      <c:pt idx="1">
                        <c:v>62102</c:v>
                      </c:pt>
                      <c:pt idx="2">
                        <c:v>1637153</c:v>
                      </c:pt>
                      <c:pt idx="3">
                        <c:v>75926</c:v>
                      </c:pt>
                      <c:pt idx="4">
                        <c:v>1871377</c:v>
                      </c:pt>
                      <c:pt idx="5">
                        <c:v>93139</c:v>
                      </c:pt>
                    </c:numCache>
                  </c:numRef>
                </c:val>
                <c:extLst xmlns:c15="http://schemas.microsoft.com/office/drawing/2012/chart">
                  <c:ext xmlns:c16="http://schemas.microsoft.com/office/drawing/2014/chart" uri="{C3380CC4-5D6E-409C-BE32-E72D297353CC}">
                    <c16:uniqueId val="{0000000B-173E-49FC-AF44-0ED0E388E0F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'Visitantes MN vs MS'!$A$15:$B$15</c15:sqref>
                        </c15:formulaRef>
                      </c:ext>
                    </c:extLst>
                    <c:strCache>
                      <c:ptCount val="2"/>
                      <c:pt idx="0">
                        <c:v>La Libertad</c:v>
                      </c:pt>
                      <c:pt idx="1">
                        <c:v>El Brujo (Magdalena de Cao)</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MS'!$D$15:$E$15,'Visitantes MN vs MS'!$G$15:$H$15,'Visitantes MN vs MS'!$J$15:$K$15)</c15:sqref>
                        </c15:formulaRef>
                      </c:ext>
                    </c:extLst>
                    <c:numCache>
                      <c:formatCode>#\ ###\ ###</c:formatCode>
                      <c:ptCount val="6"/>
                      <c:pt idx="0">
                        <c:v>43229</c:v>
                      </c:pt>
                      <c:pt idx="1">
                        <c:v>6624</c:v>
                      </c:pt>
                      <c:pt idx="2">
                        <c:v>59022</c:v>
                      </c:pt>
                      <c:pt idx="3">
                        <c:v>8240</c:v>
                      </c:pt>
                      <c:pt idx="4">
                        <c:v>57760</c:v>
                      </c:pt>
                      <c:pt idx="5">
                        <c:v>8280</c:v>
                      </c:pt>
                    </c:numCache>
                  </c:numRef>
                </c:val>
                <c:extLst xmlns:c15="http://schemas.microsoft.com/office/drawing/2012/chart">
                  <c:ext xmlns:c16="http://schemas.microsoft.com/office/drawing/2014/chart" uri="{C3380CC4-5D6E-409C-BE32-E72D297353CC}">
                    <c16:uniqueId val="{0000000C-173E-49FC-AF44-0ED0E388E0F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'Visitantes MN vs MS'!$A$16:$B$16</c15:sqref>
                        </c15:formulaRef>
                      </c:ext>
                    </c:extLst>
                    <c:strCache>
                      <c:ptCount val="2"/>
                      <c:pt idx="0">
                        <c:v>La Libertad</c:v>
                      </c:pt>
                      <c:pt idx="1">
                        <c:v>Chan Chan (Huanchaco)</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MS'!$D$16:$E$16,'Visitantes MN vs MS'!$G$16:$H$16,'Visitantes MN vs MS'!$J$16:$K$16)</c15:sqref>
                        </c15:formulaRef>
                      </c:ext>
                    </c:extLst>
                    <c:numCache>
                      <c:formatCode>#\ ###\ ###</c:formatCode>
                      <c:ptCount val="6"/>
                      <c:pt idx="0">
                        <c:v>21959</c:v>
                      </c:pt>
                      <c:pt idx="1">
                        <c:v>921</c:v>
                      </c:pt>
                      <c:pt idx="2">
                        <c:v>23930</c:v>
                      </c:pt>
                      <c:pt idx="3">
                        <c:v>2171</c:v>
                      </c:pt>
                      <c:pt idx="4">
                        <c:v>30327</c:v>
                      </c:pt>
                      <c:pt idx="5">
                        <c:v>4386</c:v>
                      </c:pt>
                    </c:numCache>
                  </c:numRef>
                </c:val>
                <c:extLst xmlns:c15="http://schemas.microsoft.com/office/drawing/2012/chart">
                  <c:ext xmlns:c16="http://schemas.microsoft.com/office/drawing/2014/chart" uri="{C3380CC4-5D6E-409C-BE32-E72D297353CC}">
                    <c16:uniqueId val="{0000000D-173E-49FC-AF44-0ED0E388E0FB}"/>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'Visitantes MN vs MS'!$A$17:$B$17</c15:sqref>
                        </c15:formulaRef>
                      </c:ext>
                    </c:extLst>
                    <c:strCache>
                      <c:ptCount val="2"/>
                      <c:pt idx="0">
                        <c:v>Lambayeque</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MS'!$D$17:$E$17,'Visitantes MN vs MS'!$G$17:$H$17,'Visitantes MN vs MS'!$J$17:$K$17)</c15:sqref>
                        </c15:formulaRef>
                      </c:ext>
                    </c:extLst>
                    <c:numCache>
                      <c:formatCode>#\ ###\ ###</c:formatCode>
                      <c:ptCount val="6"/>
                      <c:pt idx="0">
                        <c:v>907449</c:v>
                      </c:pt>
                      <c:pt idx="1">
                        <c:v>21536</c:v>
                      </c:pt>
                      <c:pt idx="2">
                        <c:v>1002214</c:v>
                      </c:pt>
                      <c:pt idx="3">
                        <c:v>26780</c:v>
                      </c:pt>
                      <c:pt idx="4">
                        <c:v>997525</c:v>
                      </c:pt>
                      <c:pt idx="5">
                        <c:v>34681</c:v>
                      </c:pt>
                    </c:numCache>
                  </c:numRef>
                </c:val>
                <c:extLst xmlns:c15="http://schemas.microsoft.com/office/drawing/2012/chart">
                  <c:ext xmlns:c16="http://schemas.microsoft.com/office/drawing/2014/chart" uri="{C3380CC4-5D6E-409C-BE32-E72D297353CC}">
                    <c16:uniqueId val="{0000000E-173E-49FC-AF44-0ED0E388E0FB}"/>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'Visitantes MN vs MS'!$A$19:$B$19</c15:sqref>
                        </c15:formulaRef>
                      </c:ext>
                    </c:extLst>
                    <c:strCache>
                      <c:ptCount val="2"/>
                      <c:pt idx="0">
                        <c:v>Lambayeque</c:v>
                      </c:pt>
                      <c:pt idx="1">
                        <c:v>SH Bosque de Pómac</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MS'!$D$19:$E$19,'Visitantes MN vs MS'!$G$19:$H$19,'Visitantes MN vs MS'!$J$19:$K$19)</c15:sqref>
                        </c15:formulaRef>
                      </c:ext>
                    </c:extLst>
                    <c:numCache>
                      <c:formatCode>#\ ###\ ###</c:formatCode>
                      <c:ptCount val="6"/>
                      <c:pt idx="0">
                        <c:v>14497</c:v>
                      </c:pt>
                      <c:pt idx="1">
                        <c:v>1000</c:v>
                      </c:pt>
                      <c:pt idx="2">
                        <c:v>18601</c:v>
                      </c:pt>
                      <c:pt idx="3">
                        <c:v>1029</c:v>
                      </c:pt>
                      <c:pt idx="4">
                        <c:v>19662</c:v>
                      </c:pt>
                      <c:pt idx="5">
                        <c:v>745</c:v>
                      </c:pt>
                    </c:numCache>
                  </c:numRef>
                </c:val>
                <c:extLst xmlns:c15="http://schemas.microsoft.com/office/drawing/2012/chart">
                  <c:ext xmlns:c16="http://schemas.microsoft.com/office/drawing/2014/chart" uri="{C3380CC4-5D6E-409C-BE32-E72D297353CC}">
                    <c16:uniqueId val="{0000000F-173E-49FC-AF44-0ED0E388E0FB}"/>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'Visitantes MN vs MS'!$A$20:$B$20</c15:sqref>
                        </c15:formulaRef>
                      </c:ext>
                    </c:extLst>
                    <c:strCache>
                      <c:ptCount val="2"/>
                      <c:pt idx="0">
                        <c:v>Lambayeque</c:v>
                      </c:pt>
                      <c:pt idx="1">
                        <c:v>Túcume</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MS'!$D$20:$E$20,'Visitantes MN vs MS'!$G$20:$H$20,'Visitantes MN vs MS'!$J$20:$K$20)</c15:sqref>
                        </c15:formulaRef>
                      </c:ext>
                    </c:extLst>
                    <c:numCache>
                      <c:formatCode>#\ ###\ ###</c:formatCode>
                      <c:ptCount val="6"/>
                      <c:pt idx="0">
                        <c:v>32957</c:v>
                      </c:pt>
                      <c:pt idx="1">
                        <c:v>4976</c:v>
                      </c:pt>
                      <c:pt idx="2">
                        <c:v>55100</c:v>
                      </c:pt>
                      <c:pt idx="3">
                        <c:v>6009</c:v>
                      </c:pt>
                      <c:pt idx="4">
                        <c:v>64564</c:v>
                      </c:pt>
                      <c:pt idx="5">
                        <c:v>5907</c:v>
                      </c:pt>
                    </c:numCache>
                  </c:numRef>
                </c:val>
                <c:extLst xmlns:c15="http://schemas.microsoft.com/office/drawing/2012/chart">
                  <c:ext xmlns:c16="http://schemas.microsoft.com/office/drawing/2014/chart" uri="{C3380CC4-5D6E-409C-BE32-E72D297353CC}">
                    <c16:uniqueId val="{00000010-173E-49FC-AF44-0ED0E388E0FB}"/>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'Visitantes MN vs MS'!$A$21:$B$21</c15:sqref>
                        </c15:formulaRef>
                      </c:ext>
                    </c:extLst>
                    <c:strCache>
                      <c:ptCount val="2"/>
                      <c:pt idx="0">
                        <c:v>Loreto</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MS'!$D$21:$E$21,'Visitantes MN vs MS'!$G$21:$H$21,'Visitantes MN vs MS'!$J$21:$K$21)</c15:sqref>
                        </c15:formulaRef>
                      </c:ext>
                    </c:extLst>
                    <c:numCache>
                      <c:formatCode>#\ ###\ ###</c:formatCode>
                      <c:ptCount val="6"/>
                      <c:pt idx="0">
                        <c:v>438711</c:v>
                      </c:pt>
                      <c:pt idx="1">
                        <c:v>209133</c:v>
                      </c:pt>
                      <c:pt idx="2">
                        <c:v>466582</c:v>
                      </c:pt>
                      <c:pt idx="3">
                        <c:v>220919</c:v>
                      </c:pt>
                      <c:pt idx="4">
                        <c:v>517401</c:v>
                      </c:pt>
                      <c:pt idx="5">
                        <c:v>222671</c:v>
                      </c:pt>
                    </c:numCache>
                  </c:numRef>
                </c:val>
                <c:extLst xmlns:c15="http://schemas.microsoft.com/office/drawing/2012/chart">
                  <c:ext xmlns:c16="http://schemas.microsoft.com/office/drawing/2014/chart" uri="{C3380CC4-5D6E-409C-BE32-E72D297353CC}">
                    <c16:uniqueId val="{00000011-173E-49FC-AF44-0ED0E388E0FB}"/>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'Visitantes MN vs MS'!$A$22:$B$22</c15:sqref>
                        </c15:formulaRef>
                      </c:ext>
                    </c:extLst>
                    <c:strCache>
                      <c:ptCount val="2"/>
                      <c:pt idx="0">
                        <c:v>Piura</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MS'!$D$22:$E$22,'Visitantes MN vs MS'!$G$22:$H$22,'Visitantes MN vs MS'!$J$22:$K$22)</c15:sqref>
                        </c15:formulaRef>
                      </c:ext>
                    </c:extLst>
                    <c:numCache>
                      <c:formatCode>#\ ###\ ###</c:formatCode>
                      <c:ptCount val="6"/>
                      <c:pt idx="0">
                        <c:v>1019778</c:v>
                      </c:pt>
                      <c:pt idx="1">
                        <c:v>99698</c:v>
                      </c:pt>
                      <c:pt idx="2">
                        <c:v>1084236</c:v>
                      </c:pt>
                      <c:pt idx="3">
                        <c:v>135238</c:v>
                      </c:pt>
                      <c:pt idx="4">
                        <c:v>1220879</c:v>
                      </c:pt>
                      <c:pt idx="5">
                        <c:v>143920</c:v>
                      </c:pt>
                    </c:numCache>
                  </c:numRef>
                </c:val>
                <c:extLst xmlns:c15="http://schemas.microsoft.com/office/drawing/2012/chart">
                  <c:ext xmlns:c16="http://schemas.microsoft.com/office/drawing/2014/chart" uri="{C3380CC4-5D6E-409C-BE32-E72D297353CC}">
                    <c16:uniqueId val="{00000012-173E-49FC-AF44-0ED0E388E0FB}"/>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'Visitantes MN vs MS'!$A$23:$B$23</c15:sqref>
                        </c15:formulaRef>
                      </c:ext>
                    </c:extLst>
                    <c:strCache>
                      <c:ptCount val="2"/>
                      <c:pt idx="0">
                        <c:v>San Martin</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MS'!$D$23:$E$23,'Visitantes MN vs MS'!$G$23:$H$23,'Visitantes MN vs MS'!$J$23:$K$23)</c15:sqref>
                        </c15:formulaRef>
                      </c:ext>
                    </c:extLst>
                    <c:numCache>
                      <c:formatCode>#\ ###\ ###</c:formatCode>
                      <c:ptCount val="6"/>
                      <c:pt idx="0">
                        <c:v>1253925</c:v>
                      </c:pt>
                      <c:pt idx="1">
                        <c:v>19107</c:v>
                      </c:pt>
                      <c:pt idx="2">
                        <c:v>1272424</c:v>
                      </c:pt>
                      <c:pt idx="3">
                        <c:v>21472</c:v>
                      </c:pt>
                      <c:pt idx="4">
                        <c:v>1271382</c:v>
                      </c:pt>
                      <c:pt idx="5">
                        <c:v>18805</c:v>
                      </c:pt>
                    </c:numCache>
                  </c:numRef>
                </c:val>
                <c:extLst xmlns:c15="http://schemas.microsoft.com/office/drawing/2012/chart">
                  <c:ext xmlns:c16="http://schemas.microsoft.com/office/drawing/2014/chart" uri="{C3380CC4-5D6E-409C-BE32-E72D297353CC}">
                    <c16:uniqueId val="{00000013-173E-49FC-AF44-0ED0E388E0FB}"/>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'Visitantes MN vs MS'!$A$24:$B$24</c15:sqref>
                        </c15:formulaRef>
                      </c:ext>
                    </c:extLst>
                    <c:strCache>
                      <c:ptCount val="2"/>
                      <c:pt idx="0">
                        <c:v>Tumbes</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('Visitantes MN vs MS'!$D$4:$E$4,'Visitantes MN vs MS'!$G$4:$H$4,'Visitantes MN vs MS'!$J$4:$K$4)</c15:sqref>
                        </c15:formulaRef>
                      </c:ext>
                    </c:extLst>
                    <c:strCache>
                      <c:ptCount val="6"/>
                      <c:pt idx="0">
                        <c:v>2017-N</c:v>
                      </c:pt>
                      <c:pt idx="1">
                        <c:v>2017-E</c:v>
                      </c:pt>
                      <c:pt idx="2">
                        <c:v>2018-N</c:v>
                      </c:pt>
                      <c:pt idx="3">
                        <c:v>2018-E</c:v>
                      </c:pt>
                      <c:pt idx="4">
                        <c:v>2019-N</c:v>
                      </c:pt>
                      <c:pt idx="5">
                        <c:v>2019-E</c:v>
                      </c:pt>
                    </c:strCache>
                  </c:strRef>
                </c:cat>
                <c:val>
                  <c:numRef>
                    <c:extLst xmlns:c15="http://schemas.microsoft.com/office/drawing/2012/chart">
                      <c:ext xmlns:c15="http://schemas.microsoft.com/office/drawing/2012/chart" uri="{02D57815-91ED-43cb-92C2-25804820EDAC}">
                        <c15:formulaRef>
                          <c15:sqref>('Visitantes MN vs MS'!$D$24:$E$24,'Visitantes MN vs MS'!$G$24:$H$24,'Visitantes MN vs MS'!$J$24:$K$24)</c15:sqref>
                        </c15:formulaRef>
                      </c:ext>
                    </c:extLst>
                    <c:numCache>
                      <c:formatCode>#\ ###\ ###</c:formatCode>
                      <c:ptCount val="6"/>
                      <c:pt idx="0">
                        <c:v>293303</c:v>
                      </c:pt>
                      <c:pt idx="1">
                        <c:v>70303</c:v>
                      </c:pt>
                      <c:pt idx="2">
                        <c:v>316655</c:v>
                      </c:pt>
                      <c:pt idx="3">
                        <c:v>75040</c:v>
                      </c:pt>
                      <c:pt idx="4">
                        <c:v>314632</c:v>
                      </c:pt>
                      <c:pt idx="5">
                        <c:v>94910</c:v>
                      </c:pt>
                    </c:numCache>
                  </c:numRef>
                </c:val>
                <c:extLst xmlns:c15="http://schemas.microsoft.com/office/drawing/2012/chart">
                  <c:ext xmlns:c16="http://schemas.microsoft.com/office/drawing/2014/chart" uri="{C3380CC4-5D6E-409C-BE32-E72D297353CC}">
                    <c16:uniqueId val="{00000014-173E-49FC-AF44-0ED0E388E0FB}"/>
                  </c:ext>
                </c:extLst>
              </c15:ser>
            </c15:filteredBarSeries>
          </c:ext>
        </c:extLst>
      </c:barChart>
      <c:catAx>
        <c:axId val="1441573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a:t>
                </a:r>
                <a:r>
                  <a:rPr lang="es-ES" baseline="0"/>
                  <a:t> Nacionales - E: Extranjeros</a:t>
                </a:r>
                <a:endParaRPr lang="es-E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1579040"/>
        <c:crosses val="autoZero"/>
        <c:auto val="1"/>
        <c:lblAlgn val="ctr"/>
        <c:lblOffset val="100"/>
        <c:noMultiLvlLbl val="0"/>
      </c:catAx>
      <c:valAx>
        <c:axId val="1441579040"/>
        <c:scaling>
          <c:orientation val="minMax"/>
        </c:scaling>
        <c:delete val="0"/>
        <c:axPos val="l"/>
        <c:numFmt formatCode="#\ ###\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41573760"/>
        <c:crosses val="autoZero"/>
        <c:crossBetween val="between"/>
      </c:valAx>
      <c:spPr>
        <a:noFill/>
        <a:ln>
          <a:noFill/>
        </a:ln>
        <a:effectLst/>
      </c:spPr>
    </c:plotArea>
    <c:legend>
      <c:legendPos val="r"/>
      <c:layout>
        <c:manualLayout>
          <c:xMode val="edge"/>
          <c:yMode val="edge"/>
          <c:x val="0.78379573132136604"/>
          <c:y val="0.12203056185773391"/>
          <c:w val="0.20334253234422867"/>
          <c:h val="0.864893900974242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90367088224309E-2"/>
          <c:y val="0.16219503331314356"/>
          <c:w val="0.77125727608685291"/>
          <c:h val="0.63156228548354532"/>
        </c:manualLayout>
      </c:layout>
      <c:barChart>
        <c:barDir val="col"/>
        <c:grouping val="stacked"/>
        <c:varyColors val="0"/>
        <c:ser>
          <c:idx val="0"/>
          <c:order val="0"/>
          <c:tx>
            <c:strRef>
              <c:f>Hoja2!$D$89</c:f>
              <c:strCache>
                <c:ptCount val="1"/>
                <c:pt idx="0">
                  <c:v>Turistas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Hoja2!$B$90:$B$94</c:f>
              <c:numCache>
                <c:formatCode>General</c:formatCode>
                <c:ptCount val="5"/>
                <c:pt idx="0">
                  <c:v>2015</c:v>
                </c:pt>
                <c:pt idx="1">
                  <c:v>2016</c:v>
                </c:pt>
                <c:pt idx="2">
                  <c:v>2017</c:v>
                </c:pt>
                <c:pt idx="3">
                  <c:v>2018</c:v>
                </c:pt>
                <c:pt idx="4">
                  <c:v>2019</c:v>
                </c:pt>
              </c:numCache>
            </c:numRef>
          </c:cat>
          <c:val>
            <c:numRef>
              <c:f>Hoja2!$D$90:$D$94</c:f>
              <c:numCache>
                <c:formatCode>General</c:formatCode>
                <c:ptCount val="5"/>
                <c:pt idx="0">
                  <c:v>3.5</c:v>
                </c:pt>
                <c:pt idx="1">
                  <c:v>3.7</c:v>
                </c:pt>
                <c:pt idx="2" formatCode="0.0">
                  <c:v>4</c:v>
                </c:pt>
                <c:pt idx="3">
                  <c:v>4.4000000000000004</c:v>
                </c:pt>
                <c:pt idx="4">
                  <c:v>4.4000000000000004</c:v>
                </c:pt>
              </c:numCache>
            </c:numRef>
          </c:val>
          <c:extLst>
            <c:ext xmlns:c16="http://schemas.microsoft.com/office/drawing/2014/chart" uri="{C3380CC4-5D6E-409C-BE32-E72D297353CC}">
              <c16:uniqueId val="{00000000-F078-4746-B5FE-F530D7EF4A8E}"/>
            </c:ext>
          </c:extLst>
        </c:ser>
        <c:ser>
          <c:idx val="1"/>
          <c:order val="1"/>
          <c:tx>
            <c:strRef>
              <c:f>Hoja2!$E$89</c:f>
              <c:strCache>
                <c:ptCount val="1"/>
                <c:pt idx="0">
                  <c:v>Excursionistas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Hoja2!$B$90:$B$94</c:f>
              <c:numCache>
                <c:formatCode>General</c:formatCode>
                <c:ptCount val="5"/>
                <c:pt idx="0">
                  <c:v>2015</c:v>
                </c:pt>
                <c:pt idx="1">
                  <c:v>2016</c:v>
                </c:pt>
                <c:pt idx="2">
                  <c:v>2017</c:v>
                </c:pt>
                <c:pt idx="3">
                  <c:v>2018</c:v>
                </c:pt>
                <c:pt idx="4">
                  <c:v>2019</c:v>
                </c:pt>
              </c:numCache>
            </c:numRef>
          </c:cat>
          <c:val>
            <c:numRef>
              <c:f>Hoja2!$E$90:$E$94</c:f>
              <c:numCache>
                <c:formatCode>0.0</c:formatCode>
                <c:ptCount val="5"/>
                <c:pt idx="0" formatCode="General">
                  <c:v>0.9</c:v>
                </c:pt>
                <c:pt idx="1">
                  <c:v>1</c:v>
                </c:pt>
                <c:pt idx="2">
                  <c:v>1</c:v>
                </c:pt>
                <c:pt idx="3">
                  <c:v>1</c:v>
                </c:pt>
                <c:pt idx="4" formatCode="General">
                  <c:v>0.9</c:v>
                </c:pt>
              </c:numCache>
            </c:numRef>
          </c:val>
          <c:extLst>
            <c:ext xmlns:c16="http://schemas.microsoft.com/office/drawing/2014/chart" uri="{C3380CC4-5D6E-409C-BE32-E72D297353CC}">
              <c16:uniqueId val="{00000001-F078-4746-B5FE-F530D7EF4A8E}"/>
            </c:ext>
          </c:extLst>
        </c:ser>
        <c:dLbls>
          <c:dLblPos val="ctr"/>
          <c:showLegendKey val="0"/>
          <c:showVal val="1"/>
          <c:showCatName val="0"/>
          <c:showSerName val="0"/>
          <c:showPercent val="0"/>
          <c:showBubbleSize val="0"/>
        </c:dLbls>
        <c:gapWidth val="79"/>
        <c:overlap val="100"/>
        <c:axId val="1168714400"/>
        <c:axId val="1168714880"/>
      </c:barChart>
      <c:catAx>
        <c:axId val="11687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1168714880"/>
        <c:crosses val="autoZero"/>
        <c:auto val="1"/>
        <c:lblAlgn val="ctr"/>
        <c:lblOffset val="100"/>
        <c:noMultiLvlLbl val="0"/>
      </c:catAx>
      <c:valAx>
        <c:axId val="116871488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aseline="0"/>
                  <a:t> Visiantes</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crossAx val="1168714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Índice</a:t>
            </a:r>
            <a:r>
              <a:rPr lang="en-US" sz="1200" b="1" baseline="0"/>
              <a:t> de Competitividad Turística Departamental</a:t>
            </a:r>
          </a:p>
          <a:p>
            <a:pPr>
              <a:defRPr b="1"/>
            </a:pPr>
            <a:r>
              <a:rPr lang="en-US" sz="800" b="1" baseline="0"/>
              <a:t>COMEX - PERÚ</a:t>
            </a:r>
            <a:endParaRPr lang="en-US" sz="8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v>Año 2019</c:v>
          </c:tx>
          <c:spPr>
            <a:ln w="28575" cap="rnd">
              <a:solidFill>
                <a:schemeClr val="accent1"/>
              </a:solidFill>
              <a:round/>
            </a:ln>
            <a:effectLst/>
          </c:spPr>
          <c:marker>
            <c:symbol val="none"/>
          </c:marker>
          <c:cat>
            <c:strRef>
              <c:f>'ICTD 2019 &amp; 2023'!$A$5:$A$28</c:f>
              <c:strCache>
                <c:ptCount val="24"/>
                <c:pt idx="0">
                  <c:v>Cusco</c:v>
                </c:pt>
                <c:pt idx="1">
                  <c:v>Lima</c:v>
                </c:pt>
                <c:pt idx="2">
                  <c:v>Piura</c:v>
                </c:pt>
                <c:pt idx="3">
                  <c:v>Amazonas</c:v>
                </c:pt>
                <c:pt idx="4">
                  <c:v>Arequipa</c:v>
                </c:pt>
                <c:pt idx="5">
                  <c:v>Ica</c:v>
                </c:pt>
                <c:pt idx="6">
                  <c:v>Loreto</c:v>
                </c:pt>
                <c:pt idx="7">
                  <c:v>Madre de Dios</c:v>
                </c:pt>
                <c:pt idx="8">
                  <c:v>Lambayeque</c:v>
                </c:pt>
                <c:pt idx="9">
                  <c:v>Tacna</c:v>
                </c:pt>
                <c:pt idx="10">
                  <c:v>Moquegua</c:v>
                </c:pt>
                <c:pt idx="11">
                  <c:v>San Martin</c:v>
                </c:pt>
                <c:pt idx="12">
                  <c:v>Apurimac</c:v>
                </c:pt>
                <c:pt idx="13">
                  <c:v>Ayacucho</c:v>
                </c:pt>
                <c:pt idx="14">
                  <c:v>Pasco</c:v>
                </c:pt>
                <c:pt idx="15">
                  <c:v>Puno</c:v>
                </c:pt>
                <c:pt idx="16">
                  <c:v>Tumbes</c:v>
                </c:pt>
                <c:pt idx="17">
                  <c:v>Ucayali</c:v>
                </c:pt>
                <c:pt idx="18">
                  <c:v>Cajamarca</c:v>
                </c:pt>
                <c:pt idx="19">
                  <c:v>Junin</c:v>
                </c:pt>
                <c:pt idx="20">
                  <c:v>La Libertad</c:v>
                </c:pt>
                <c:pt idx="21">
                  <c:v>Ancash</c:v>
                </c:pt>
                <c:pt idx="22">
                  <c:v>Huánuco</c:v>
                </c:pt>
                <c:pt idx="23">
                  <c:v>Huancavelica</c:v>
                </c:pt>
              </c:strCache>
            </c:strRef>
          </c:cat>
          <c:val>
            <c:numRef>
              <c:f>'ICTD 2019 &amp; 2023'!$B$5:$B$28</c:f>
              <c:numCache>
                <c:formatCode>General</c:formatCode>
                <c:ptCount val="24"/>
                <c:pt idx="0">
                  <c:v>0.54</c:v>
                </c:pt>
                <c:pt idx="1">
                  <c:v>0.46</c:v>
                </c:pt>
                <c:pt idx="2">
                  <c:v>0.46</c:v>
                </c:pt>
                <c:pt idx="3">
                  <c:v>0.45</c:v>
                </c:pt>
                <c:pt idx="4">
                  <c:v>0.45</c:v>
                </c:pt>
                <c:pt idx="5">
                  <c:v>0.44</c:v>
                </c:pt>
                <c:pt idx="6">
                  <c:v>0.44</c:v>
                </c:pt>
                <c:pt idx="7">
                  <c:v>0.44</c:v>
                </c:pt>
                <c:pt idx="8">
                  <c:v>0.43</c:v>
                </c:pt>
                <c:pt idx="9">
                  <c:v>0.42</c:v>
                </c:pt>
                <c:pt idx="10">
                  <c:v>0.41</c:v>
                </c:pt>
                <c:pt idx="11">
                  <c:v>0.41</c:v>
                </c:pt>
                <c:pt idx="12" formatCode="0.00">
                  <c:v>0.4</c:v>
                </c:pt>
                <c:pt idx="13">
                  <c:v>0.39</c:v>
                </c:pt>
                <c:pt idx="14">
                  <c:v>0.39</c:v>
                </c:pt>
                <c:pt idx="15">
                  <c:v>0.39</c:v>
                </c:pt>
                <c:pt idx="16">
                  <c:v>0.38</c:v>
                </c:pt>
                <c:pt idx="17">
                  <c:v>0.38</c:v>
                </c:pt>
                <c:pt idx="18">
                  <c:v>0.36</c:v>
                </c:pt>
                <c:pt idx="19">
                  <c:v>0.35</c:v>
                </c:pt>
                <c:pt idx="20">
                  <c:v>0.35</c:v>
                </c:pt>
                <c:pt idx="21">
                  <c:v>0.34</c:v>
                </c:pt>
                <c:pt idx="22">
                  <c:v>0.34</c:v>
                </c:pt>
                <c:pt idx="23" formatCode="0.00">
                  <c:v>0.3</c:v>
                </c:pt>
              </c:numCache>
            </c:numRef>
          </c:val>
          <c:smooth val="0"/>
          <c:extLst>
            <c:ext xmlns:c16="http://schemas.microsoft.com/office/drawing/2014/chart" uri="{C3380CC4-5D6E-409C-BE32-E72D297353CC}">
              <c16:uniqueId val="{00000000-42AF-4A01-A36B-011BD78A9667}"/>
            </c:ext>
          </c:extLst>
        </c:ser>
        <c:ser>
          <c:idx val="1"/>
          <c:order val="1"/>
          <c:tx>
            <c:v>Año 2022</c:v>
          </c:tx>
          <c:spPr>
            <a:ln w="28575" cap="rnd">
              <a:solidFill>
                <a:schemeClr val="accent2"/>
              </a:solidFill>
              <a:round/>
            </a:ln>
            <a:effectLst/>
          </c:spPr>
          <c:marker>
            <c:symbol val="none"/>
          </c:marker>
          <c:cat>
            <c:strRef>
              <c:f>'ICTD 2019 &amp; 2023'!$A$5:$A$28</c:f>
              <c:strCache>
                <c:ptCount val="24"/>
                <c:pt idx="0">
                  <c:v>Cusco</c:v>
                </c:pt>
                <c:pt idx="1">
                  <c:v>Lima</c:v>
                </c:pt>
                <c:pt idx="2">
                  <c:v>Piura</c:v>
                </c:pt>
                <c:pt idx="3">
                  <c:v>Amazonas</c:v>
                </c:pt>
                <c:pt idx="4">
                  <c:v>Arequipa</c:v>
                </c:pt>
                <c:pt idx="5">
                  <c:v>Ica</c:v>
                </c:pt>
                <c:pt idx="6">
                  <c:v>Loreto</c:v>
                </c:pt>
                <c:pt idx="7">
                  <c:v>Madre de Dios</c:v>
                </c:pt>
                <c:pt idx="8">
                  <c:v>Lambayeque</c:v>
                </c:pt>
                <c:pt idx="9">
                  <c:v>Tacna</c:v>
                </c:pt>
                <c:pt idx="10">
                  <c:v>Moquegua</c:v>
                </c:pt>
                <c:pt idx="11">
                  <c:v>San Martin</c:v>
                </c:pt>
                <c:pt idx="12">
                  <c:v>Apurimac</c:v>
                </c:pt>
                <c:pt idx="13">
                  <c:v>Ayacucho</c:v>
                </c:pt>
                <c:pt idx="14">
                  <c:v>Pasco</c:v>
                </c:pt>
                <c:pt idx="15">
                  <c:v>Puno</c:v>
                </c:pt>
                <c:pt idx="16">
                  <c:v>Tumbes</c:v>
                </c:pt>
                <c:pt idx="17">
                  <c:v>Ucayali</c:v>
                </c:pt>
                <c:pt idx="18">
                  <c:v>Cajamarca</c:v>
                </c:pt>
                <c:pt idx="19">
                  <c:v>Junin</c:v>
                </c:pt>
                <c:pt idx="20">
                  <c:v>La Libertad</c:v>
                </c:pt>
                <c:pt idx="21">
                  <c:v>Ancash</c:v>
                </c:pt>
                <c:pt idx="22">
                  <c:v>Huánuco</c:v>
                </c:pt>
                <c:pt idx="23">
                  <c:v>Huancavelica</c:v>
                </c:pt>
              </c:strCache>
            </c:strRef>
          </c:cat>
          <c:val>
            <c:numRef>
              <c:f>'ICTD 2019 &amp; 2023'!$C$5:$C$28</c:f>
              <c:numCache>
                <c:formatCode>0.00</c:formatCode>
                <c:ptCount val="24"/>
                <c:pt idx="0">
                  <c:v>0.54</c:v>
                </c:pt>
                <c:pt idx="1">
                  <c:v>0.48</c:v>
                </c:pt>
                <c:pt idx="2">
                  <c:v>0.45</c:v>
                </c:pt>
                <c:pt idx="3">
                  <c:v>0.41</c:v>
                </c:pt>
                <c:pt idx="4">
                  <c:v>0.43</c:v>
                </c:pt>
                <c:pt idx="5">
                  <c:v>0.42</c:v>
                </c:pt>
                <c:pt idx="6">
                  <c:v>0.46</c:v>
                </c:pt>
                <c:pt idx="7">
                  <c:v>0.48</c:v>
                </c:pt>
                <c:pt idx="8">
                  <c:v>0.41</c:v>
                </c:pt>
                <c:pt idx="9">
                  <c:v>0.4</c:v>
                </c:pt>
                <c:pt idx="10">
                  <c:v>0.41</c:v>
                </c:pt>
                <c:pt idx="11">
                  <c:v>0.38</c:v>
                </c:pt>
                <c:pt idx="12">
                  <c:v>0.39</c:v>
                </c:pt>
                <c:pt idx="13">
                  <c:v>0.37</c:v>
                </c:pt>
                <c:pt idx="14">
                  <c:v>0.45</c:v>
                </c:pt>
                <c:pt idx="15">
                  <c:v>0.39</c:v>
                </c:pt>
                <c:pt idx="16">
                  <c:v>0.39</c:v>
                </c:pt>
                <c:pt idx="17">
                  <c:v>0.39</c:v>
                </c:pt>
                <c:pt idx="18">
                  <c:v>0.33</c:v>
                </c:pt>
                <c:pt idx="19">
                  <c:v>0.37</c:v>
                </c:pt>
                <c:pt idx="20">
                  <c:v>0.33</c:v>
                </c:pt>
                <c:pt idx="21">
                  <c:v>0.39</c:v>
                </c:pt>
                <c:pt idx="22">
                  <c:v>0.3</c:v>
                </c:pt>
                <c:pt idx="23">
                  <c:v>0.28000000000000003</c:v>
                </c:pt>
              </c:numCache>
            </c:numRef>
          </c:val>
          <c:smooth val="0"/>
          <c:extLst>
            <c:ext xmlns:c16="http://schemas.microsoft.com/office/drawing/2014/chart" uri="{C3380CC4-5D6E-409C-BE32-E72D297353CC}">
              <c16:uniqueId val="{00000001-42AF-4A01-A36B-011BD78A9667}"/>
            </c:ext>
          </c:extLst>
        </c:ser>
        <c:dLbls>
          <c:showLegendKey val="0"/>
          <c:showVal val="0"/>
          <c:showCatName val="0"/>
          <c:showSerName val="0"/>
          <c:showPercent val="0"/>
          <c:showBubbleSize val="0"/>
        </c:dLbls>
        <c:smooth val="0"/>
        <c:axId val="679810991"/>
        <c:axId val="679798031"/>
      </c:lineChart>
      <c:catAx>
        <c:axId val="67981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9798031"/>
        <c:crosses val="autoZero"/>
        <c:auto val="1"/>
        <c:lblAlgn val="ctr"/>
        <c:lblOffset val="100"/>
        <c:noMultiLvlLbl val="0"/>
      </c:catAx>
      <c:valAx>
        <c:axId val="679798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798109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chemeClr val="dk1">
                    <a:lumMod val="50000"/>
                    <a:lumOff val="50000"/>
                  </a:schemeClr>
                </a:solidFill>
                <a:latin typeface="Calibri" panose="020F0502020204030204" pitchFamily="34" charset="0"/>
                <a:ea typeface="Calibri" panose="020F0502020204030204" pitchFamily="34" charset="0"/>
                <a:cs typeface="Calibri" panose="020F0502020204030204" pitchFamily="34" charset="0"/>
              </a:defRPr>
            </a:pPr>
            <a:r>
              <a:rPr lang="es-ES" sz="1200">
                <a:latin typeface="Calibri" panose="020F0502020204030204" pitchFamily="34" charset="0"/>
                <a:ea typeface="Calibri" panose="020F0502020204030204" pitchFamily="34" charset="0"/>
                <a:cs typeface="Calibri" panose="020F0502020204030204" pitchFamily="34" charset="0"/>
              </a:rPr>
              <a:t>ICTD:</a:t>
            </a:r>
            <a:r>
              <a:rPr lang="es-ES" sz="1200" baseline="0">
                <a:latin typeface="Calibri" panose="020F0502020204030204" pitchFamily="34" charset="0"/>
                <a:ea typeface="Calibri" panose="020F0502020204030204" pitchFamily="34" charset="0"/>
                <a:cs typeface="Calibri" panose="020F0502020204030204" pitchFamily="34" charset="0"/>
              </a:rPr>
              <a:t> AMBIENTE APTO y SOSTENIBILIDAD AMBIENTAL</a:t>
            </a:r>
            <a:endParaRPr lang="es-ES" sz="1200">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23636753850865425"/>
          <c:y val="2.7777777777777776E-2"/>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chemeClr val="dk1">
                  <a:lumMod val="50000"/>
                  <a:lumOff val="50000"/>
                </a:schemeClr>
              </a:solidFill>
              <a:latin typeface="Calibri" panose="020F0502020204030204" pitchFamily="34" charset="0"/>
              <a:ea typeface="Calibri" panose="020F0502020204030204" pitchFamily="34" charset="0"/>
              <a:cs typeface="Calibri" panose="020F0502020204030204" pitchFamily="34" charset="0"/>
            </a:defRPr>
          </a:pPr>
          <a:endParaRPr lang="es-ES"/>
        </a:p>
      </c:txPr>
    </c:title>
    <c:autoTitleDeleted val="0"/>
    <c:plotArea>
      <c:layout>
        <c:manualLayout>
          <c:layoutTarget val="inner"/>
          <c:xMode val="edge"/>
          <c:yMode val="edge"/>
          <c:x val="6.9514579908280694E-2"/>
          <c:y val="0.1501408450704225"/>
          <c:w val="0.6021649216924807"/>
          <c:h val="0.47832006210491296"/>
        </c:manualLayout>
      </c:layout>
      <c:lineChart>
        <c:grouping val="standard"/>
        <c:varyColors val="0"/>
        <c:ser>
          <c:idx val="0"/>
          <c:order val="0"/>
          <c:tx>
            <c:strRef>
              <c:f>'ICTD 2019 &amp; 2023'!$B$33</c:f>
              <c:strCache>
                <c:ptCount val="1"/>
                <c:pt idx="0">
                  <c:v>Ambiente de Negocios</c:v>
                </c:pt>
              </c:strCache>
            </c:strRef>
          </c:tx>
          <c:spPr>
            <a:ln w="19050" cap="rnd" cmpd="sng" algn="ctr">
              <a:solidFill>
                <a:schemeClr val="accent5">
                  <a:lumMod val="75000"/>
                </a:schemeClr>
              </a:solidFill>
              <a:round/>
            </a:ln>
            <a:effectLst/>
          </c:spPr>
          <c:marker>
            <c:symbol val="none"/>
          </c:marker>
          <c:cat>
            <c:strRef>
              <c:f>'ICTD 2019 &amp; 2023'!$A$34:$A$57</c:f>
              <c:strCache>
                <c:ptCount val="24"/>
                <c:pt idx="0">
                  <c:v>Lima</c:v>
                </c:pt>
                <c:pt idx="1">
                  <c:v>Arequipa</c:v>
                </c:pt>
                <c:pt idx="2">
                  <c:v>Tacna</c:v>
                </c:pt>
                <c:pt idx="3">
                  <c:v>Moquegua</c:v>
                </c:pt>
                <c:pt idx="4">
                  <c:v>Ica</c:v>
                </c:pt>
                <c:pt idx="5">
                  <c:v>Lambayeque</c:v>
                </c:pt>
                <c:pt idx="6">
                  <c:v>Tumbes</c:v>
                </c:pt>
                <c:pt idx="7">
                  <c:v>La Libertad</c:v>
                </c:pt>
                <c:pt idx="8">
                  <c:v>Cusco</c:v>
                </c:pt>
                <c:pt idx="9">
                  <c:v>Ancash</c:v>
                </c:pt>
                <c:pt idx="10">
                  <c:v>Apurímac</c:v>
                </c:pt>
                <c:pt idx="11">
                  <c:v>Piura</c:v>
                </c:pt>
                <c:pt idx="12">
                  <c:v>Pasco</c:v>
                </c:pt>
                <c:pt idx="13">
                  <c:v>Ayacucho</c:v>
                </c:pt>
                <c:pt idx="14">
                  <c:v>Ucayali</c:v>
                </c:pt>
                <c:pt idx="15">
                  <c:v>San Martin</c:v>
                </c:pt>
                <c:pt idx="16">
                  <c:v>Junin</c:v>
                </c:pt>
                <c:pt idx="17">
                  <c:v>Madre de Dios</c:v>
                </c:pt>
                <c:pt idx="18">
                  <c:v>Huánuco</c:v>
                </c:pt>
                <c:pt idx="19">
                  <c:v>Puno</c:v>
                </c:pt>
                <c:pt idx="20">
                  <c:v>Amazonas</c:v>
                </c:pt>
                <c:pt idx="21">
                  <c:v>Cajamarca</c:v>
                </c:pt>
                <c:pt idx="22">
                  <c:v>Huancavelica</c:v>
                </c:pt>
                <c:pt idx="23">
                  <c:v>Loreto</c:v>
                </c:pt>
              </c:strCache>
            </c:strRef>
          </c:cat>
          <c:val>
            <c:numRef>
              <c:f>'ICTD 2019 &amp; 2023'!$B$34:$B$57</c:f>
              <c:numCache>
                <c:formatCode>0.00</c:formatCode>
                <c:ptCount val="24"/>
                <c:pt idx="0">
                  <c:v>0.57999999999999996</c:v>
                </c:pt>
                <c:pt idx="1">
                  <c:v>0.54</c:v>
                </c:pt>
                <c:pt idx="2">
                  <c:v>0.48</c:v>
                </c:pt>
                <c:pt idx="3">
                  <c:v>0.46</c:v>
                </c:pt>
                <c:pt idx="4">
                  <c:v>0.5</c:v>
                </c:pt>
                <c:pt idx="5">
                  <c:v>0.39</c:v>
                </c:pt>
                <c:pt idx="6">
                  <c:v>0.5</c:v>
                </c:pt>
                <c:pt idx="7">
                  <c:v>0.51</c:v>
                </c:pt>
                <c:pt idx="8">
                  <c:v>0.32</c:v>
                </c:pt>
                <c:pt idx="9">
                  <c:v>0.55000000000000004</c:v>
                </c:pt>
                <c:pt idx="10">
                  <c:v>0.5</c:v>
                </c:pt>
                <c:pt idx="11">
                  <c:v>0.34</c:v>
                </c:pt>
                <c:pt idx="12">
                  <c:v>0.33</c:v>
                </c:pt>
                <c:pt idx="13">
                  <c:v>0.5</c:v>
                </c:pt>
                <c:pt idx="14">
                  <c:v>0.39</c:v>
                </c:pt>
                <c:pt idx="15">
                  <c:v>0.43</c:v>
                </c:pt>
                <c:pt idx="16">
                  <c:v>0.42</c:v>
                </c:pt>
                <c:pt idx="17">
                  <c:v>0.27</c:v>
                </c:pt>
                <c:pt idx="18">
                  <c:v>0.21</c:v>
                </c:pt>
                <c:pt idx="19">
                  <c:v>0.26</c:v>
                </c:pt>
                <c:pt idx="20">
                  <c:v>0.37</c:v>
                </c:pt>
                <c:pt idx="21">
                  <c:v>0.26</c:v>
                </c:pt>
                <c:pt idx="22">
                  <c:v>0.27</c:v>
                </c:pt>
                <c:pt idx="23">
                  <c:v>0.28000000000000003</c:v>
                </c:pt>
              </c:numCache>
            </c:numRef>
          </c:val>
          <c:smooth val="0"/>
          <c:extLst>
            <c:ext xmlns:c16="http://schemas.microsoft.com/office/drawing/2014/chart" uri="{C3380CC4-5D6E-409C-BE32-E72D297353CC}">
              <c16:uniqueId val="{00000000-74DA-4A53-9FA7-47D9C18509BF}"/>
            </c:ext>
          </c:extLst>
        </c:ser>
        <c:ser>
          <c:idx val="1"/>
          <c:order val="1"/>
          <c:tx>
            <c:strRef>
              <c:f>'ICTD 2019 &amp; 2023'!$C$33</c:f>
              <c:strCache>
                <c:ptCount val="1"/>
                <c:pt idx="0">
                  <c:v>Seguridad y Protección</c:v>
                </c:pt>
              </c:strCache>
            </c:strRef>
          </c:tx>
          <c:spPr>
            <a:ln w="19050" cap="rnd" cmpd="sng" algn="ctr">
              <a:solidFill>
                <a:srgbClr val="FF0000"/>
              </a:solidFill>
              <a:round/>
            </a:ln>
            <a:effectLst/>
          </c:spPr>
          <c:marker>
            <c:symbol val="none"/>
          </c:marker>
          <c:cat>
            <c:strRef>
              <c:f>'ICTD 2019 &amp; 2023'!$A$34:$A$57</c:f>
              <c:strCache>
                <c:ptCount val="24"/>
                <c:pt idx="0">
                  <c:v>Lima</c:v>
                </c:pt>
                <c:pt idx="1">
                  <c:v>Arequipa</c:v>
                </c:pt>
                <c:pt idx="2">
                  <c:v>Tacna</c:v>
                </c:pt>
                <c:pt idx="3">
                  <c:v>Moquegua</c:v>
                </c:pt>
                <c:pt idx="4">
                  <c:v>Ica</c:v>
                </c:pt>
                <c:pt idx="5">
                  <c:v>Lambayeque</c:v>
                </c:pt>
                <c:pt idx="6">
                  <c:v>Tumbes</c:v>
                </c:pt>
                <c:pt idx="7">
                  <c:v>La Libertad</c:v>
                </c:pt>
                <c:pt idx="8">
                  <c:v>Cusco</c:v>
                </c:pt>
                <c:pt idx="9">
                  <c:v>Ancash</c:v>
                </c:pt>
                <c:pt idx="10">
                  <c:v>Apurímac</c:v>
                </c:pt>
                <c:pt idx="11">
                  <c:v>Piura</c:v>
                </c:pt>
                <c:pt idx="12">
                  <c:v>Pasco</c:v>
                </c:pt>
                <c:pt idx="13">
                  <c:v>Ayacucho</c:v>
                </c:pt>
                <c:pt idx="14">
                  <c:v>Ucayali</c:v>
                </c:pt>
                <c:pt idx="15">
                  <c:v>San Martin</c:v>
                </c:pt>
                <c:pt idx="16">
                  <c:v>Junin</c:v>
                </c:pt>
                <c:pt idx="17">
                  <c:v>Madre de Dios</c:v>
                </c:pt>
                <c:pt idx="18">
                  <c:v>Huánuco</c:v>
                </c:pt>
                <c:pt idx="19">
                  <c:v>Puno</c:v>
                </c:pt>
                <c:pt idx="20">
                  <c:v>Amazonas</c:v>
                </c:pt>
                <c:pt idx="21">
                  <c:v>Cajamarca</c:v>
                </c:pt>
                <c:pt idx="22">
                  <c:v>Huancavelica</c:v>
                </c:pt>
                <c:pt idx="23">
                  <c:v>Loreto</c:v>
                </c:pt>
              </c:strCache>
            </c:strRef>
          </c:cat>
          <c:val>
            <c:numRef>
              <c:f>'ICTD 2019 &amp; 2023'!$C$34:$C$57</c:f>
              <c:numCache>
                <c:formatCode>0.00</c:formatCode>
                <c:ptCount val="24"/>
                <c:pt idx="0">
                  <c:v>0.69</c:v>
                </c:pt>
                <c:pt idx="1">
                  <c:v>0.66</c:v>
                </c:pt>
                <c:pt idx="2">
                  <c:v>0.81</c:v>
                </c:pt>
                <c:pt idx="3">
                  <c:v>0.45</c:v>
                </c:pt>
                <c:pt idx="4">
                  <c:v>0.78</c:v>
                </c:pt>
                <c:pt idx="5">
                  <c:v>0.79</c:v>
                </c:pt>
                <c:pt idx="6">
                  <c:v>0.72</c:v>
                </c:pt>
                <c:pt idx="7">
                  <c:v>0.75</c:v>
                </c:pt>
                <c:pt idx="8">
                  <c:v>0.75</c:v>
                </c:pt>
                <c:pt idx="9">
                  <c:v>0.64</c:v>
                </c:pt>
                <c:pt idx="10">
                  <c:v>0.46</c:v>
                </c:pt>
                <c:pt idx="11">
                  <c:v>0.76</c:v>
                </c:pt>
                <c:pt idx="12">
                  <c:v>0.61</c:v>
                </c:pt>
                <c:pt idx="13">
                  <c:v>0.56000000000000005</c:v>
                </c:pt>
                <c:pt idx="14">
                  <c:v>0.83</c:v>
                </c:pt>
                <c:pt idx="15">
                  <c:v>0.6</c:v>
                </c:pt>
                <c:pt idx="16">
                  <c:v>0.56999999999999995</c:v>
                </c:pt>
                <c:pt idx="17">
                  <c:v>0.61</c:v>
                </c:pt>
                <c:pt idx="18">
                  <c:v>0.79</c:v>
                </c:pt>
                <c:pt idx="19">
                  <c:v>0.76</c:v>
                </c:pt>
                <c:pt idx="20">
                  <c:v>0.52</c:v>
                </c:pt>
                <c:pt idx="21">
                  <c:v>0.56000000000000005</c:v>
                </c:pt>
                <c:pt idx="22">
                  <c:v>0.59</c:v>
                </c:pt>
                <c:pt idx="23">
                  <c:v>0.72</c:v>
                </c:pt>
              </c:numCache>
            </c:numRef>
          </c:val>
          <c:smooth val="0"/>
          <c:extLst>
            <c:ext xmlns:c16="http://schemas.microsoft.com/office/drawing/2014/chart" uri="{C3380CC4-5D6E-409C-BE32-E72D297353CC}">
              <c16:uniqueId val="{00000001-74DA-4A53-9FA7-47D9C18509BF}"/>
            </c:ext>
          </c:extLst>
        </c:ser>
        <c:ser>
          <c:idx val="2"/>
          <c:order val="2"/>
          <c:tx>
            <c:strRef>
              <c:f>'ICTD 2019 &amp; 2023'!$D$33</c:f>
              <c:strCache>
                <c:ptCount val="1"/>
                <c:pt idx="0">
                  <c:v>Salud e Higiene</c:v>
                </c:pt>
              </c:strCache>
            </c:strRef>
          </c:tx>
          <c:spPr>
            <a:ln w="19050" cap="rnd" cmpd="sng" algn="ctr">
              <a:solidFill>
                <a:schemeClr val="tx2">
                  <a:lumMod val="50000"/>
                  <a:lumOff val="50000"/>
                </a:schemeClr>
              </a:solidFill>
              <a:round/>
            </a:ln>
            <a:effectLst/>
          </c:spPr>
          <c:marker>
            <c:symbol val="none"/>
          </c:marker>
          <c:cat>
            <c:strRef>
              <c:f>'ICTD 2019 &amp; 2023'!$A$34:$A$57</c:f>
              <c:strCache>
                <c:ptCount val="24"/>
                <c:pt idx="0">
                  <c:v>Lima</c:v>
                </c:pt>
                <c:pt idx="1">
                  <c:v>Arequipa</c:v>
                </c:pt>
                <c:pt idx="2">
                  <c:v>Tacna</c:v>
                </c:pt>
                <c:pt idx="3">
                  <c:v>Moquegua</c:v>
                </c:pt>
                <c:pt idx="4">
                  <c:v>Ica</c:v>
                </c:pt>
                <c:pt idx="5">
                  <c:v>Lambayeque</c:v>
                </c:pt>
                <c:pt idx="6">
                  <c:v>Tumbes</c:v>
                </c:pt>
                <c:pt idx="7">
                  <c:v>La Libertad</c:v>
                </c:pt>
                <c:pt idx="8">
                  <c:v>Cusco</c:v>
                </c:pt>
                <c:pt idx="9">
                  <c:v>Ancash</c:v>
                </c:pt>
                <c:pt idx="10">
                  <c:v>Apurímac</c:v>
                </c:pt>
                <c:pt idx="11">
                  <c:v>Piura</c:v>
                </c:pt>
                <c:pt idx="12">
                  <c:v>Pasco</c:v>
                </c:pt>
                <c:pt idx="13">
                  <c:v>Ayacucho</c:v>
                </c:pt>
                <c:pt idx="14">
                  <c:v>Ucayali</c:v>
                </c:pt>
                <c:pt idx="15">
                  <c:v>San Martin</c:v>
                </c:pt>
                <c:pt idx="16">
                  <c:v>Junin</c:v>
                </c:pt>
                <c:pt idx="17">
                  <c:v>Madre de Dios</c:v>
                </c:pt>
                <c:pt idx="18">
                  <c:v>Huánuco</c:v>
                </c:pt>
                <c:pt idx="19">
                  <c:v>Puno</c:v>
                </c:pt>
                <c:pt idx="20">
                  <c:v>Amazonas</c:v>
                </c:pt>
                <c:pt idx="21">
                  <c:v>Cajamarca</c:v>
                </c:pt>
                <c:pt idx="22">
                  <c:v>Huancavelica</c:v>
                </c:pt>
                <c:pt idx="23">
                  <c:v>Loreto</c:v>
                </c:pt>
              </c:strCache>
            </c:strRef>
          </c:cat>
          <c:val>
            <c:numRef>
              <c:f>'ICTD 2019 &amp; 2023'!$D$34:$D$57</c:f>
              <c:numCache>
                <c:formatCode>General</c:formatCode>
                <c:ptCount val="24"/>
                <c:pt idx="0">
                  <c:v>0.78</c:v>
                </c:pt>
                <c:pt idx="1">
                  <c:v>0.78</c:v>
                </c:pt>
                <c:pt idx="2">
                  <c:v>0.61</c:v>
                </c:pt>
                <c:pt idx="3">
                  <c:v>0.72</c:v>
                </c:pt>
                <c:pt idx="4">
                  <c:v>0.49</c:v>
                </c:pt>
                <c:pt idx="5">
                  <c:v>0.45</c:v>
                </c:pt>
                <c:pt idx="6">
                  <c:v>0.34</c:v>
                </c:pt>
                <c:pt idx="7">
                  <c:v>0.42</c:v>
                </c:pt>
                <c:pt idx="8">
                  <c:v>0.53</c:v>
                </c:pt>
                <c:pt idx="9">
                  <c:v>0.46</c:v>
                </c:pt>
                <c:pt idx="10">
                  <c:v>0.67</c:v>
                </c:pt>
                <c:pt idx="11">
                  <c:v>0.32</c:v>
                </c:pt>
                <c:pt idx="12">
                  <c:v>0.62</c:v>
                </c:pt>
                <c:pt idx="13">
                  <c:v>0.56999999999999995</c:v>
                </c:pt>
                <c:pt idx="14">
                  <c:v>0.3</c:v>
                </c:pt>
                <c:pt idx="15">
                  <c:v>0.37</c:v>
                </c:pt>
                <c:pt idx="16">
                  <c:v>0.47</c:v>
                </c:pt>
                <c:pt idx="17">
                  <c:v>0.33</c:v>
                </c:pt>
                <c:pt idx="18">
                  <c:v>0.36</c:v>
                </c:pt>
                <c:pt idx="19">
                  <c:v>0.32</c:v>
                </c:pt>
                <c:pt idx="20">
                  <c:v>0.56999999999999995</c:v>
                </c:pt>
                <c:pt idx="21">
                  <c:v>0.39</c:v>
                </c:pt>
                <c:pt idx="22">
                  <c:v>0.49</c:v>
                </c:pt>
                <c:pt idx="23">
                  <c:v>0.09</c:v>
                </c:pt>
              </c:numCache>
            </c:numRef>
          </c:val>
          <c:smooth val="0"/>
          <c:extLst>
            <c:ext xmlns:c16="http://schemas.microsoft.com/office/drawing/2014/chart" uri="{C3380CC4-5D6E-409C-BE32-E72D297353CC}">
              <c16:uniqueId val="{00000002-74DA-4A53-9FA7-47D9C18509BF}"/>
            </c:ext>
          </c:extLst>
        </c:ser>
        <c:ser>
          <c:idx val="3"/>
          <c:order val="3"/>
          <c:tx>
            <c:strRef>
              <c:f>'ICTD 2019 &amp; 2023'!$E$33</c:f>
              <c:strCache>
                <c:ptCount val="1"/>
                <c:pt idx="0">
                  <c:v>Inclusion Digital y Financiera</c:v>
                </c:pt>
              </c:strCache>
            </c:strRef>
          </c:tx>
          <c:spPr>
            <a:ln w="19050" cap="rnd" cmpd="sng" algn="ctr">
              <a:solidFill>
                <a:srgbClr val="FFC000"/>
              </a:solidFill>
              <a:round/>
            </a:ln>
            <a:effectLst/>
          </c:spPr>
          <c:marker>
            <c:symbol val="none"/>
          </c:marker>
          <c:cat>
            <c:strRef>
              <c:f>'ICTD 2019 &amp; 2023'!$A$34:$A$57</c:f>
              <c:strCache>
                <c:ptCount val="24"/>
                <c:pt idx="0">
                  <c:v>Lima</c:v>
                </c:pt>
                <c:pt idx="1">
                  <c:v>Arequipa</c:v>
                </c:pt>
                <c:pt idx="2">
                  <c:v>Tacna</c:v>
                </c:pt>
                <c:pt idx="3">
                  <c:v>Moquegua</c:v>
                </c:pt>
                <c:pt idx="4">
                  <c:v>Ica</c:v>
                </c:pt>
                <c:pt idx="5">
                  <c:v>Lambayeque</c:v>
                </c:pt>
                <c:pt idx="6">
                  <c:v>Tumbes</c:v>
                </c:pt>
                <c:pt idx="7">
                  <c:v>La Libertad</c:v>
                </c:pt>
                <c:pt idx="8">
                  <c:v>Cusco</c:v>
                </c:pt>
                <c:pt idx="9">
                  <c:v>Ancash</c:v>
                </c:pt>
                <c:pt idx="10">
                  <c:v>Apurímac</c:v>
                </c:pt>
                <c:pt idx="11">
                  <c:v>Piura</c:v>
                </c:pt>
                <c:pt idx="12">
                  <c:v>Pasco</c:v>
                </c:pt>
                <c:pt idx="13">
                  <c:v>Ayacucho</c:v>
                </c:pt>
                <c:pt idx="14">
                  <c:v>Ucayali</c:v>
                </c:pt>
                <c:pt idx="15">
                  <c:v>San Martin</c:v>
                </c:pt>
                <c:pt idx="16">
                  <c:v>Junin</c:v>
                </c:pt>
                <c:pt idx="17">
                  <c:v>Madre de Dios</c:v>
                </c:pt>
                <c:pt idx="18">
                  <c:v>Huánuco</c:v>
                </c:pt>
                <c:pt idx="19">
                  <c:v>Puno</c:v>
                </c:pt>
                <c:pt idx="20">
                  <c:v>Amazonas</c:v>
                </c:pt>
                <c:pt idx="21">
                  <c:v>Cajamarca</c:v>
                </c:pt>
                <c:pt idx="22">
                  <c:v>Huancavelica</c:v>
                </c:pt>
                <c:pt idx="23">
                  <c:v>Loreto</c:v>
                </c:pt>
              </c:strCache>
            </c:strRef>
          </c:cat>
          <c:val>
            <c:numRef>
              <c:f>'ICTD 2019 &amp; 2023'!$E$34:$E$57</c:f>
              <c:numCache>
                <c:formatCode>General</c:formatCode>
                <c:ptCount val="24"/>
                <c:pt idx="0">
                  <c:v>0.76</c:v>
                </c:pt>
                <c:pt idx="1">
                  <c:v>0.68</c:v>
                </c:pt>
                <c:pt idx="2">
                  <c:v>0.74</c:v>
                </c:pt>
                <c:pt idx="3">
                  <c:v>0.71</c:v>
                </c:pt>
                <c:pt idx="4">
                  <c:v>0.56999999999999995</c:v>
                </c:pt>
                <c:pt idx="5">
                  <c:v>0.55000000000000004</c:v>
                </c:pt>
                <c:pt idx="6">
                  <c:v>0.57999999999999996</c:v>
                </c:pt>
                <c:pt idx="7">
                  <c:v>0.47</c:v>
                </c:pt>
                <c:pt idx="8">
                  <c:v>0.52</c:v>
                </c:pt>
                <c:pt idx="9">
                  <c:v>0.39</c:v>
                </c:pt>
                <c:pt idx="10">
                  <c:v>0.34</c:v>
                </c:pt>
                <c:pt idx="11">
                  <c:v>0.52</c:v>
                </c:pt>
                <c:pt idx="12">
                  <c:v>0.36</c:v>
                </c:pt>
                <c:pt idx="13">
                  <c:v>0.28999999999999998</c:v>
                </c:pt>
                <c:pt idx="14">
                  <c:v>0.36</c:v>
                </c:pt>
                <c:pt idx="15">
                  <c:v>0.47</c:v>
                </c:pt>
                <c:pt idx="16">
                  <c:v>0.4</c:v>
                </c:pt>
                <c:pt idx="17">
                  <c:v>0.62</c:v>
                </c:pt>
                <c:pt idx="18">
                  <c:v>0.38</c:v>
                </c:pt>
                <c:pt idx="19">
                  <c:v>0.35</c:v>
                </c:pt>
                <c:pt idx="20">
                  <c:v>0.23</c:v>
                </c:pt>
                <c:pt idx="21">
                  <c:v>0.36</c:v>
                </c:pt>
                <c:pt idx="22">
                  <c:v>0.21</c:v>
                </c:pt>
                <c:pt idx="23">
                  <c:v>0.13</c:v>
                </c:pt>
              </c:numCache>
            </c:numRef>
          </c:val>
          <c:smooth val="0"/>
          <c:extLst>
            <c:ext xmlns:c16="http://schemas.microsoft.com/office/drawing/2014/chart" uri="{C3380CC4-5D6E-409C-BE32-E72D297353CC}">
              <c16:uniqueId val="{00000003-74DA-4A53-9FA7-47D9C18509B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51774367"/>
        <c:axId val="351775807"/>
        <c:extLst>
          <c:ext xmlns:c15="http://schemas.microsoft.com/office/drawing/2012/chart" uri="{02D57815-91ED-43cb-92C2-25804820EDAC}">
            <c15:filteredLineSeries>
              <c15:ser>
                <c:idx val="4"/>
                <c:order val="4"/>
                <c:tx>
                  <c:strRef>
                    <c:extLst>
                      <c:ext uri="{02D57815-91ED-43cb-92C2-25804820EDAC}">
                        <c15:formulaRef>
                          <c15:sqref>'ICTD 2019 &amp; 2023'!$F$33</c15:sqref>
                        </c15:formulaRef>
                      </c:ext>
                    </c:extLst>
                    <c:strCache>
                      <c:ptCount val="1"/>
                      <c:pt idx="0">
                        <c:v>Sostenibilidad Ambiental</c:v>
                      </c:pt>
                    </c:strCache>
                  </c:strRef>
                </c:tx>
                <c:spPr>
                  <a:ln w="19050" cap="rnd" cmpd="sng" algn="ctr">
                    <a:solidFill>
                      <a:schemeClr val="accent6">
                        <a:lumMod val="75000"/>
                      </a:schemeClr>
                    </a:solidFill>
                    <a:round/>
                  </a:ln>
                  <a:effectLst/>
                </c:spPr>
                <c:marker>
                  <c:symbol val="none"/>
                </c:marker>
                <c:cat>
                  <c:strRef>
                    <c:extLst>
                      <c:ext uri="{02D57815-91ED-43cb-92C2-25804820EDAC}">
                        <c15:formulaRef>
                          <c15:sqref>'ICTD 2019 &amp; 2023'!$A$34:$A$57</c15:sqref>
                        </c15:formulaRef>
                      </c:ext>
                    </c:extLst>
                    <c:strCache>
                      <c:ptCount val="24"/>
                      <c:pt idx="0">
                        <c:v>Lima</c:v>
                      </c:pt>
                      <c:pt idx="1">
                        <c:v>Arequipa</c:v>
                      </c:pt>
                      <c:pt idx="2">
                        <c:v>Tacna</c:v>
                      </c:pt>
                      <c:pt idx="3">
                        <c:v>Moquegua</c:v>
                      </c:pt>
                      <c:pt idx="4">
                        <c:v>Ica</c:v>
                      </c:pt>
                      <c:pt idx="5">
                        <c:v>Lambayeque</c:v>
                      </c:pt>
                      <c:pt idx="6">
                        <c:v>Tumbes</c:v>
                      </c:pt>
                      <c:pt idx="7">
                        <c:v>La Libertad</c:v>
                      </c:pt>
                      <c:pt idx="8">
                        <c:v>Cusco</c:v>
                      </c:pt>
                      <c:pt idx="9">
                        <c:v>Ancash</c:v>
                      </c:pt>
                      <c:pt idx="10">
                        <c:v>Apurímac</c:v>
                      </c:pt>
                      <c:pt idx="11">
                        <c:v>Piura</c:v>
                      </c:pt>
                      <c:pt idx="12">
                        <c:v>Pasco</c:v>
                      </c:pt>
                      <c:pt idx="13">
                        <c:v>Ayacucho</c:v>
                      </c:pt>
                      <c:pt idx="14">
                        <c:v>Ucayali</c:v>
                      </c:pt>
                      <c:pt idx="15">
                        <c:v>San Martin</c:v>
                      </c:pt>
                      <c:pt idx="16">
                        <c:v>Junin</c:v>
                      </c:pt>
                      <c:pt idx="17">
                        <c:v>Madre de Dios</c:v>
                      </c:pt>
                      <c:pt idx="18">
                        <c:v>Huánuco</c:v>
                      </c:pt>
                      <c:pt idx="19">
                        <c:v>Puno</c:v>
                      </c:pt>
                      <c:pt idx="20">
                        <c:v>Amazonas</c:v>
                      </c:pt>
                      <c:pt idx="21">
                        <c:v>Cajamarca</c:v>
                      </c:pt>
                      <c:pt idx="22">
                        <c:v>Huancavelica</c:v>
                      </c:pt>
                      <c:pt idx="23">
                        <c:v>Loreto</c:v>
                      </c:pt>
                    </c:strCache>
                  </c:strRef>
                </c:cat>
                <c:val>
                  <c:numRef>
                    <c:extLst>
                      <c:ext uri="{02D57815-91ED-43cb-92C2-25804820EDAC}">
                        <c15:formulaRef>
                          <c15:sqref>'ICTD 2019 &amp; 2023'!$F$34:$F$57</c15:sqref>
                        </c15:formulaRef>
                      </c:ext>
                    </c:extLst>
                    <c:numCache>
                      <c:formatCode>0.00</c:formatCode>
                      <c:ptCount val="24"/>
                      <c:pt idx="0">
                        <c:v>0.65</c:v>
                      </c:pt>
                      <c:pt idx="1">
                        <c:v>0.43</c:v>
                      </c:pt>
                      <c:pt idx="2">
                        <c:v>0.44</c:v>
                      </c:pt>
                      <c:pt idx="3">
                        <c:v>0.61</c:v>
                      </c:pt>
                      <c:pt idx="4">
                        <c:v>0.73</c:v>
                      </c:pt>
                      <c:pt idx="5">
                        <c:v>0.65</c:v>
                      </c:pt>
                      <c:pt idx="6">
                        <c:v>0.44</c:v>
                      </c:pt>
                      <c:pt idx="7">
                        <c:v>0.34</c:v>
                      </c:pt>
                      <c:pt idx="8">
                        <c:v>0.42</c:v>
                      </c:pt>
                      <c:pt idx="9">
                        <c:v>0.27</c:v>
                      </c:pt>
                      <c:pt idx="10">
                        <c:v>0.5</c:v>
                      </c:pt>
                      <c:pt idx="11">
                        <c:v>0.65</c:v>
                      </c:pt>
                      <c:pt idx="12">
                        <c:v>0.81</c:v>
                      </c:pt>
                      <c:pt idx="13">
                        <c:v>0.56000000000000005</c:v>
                      </c:pt>
                      <c:pt idx="14">
                        <c:v>0.73</c:v>
                      </c:pt>
                      <c:pt idx="15">
                        <c:v>0.67</c:v>
                      </c:pt>
                      <c:pt idx="16">
                        <c:v>0.59</c:v>
                      </c:pt>
                      <c:pt idx="17">
                        <c:v>0.55000000000000004</c:v>
                      </c:pt>
                      <c:pt idx="18">
                        <c:v>0.52</c:v>
                      </c:pt>
                      <c:pt idx="19">
                        <c:v>0.4</c:v>
                      </c:pt>
                      <c:pt idx="20">
                        <c:v>0.46</c:v>
                      </c:pt>
                      <c:pt idx="21">
                        <c:v>0.42</c:v>
                      </c:pt>
                      <c:pt idx="22">
                        <c:v>0.38</c:v>
                      </c:pt>
                      <c:pt idx="23">
                        <c:v>0.46</c:v>
                      </c:pt>
                    </c:numCache>
                  </c:numRef>
                </c:val>
                <c:smooth val="0"/>
                <c:extLst>
                  <c:ext xmlns:c16="http://schemas.microsoft.com/office/drawing/2014/chart" uri="{C3380CC4-5D6E-409C-BE32-E72D297353CC}">
                    <c16:uniqueId val="{00000004-74DA-4A53-9FA7-47D9C18509BF}"/>
                  </c:ext>
                </c:extLst>
              </c15:ser>
            </c15:filteredLineSeries>
          </c:ext>
        </c:extLst>
      </c:lineChart>
      <c:catAx>
        <c:axId val="351774367"/>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351775807"/>
        <c:crosses val="autoZero"/>
        <c:auto val="1"/>
        <c:lblAlgn val="ctr"/>
        <c:lblOffset val="100"/>
        <c:noMultiLvlLbl val="0"/>
      </c:catAx>
      <c:valAx>
        <c:axId val="351775807"/>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351774367"/>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ES" sz="1200" b="1"/>
              <a:t>Análisis de la vulnerabilidad ante la Inseguridad Alimentaria y Fenómenos Naturales por Departamento</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7.8156446016281869E-2"/>
          <c:y val="0.16499461251554082"/>
          <c:w val="0.71769735086080344"/>
          <c:h val="0.62123396033829104"/>
        </c:manualLayout>
      </c:layout>
      <c:lineChart>
        <c:grouping val="standard"/>
        <c:varyColors val="0"/>
        <c:ser>
          <c:idx val="0"/>
          <c:order val="0"/>
          <c:tx>
            <c:strRef>
              <c:f>'Mapeo y Análisis de la vulnerab'!$D$4</c:f>
              <c:strCache>
                <c:ptCount val="1"/>
                <c:pt idx="0">
                  <c:v>Población total 2017</c:v>
                </c:pt>
              </c:strCache>
            </c:strRef>
          </c:tx>
          <c:spPr>
            <a:ln w="28575" cap="rnd">
              <a:solidFill>
                <a:schemeClr val="accent1"/>
              </a:solidFill>
              <a:round/>
            </a:ln>
            <a:effectLst/>
          </c:spPr>
          <c:marker>
            <c:symbol val="none"/>
          </c:marker>
          <c:cat>
            <c:strRef>
              <c:f>'Mapeo y Análisis de la vulnerab'!$C$5:$C$29</c:f>
              <c:strCache>
                <c:ptCount val="25"/>
                <c:pt idx="0">
                  <c:v>APURIMAC</c:v>
                </c:pt>
                <c:pt idx="1">
                  <c:v>HUANCAVELICA</c:v>
                </c:pt>
                <c:pt idx="2">
                  <c:v>PUNO</c:v>
                </c:pt>
                <c:pt idx="3">
                  <c:v>HUANUCO</c:v>
                </c:pt>
                <c:pt idx="4">
                  <c:v>AYACUCHO</c:v>
                </c:pt>
                <c:pt idx="5">
                  <c:v>PASCO</c:v>
                </c:pt>
                <c:pt idx="6">
                  <c:v>CUSCO</c:v>
                </c:pt>
                <c:pt idx="7">
                  <c:v>UCAYALI</c:v>
                </c:pt>
                <c:pt idx="8">
                  <c:v>AMAZONAS</c:v>
                </c:pt>
                <c:pt idx="9">
                  <c:v>CAJAMARCA</c:v>
                </c:pt>
                <c:pt idx="10">
                  <c:v>LORETO</c:v>
                </c:pt>
                <c:pt idx="11">
                  <c:v>PIURA</c:v>
                </c:pt>
                <c:pt idx="12">
                  <c:v>SAN MARTIN</c:v>
                </c:pt>
                <c:pt idx="13">
                  <c:v>JUNIN</c:v>
                </c:pt>
                <c:pt idx="14">
                  <c:v>MOQUEGUA</c:v>
                </c:pt>
                <c:pt idx="15">
                  <c:v>LA LIBERTAD</c:v>
                </c:pt>
                <c:pt idx="16">
                  <c:v>LAMBAYEQUE</c:v>
                </c:pt>
                <c:pt idx="17">
                  <c:v>MADRE DE DIOS</c:v>
                </c:pt>
                <c:pt idx="18">
                  <c:v>ICA</c:v>
                </c:pt>
                <c:pt idx="19">
                  <c:v>ANCASH</c:v>
                </c:pt>
                <c:pt idx="20">
                  <c:v>TUMBES</c:v>
                </c:pt>
                <c:pt idx="21">
                  <c:v>AREQUIPA</c:v>
                </c:pt>
                <c:pt idx="22">
                  <c:v>TACNA</c:v>
                </c:pt>
                <c:pt idx="23">
                  <c:v>LIMA</c:v>
                </c:pt>
                <c:pt idx="24">
                  <c:v>CALLAO</c:v>
                </c:pt>
              </c:strCache>
            </c:strRef>
          </c:cat>
          <c:val>
            <c:numRef>
              <c:f>'Mapeo y Análisis de la vulnerab'!$D$5:$D$29</c:f>
            </c:numRef>
          </c:val>
          <c:smooth val="0"/>
          <c:extLst>
            <c:ext xmlns:c16="http://schemas.microsoft.com/office/drawing/2014/chart" uri="{C3380CC4-5D6E-409C-BE32-E72D297353CC}">
              <c16:uniqueId val="{00000000-0DCF-4A76-80A9-6766DE4C52F3}"/>
            </c:ext>
          </c:extLst>
        </c:ser>
        <c:ser>
          <c:idx val="1"/>
          <c:order val="1"/>
          <c:tx>
            <c:strRef>
              <c:f>'Mapeo y Análisis de la vulnerab'!$E$4</c:f>
              <c:strCache>
                <c:ptCount val="1"/>
                <c:pt idx="0">
                  <c:v>Población rural encuesta</c:v>
                </c:pt>
              </c:strCache>
            </c:strRef>
          </c:tx>
          <c:spPr>
            <a:ln w="28575" cap="rnd">
              <a:solidFill>
                <a:schemeClr val="accent2"/>
              </a:solidFill>
              <a:round/>
            </a:ln>
            <a:effectLst/>
          </c:spPr>
          <c:marker>
            <c:symbol val="none"/>
          </c:marker>
          <c:cat>
            <c:strRef>
              <c:f>'Mapeo y Análisis de la vulnerab'!$C$5:$C$29</c:f>
              <c:strCache>
                <c:ptCount val="25"/>
                <c:pt idx="0">
                  <c:v>APURIMAC</c:v>
                </c:pt>
                <c:pt idx="1">
                  <c:v>HUANCAVELICA</c:v>
                </c:pt>
                <c:pt idx="2">
                  <c:v>PUNO</c:v>
                </c:pt>
                <c:pt idx="3">
                  <c:v>HUANUCO</c:v>
                </c:pt>
                <c:pt idx="4">
                  <c:v>AYACUCHO</c:v>
                </c:pt>
                <c:pt idx="5">
                  <c:v>PASCO</c:v>
                </c:pt>
                <c:pt idx="6">
                  <c:v>CUSCO</c:v>
                </c:pt>
                <c:pt idx="7">
                  <c:v>UCAYALI</c:v>
                </c:pt>
                <c:pt idx="8">
                  <c:v>AMAZONAS</c:v>
                </c:pt>
                <c:pt idx="9">
                  <c:v>CAJAMARCA</c:v>
                </c:pt>
                <c:pt idx="10">
                  <c:v>LORETO</c:v>
                </c:pt>
                <c:pt idx="11">
                  <c:v>PIURA</c:v>
                </c:pt>
                <c:pt idx="12">
                  <c:v>SAN MARTIN</c:v>
                </c:pt>
                <c:pt idx="13">
                  <c:v>JUNIN</c:v>
                </c:pt>
                <c:pt idx="14">
                  <c:v>MOQUEGUA</c:v>
                </c:pt>
                <c:pt idx="15">
                  <c:v>LA LIBERTAD</c:v>
                </c:pt>
                <c:pt idx="16">
                  <c:v>LAMBAYEQUE</c:v>
                </c:pt>
                <c:pt idx="17">
                  <c:v>MADRE DE DIOS</c:v>
                </c:pt>
                <c:pt idx="18">
                  <c:v>ICA</c:v>
                </c:pt>
                <c:pt idx="19">
                  <c:v>ANCASH</c:v>
                </c:pt>
                <c:pt idx="20">
                  <c:v>TUMBES</c:v>
                </c:pt>
                <c:pt idx="21">
                  <c:v>AREQUIPA</c:v>
                </c:pt>
                <c:pt idx="22">
                  <c:v>TACNA</c:v>
                </c:pt>
                <c:pt idx="23">
                  <c:v>LIMA</c:v>
                </c:pt>
                <c:pt idx="24">
                  <c:v>CALLAO</c:v>
                </c:pt>
              </c:strCache>
            </c:strRef>
          </c:cat>
          <c:val>
            <c:numRef>
              <c:f>'Mapeo y Análisis de la vulnerab'!$E$5:$E$29</c:f>
            </c:numRef>
          </c:val>
          <c:smooth val="0"/>
          <c:extLst>
            <c:ext xmlns:c16="http://schemas.microsoft.com/office/drawing/2014/chart" uri="{C3380CC4-5D6E-409C-BE32-E72D297353CC}">
              <c16:uniqueId val="{00000001-0DCF-4A76-80A9-6766DE4C52F3}"/>
            </c:ext>
          </c:extLst>
        </c:ser>
        <c:ser>
          <c:idx val="2"/>
          <c:order val="2"/>
          <c:tx>
            <c:strRef>
              <c:f>'Mapeo y Análisis de la vulnerab'!$F$4</c:f>
              <c:strCache>
                <c:ptCount val="1"/>
                <c:pt idx="0">
                  <c:v>Índice de peligro climático, 2003-2018</c:v>
                </c:pt>
              </c:strCache>
            </c:strRef>
          </c:tx>
          <c:spPr>
            <a:ln w="19050" cap="rnd">
              <a:solidFill>
                <a:schemeClr val="accent3"/>
              </a:solidFill>
              <a:round/>
            </a:ln>
            <a:effectLst/>
          </c:spPr>
          <c:marker>
            <c:symbol val="none"/>
          </c:marker>
          <c:cat>
            <c:strRef>
              <c:f>'Mapeo y Análisis de la vulnerab'!$C$5:$C$29</c:f>
              <c:strCache>
                <c:ptCount val="25"/>
                <c:pt idx="0">
                  <c:v>APURIMAC</c:v>
                </c:pt>
                <c:pt idx="1">
                  <c:v>HUANCAVELICA</c:v>
                </c:pt>
                <c:pt idx="2">
                  <c:v>PUNO</c:v>
                </c:pt>
                <c:pt idx="3">
                  <c:v>HUANUCO</c:v>
                </c:pt>
                <c:pt idx="4">
                  <c:v>AYACUCHO</c:v>
                </c:pt>
                <c:pt idx="5">
                  <c:v>PASCO</c:v>
                </c:pt>
                <c:pt idx="6">
                  <c:v>CUSCO</c:v>
                </c:pt>
                <c:pt idx="7">
                  <c:v>UCAYALI</c:v>
                </c:pt>
                <c:pt idx="8">
                  <c:v>AMAZONAS</c:v>
                </c:pt>
                <c:pt idx="9">
                  <c:v>CAJAMARCA</c:v>
                </c:pt>
                <c:pt idx="10">
                  <c:v>LORETO</c:v>
                </c:pt>
                <c:pt idx="11">
                  <c:v>PIURA</c:v>
                </c:pt>
                <c:pt idx="12">
                  <c:v>SAN MARTIN</c:v>
                </c:pt>
                <c:pt idx="13">
                  <c:v>JUNIN</c:v>
                </c:pt>
                <c:pt idx="14">
                  <c:v>MOQUEGUA</c:v>
                </c:pt>
                <c:pt idx="15">
                  <c:v>LA LIBERTAD</c:v>
                </c:pt>
                <c:pt idx="16">
                  <c:v>LAMBAYEQUE</c:v>
                </c:pt>
                <c:pt idx="17">
                  <c:v>MADRE DE DIOS</c:v>
                </c:pt>
                <c:pt idx="18">
                  <c:v>ICA</c:v>
                </c:pt>
                <c:pt idx="19">
                  <c:v>ANCASH</c:v>
                </c:pt>
                <c:pt idx="20">
                  <c:v>TUMBES</c:v>
                </c:pt>
                <c:pt idx="21">
                  <c:v>AREQUIPA</c:v>
                </c:pt>
                <c:pt idx="22">
                  <c:v>TACNA</c:v>
                </c:pt>
                <c:pt idx="23">
                  <c:v>LIMA</c:v>
                </c:pt>
                <c:pt idx="24">
                  <c:v>CALLAO</c:v>
                </c:pt>
              </c:strCache>
            </c:strRef>
          </c:cat>
          <c:val>
            <c:numRef>
              <c:f>'Mapeo y Análisis de la vulnerab'!$F$5:$F$29</c:f>
              <c:numCache>
                <c:formatCode>0.000</c:formatCode>
                <c:ptCount val="25"/>
                <c:pt idx="0">
                  <c:v>0.94730983580737838</c:v>
                </c:pt>
                <c:pt idx="1">
                  <c:v>0.82601550091573017</c:v>
                </c:pt>
                <c:pt idx="2">
                  <c:v>0.82938817237089524</c:v>
                </c:pt>
                <c:pt idx="3">
                  <c:v>0.76753604198212111</c:v>
                </c:pt>
                <c:pt idx="4">
                  <c:v>0.72739033163676858</c:v>
                </c:pt>
                <c:pt idx="5">
                  <c:v>0.80881367179653063</c:v>
                </c:pt>
                <c:pt idx="6">
                  <c:v>0.75993095543093048</c:v>
                </c:pt>
                <c:pt idx="7">
                  <c:v>0.83956700407071105</c:v>
                </c:pt>
                <c:pt idx="8">
                  <c:v>0.67233554961546427</c:v>
                </c:pt>
                <c:pt idx="9">
                  <c:v>0.651718451670807</c:v>
                </c:pt>
                <c:pt idx="10">
                  <c:v>0.85522241864331783</c:v>
                </c:pt>
                <c:pt idx="11">
                  <c:v>0.75535052777670419</c:v>
                </c:pt>
                <c:pt idx="12">
                  <c:v>0.66664002678565748</c:v>
                </c:pt>
                <c:pt idx="13">
                  <c:v>0.59067664145582988</c:v>
                </c:pt>
                <c:pt idx="14">
                  <c:v>0.69799411411891321</c:v>
                </c:pt>
                <c:pt idx="15">
                  <c:v>0.49334243417312623</c:v>
                </c:pt>
                <c:pt idx="16">
                  <c:v>0.54410783205291013</c:v>
                </c:pt>
                <c:pt idx="17">
                  <c:v>0.83803388406467239</c:v>
                </c:pt>
                <c:pt idx="18">
                  <c:v>0.6254911149109208</c:v>
                </c:pt>
                <c:pt idx="19">
                  <c:v>0.51180515657937331</c:v>
                </c:pt>
                <c:pt idx="20">
                  <c:v>0.92425522639062119</c:v>
                </c:pt>
                <c:pt idx="21">
                  <c:v>0.40602378698845687</c:v>
                </c:pt>
                <c:pt idx="22">
                  <c:v>0.32907391680532477</c:v>
                </c:pt>
                <c:pt idx="23">
                  <c:v>0.33953677920544634</c:v>
                </c:pt>
                <c:pt idx="24">
                  <c:v>0.19112672665472413</c:v>
                </c:pt>
              </c:numCache>
            </c:numRef>
          </c:val>
          <c:smooth val="0"/>
          <c:extLst>
            <c:ext xmlns:c16="http://schemas.microsoft.com/office/drawing/2014/chart" uri="{C3380CC4-5D6E-409C-BE32-E72D297353CC}">
              <c16:uniqueId val="{00000002-0DCF-4A76-80A9-6766DE4C52F3}"/>
            </c:ext>
          </c:extLst>
        </c:ser>
        <c:ser>
          <c:idx val="3"/>
          <c:order val="3"/>
          <c:tx>
            <c:strRef>
              <c:f>'Mapeo y Análisis de la vulnerab'!$G$4</c:f>
              <c:strCache>
                <c:ptCount val="1"/>
                <c:pt idx="0">
                  <c:v>Índice de vulnerabilidad a la Inseguridad Alimentaria (IA), 2018</c:v>
                </c:pt>
              </c:strCache>
            </c:strRef>
          </c:tx>
          <c:spPr>
            <a:ln w="19050" cap="rnd">
              <a:solidFill>
                <a:schemeClr val="accent4"/>
              </a:solidFill>
              <a:round/>
            </a:ln>
            <a:effectLst/>
          </c:spPr>
          <c:marker>
            <c:symbol val="none"/>
          </c:marker>
          <c:cat>
            <c:strRef>
              <c:f>'Mapeo y Análisis de la vulnerab'!$C$5:$C$29</c:f>
              <c:strCache>
                <c:ptCount val="25"/>
                <c:pt idx="0">
                  <c:v>APURIMAC</c:v>
                </c:pt>
                <c:pt idx="1">
                  <c:v>HUANCAVELICA</c:v>
                </c:pt>
                <c:pt idx="2">
                  <c:v>PUNO</c:v>
                </c:pt>
                <c:pt idx="3">
                  <c:v>HUANUCO</c:v>
                </c:pt>
                <c:pt idx="4">
                  <c:v>AYACUCHO</c:v>
                </c:pt>
                <c:pt idx="5">
                  <c:v>PASCO</c:v>
                </c:pt>
                <c:pt idx="6">
                  <c:v>CUSCO</c:v>
                </c:pt>
                <c:pt idx="7">
                  <c:v>UCAYALI</c:v>
                </c:pt>
                <c:pt idx="8">
                  <c:v>AMAZONAS</c:v>
                </c:pt>
                <c:pt idx="9">
                  <c:v>CAJAMARCA</c:v>
                </c:pt>
                <c:pt idx="10">
                  <c:v>LORETO</c:v>
                </c:pt>
                <c:pt idx="11">
                  <c:v>PIURA</c:v>
                </c:pt>
                <c:pt idx="12">
                  <c:v>SAN MARTIN</c:v>
                </c:pt>
                <c:pt idx="13">
                  <c:v>JUNIN</c:v>
                </c:pt>
                <c:pt idx="14">
                  <c:v>MOQUEGUA</c:v>
                </c:pt>
                <c:pt idx="15">
                  <c:v>LA LIBERTAD</c:v>
                </c:pt>
                <c:pt idx="16">
                  <c:v>LAMBAYEQUE</c:v>
                </c:pt>
                <c:pt idx="17">
                  <c:v>MADRE DE DIOS</c:v>
                </c:pt>
                <c:pt idx="18">
                  <c:v>ICA</c:v>
                </c:pt>
                <c:pt idx="19">
                  <c:v>ANCASH</c:v>
                </c:pt>
                <c:pt idx="20">
                  <c:v>TUMBES</c:v>
                </c:pt>
                <c:pt idx="21">
                  <c:v>AREQUIPA</c:v>
                </c:pt>
                <c:pt idx="22">
                  <c:v>TACNA</c:v>
                </c:pt>
                <c:pt idx="23">
                  <c:v>LIMA</c:v>
                </c:pt>
                <c:pt idx="24">
                  <c:v>CALLAO</c:v>
                </c:pt>
              </c:strCache>
            </c:strRef>
          </c:cat>
          <c:val>
            <c:numRef>
              <c:f>'Mapeo y Análisis de la vulnerab'!$G$5:$G$29</c:f>
              <c:numCache>
                <c:formatCode>0.000</c:formatCode>
                <c:ptCount val="25"/>
                <c:pt idx="0">
                  <c:v>0.51631781198241089</c:v>
                </c:pt>
                <c:pt idx="1">
                  <c:v>0.59661831201942284</c:v>
                </c:pt>
                <c:pt idx="2">
                  <c:v>0.44784031008039099</c:v>
                </c:pt>
                <c:pt idx="3">
                  <c:v>0.46643717314042571</c:v>
                </c:pt>
                <c:pt idx="4">
                  <c:v>0.46475677939729249</c:v>
                </c:pt>
                <c:pt idx="5">
                  <c:v>0.38681644569742879</c:v>
                </c:pt>
                <c:pt idx="6">
                  <c:v>0.3930125916312352</c:v>
                </c:pt>
                <c:pt idx="7">
                  <c:v>0.35770852208200654</c:v>
                </c:pt>
                <c:pt idx="8">
                  <c:v>0.46147670963829418</c:v>
                </c:pt>
                <c:pt idx="9">
                  <c:v>0.50769709877093749</c:v>
                </c:pt>
                <c:pt idx="10">
                  <c:v>0.34532813425562703</c:v>
                </c:pt>
                <c:pt idx="11">
                  <c:v>0.28950501502587778</c:v>
                </c:pt>
                <c:pt idx="12">
                  <c:v>0.34012190675696691</c:v>
                </c:pt>
                <c:pt idx="13">
                  <c:v>0.27433087864482919</c:v>
                </c:pt>
                <c:pt idx="14">
                  <c:v>0.19625655356098656</c:v>
                </c:pt>
                <c:pt idx="15">
                  <c:v>0.29718308794272436</c:v>
                </c:pt>
                <c:pt idx="16">
                  <c:v>0.22390210759369134</c:v>
                </c:pt>
                <c:pt idx="17">
                  <c:v>0.17043150636741253</c:v>
                </c:pt>
                <c:pt idx="18">
                  <c:v>0.182572571462365</c:v>
                </c:pt>
                <c:pt idx="19">
                  <c:v>0.31113627942281319</c:v>
                </c:pt>
                <c:pt idx="20">
                  <c:v>0.12576119807877564</c:v>
                </c:pt>
                <c:pt idx="21">
                  <c:v>0.15992306421524344</c:v>
                </c:pt>
                <c:pt idx="22">
                  <c:v>0.17616285881208854</c:v>
                </c:pt>
                <c:pt idx="23">
                  <c:v>0.10687212656079642</c:v>
                </c:pt>
                <c:pt idx="24">
                  <c:v>9.0705470528076385E-2</c:v>
                </c:pt>
              </c:numCache>
            </c:numRef>
          </c:val>
          <c:smooth val="0"/>
          <c:extLst>
            <c:ext xmlns:c16="http://schemas.microsoft.com/office/drawing/2014/chart" uri="{C3380CC4-5D6E-409C-BE32-E72D297353CC}">
              <c16:uniqueId val="{00000003-0DCF-4A76-80A9-6766DE4C52F3}"/>
            </c:ext>
          </c:extLst>
        </c:ser>
        <c:ser>
          <c:idx val="4"/>
          <c:order val="4"/>
          <c:tx>
            <c:strRef>
              <c:f>'Mapeo y Análisis de la vulnerab'!$H$4</c:f>
              <c:strCache>
                <c:ptCount val="1"/>
                <c:pt idx="0">
                  <c:v>Índice de vulnerabilidad a la IA ante la Recurrencia de Fenómenos Naturales, 2018</c:v>
                </c:pt>
              </c:strCache>
            </c:strRef>
          </c:tx>
          <c:spPr>
            <a:ln w="19050" cap="rnd">
              <a:solidFill>
                <a:schemeClr val="accent5"/>
              </a:solidFill>
              <a:round/>
            </a:ln>
            <a:effectLst/>
          </c:spPr>
          <c:marker>
            <c:symbol val="none"/>
          </c:marker>
          <c:cat>
            <c:strRef>
              <c:f>'Mapeo y Análisis de la vulnerab'!$C$5:$C$29</c:f>
              <c:strCache>
                <c:ptCount val="25"/>
                <c:pt idx="0">
                  <c:v>APURIMAC</c:v>
                </c:pt>
                <c:pt idx="1">
                  <c:v>HUANCAVELICA</c:v>
                </c:pt>
                <c:pt idx="2">
                  <c:v>PUNO</c:v>
                </c:pt>
                <c:pt idx="3">
                  <c:v>HUANUCO</c:v>
                </c:pt>
                <c:pt idx="4">
                  <c:v>AYACUCHO</c:v>
                </c:pt>
                <c:pt idx="5">
                  <c:v>PASCO</c:v>
                </c:pt>
                <c:pt idx="6">
                  <c:v>CUSCO</c:v>
                </c:pt>
                <c:pt idx="7">
                  <c:v>UCAYALI</c:v>
                </c:pt>
                <c:pt idx="8">
                  <c:v>AMAZONAS</c:v>
                </c:pt>
                <c:pt idx="9">
                  <c:v>CAJAMARCA</c:v>
                </c:pt>
                <c:pt idx="10">
                  <c:v>LORETO</c:v>
                </c:pt>
                <c:pt idx="11">
                  <c:v>PIURA</c:v>
                </c:pt>
                <c:pt idx="12">
                  <c:v>SAN MARTIN</c:v>
                </c:pt>
                <c:pt idx="13">
                  <c:v>JUNIN</c:v>
                </c:pt>
                <c:pt idx="14">
                  <c:v>MOQUEGUA</c:v>
                </c:pt>
                <c:pt idx="15">
                  <c:v>LA LIBERTAD</c:v>
                </c:pt>
                <c:pt idx="16">
                  <c:v>LAMBAYEQUE</c:v>
                </c:pt>
                <c:pt idx="17">
                  <c:v>MADRE DE DIOS</c:v>
                </c:pt>
                <c:pt idx="18">
                  <c:v>ICA</c:v>
                </c:pt>
                <c:pt idx="19">
                  <c:v>ANCASH</c:v>
                </c:pt>
                <c:pt idx="20">
                  <c:v>TUMBES</c:v>
                </c:pt>
                <c:pt idx="21">
                  <c:v>AREQUIPA</c:v>
                </c:pt>
                <c:pt idx="22">
                  <c:v>TACNA</c:v>
                </c:pt>
                <c:pt idx="23">
                  <c:v>LIMA</c:v>
                </c:pt>
                <c:pt idx="24">
                  <c:v>CALLAO</c:v>
                </c:pt>
              </c:strCache>
            </c:strRef>
          </c:cat>
          <c:val>
            <c:numRef>
              <c:f>'Mapeo y Análisis de la vulnerab'!$H$5:$H$29</c:f>
              <c:numCache>
                <c:formatCode>0.000</c:formatCode>
                <c:ptCount val="25"/>
                <c:pt idx="0">
                  <c:v>0.48232577223939299</c:v>
                </c:pt>
                <c:pt idx="1">
                  <c:v>0.47735261685587749</c:v>
                </c:pt>
                <c:pt idx="2">
                  <c:v>0.3475269105021131</c:v>
                </c:pt>
                <c:pt idx="3">
                  <c:v>0.34003156982394528</c:v>
                </c:pt>
                <c:pt idx="4">
                  <c:v>0.32696243740936265</c:v>
                </c:pt>
                <c:pt idx="5">
                  <c:v>0.31072408167945587</c:v>
                </c:pt>
                <c:pt idx="6">
                  <c:v>0.29747387322997026</c:v>
                </c:pt>
                <c:pt idx="7">
                  <c:v>0.29290443611949563</c:v>
                </c:pt>
                <c:pt idx="8">
                  <c:v>0.29265116678589492</c:v>
                </c:pt>
                <c:pt idx="9">
                  <c:v>0.29144402420900062</c:v>
                </c:pt>
                <c:pt idx="10">
                  <c:v>0.26713482570234692</c:v>
                </c:pt>
                <c:pt idx="11">
                  <c:v>0.227850647474683</c:v>
                </c:pt>
                <c:pt idx="12">
                  <c:v>0.21352539681460858</c:v>
                </c:pt>
                <c:pt idx="13">
                  <c:v>0.15230007797684228</c:v>
                </c:pt>
                <c:pt idx="14">
                  <c:v>0.14912210788965169</c:v>
                </c:pt>
                <c:pt idx="15">
                  <c:v>0.14402973919026132</c:v>
                </c:pt>
                <c:pt idx="16">
                  <c:v>0.1317294438059832</c:v>
                </c:pt>
                <c:pt idx="17">
                  <c:v>0.1263553981703423</c:v>
                </c:pt>
                <c:pt idx="18">
                  <c:v>0.1159998552240285</c:v>
                </c:pt>
                <c:pt idx="19">
                  <c:v>0.1139855273358746</c:v>
                </c:pt>
                <c:pt idx="20">
                  <c:v>0.11261739616414768</c:v>
                </c:pt>
                <c:pt idx="21">
                  <c:v>7.1717419097802132E-2</c:v>
                </c:pt>
                <c:pt idx="22">
                  <c:v>6.0500735063777407E-2</c:v>
                </c:pt>
                <c:pt idx="23">
                  <c:v>3.7737022969488193E-2</c:v>
                </c:pt>
                <c:pt idx="24">
                  <c:v>1.6057172279681481E-2</c:v>
                </c:pt>
              </c:numCache>
            </c:numRef>
          </c:val>
          <c:smooth val="0"/>
          <c:extLst>
            <c:ext xmlns:c16="http://schemas.microsoft.com/office/drawing/2014/chart" uri="{C3380CC4-5D6E-409C-BE32-E72D297353CC}">
              <c16:uniqueId val="{00000004-0DCF-4A76-80A9-6766DE4C52F3}"/>
            </c:ext>
          </c:extLst>
        </c:ser>
        <c:dLbls>
          <c:showLegendKey val="0"/>
          <c:showVal val="0"/>
          <c:showCatName val="0"/>
          <c:showSerName val="0"/>
          <c:showPercent val="0"/>
          <c:showBubbleSize val="0"/>
        </c:dLbls>
        <c:smooth val="0"/>
        <c:axId val="348175279"/>
        <c:axId val="348176239"/>
      </c:lineChart>
      <c:catAx>
        <c:axId val="348175279"/>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348176239"/>
        <c:crosses val="autoZero"/>
        <c:auto val="1"/>
        <c:lblAlgn val="ctr"/>
        <c:lblOffset val="100"/>
        <c:noMultiLvlLbl val="0"/>
      </c:catAx>
      <c:valAx>
        <c:axId val="348176239"/>
        <c:scaling>
          <c:orientation val="minMax"/>
        </c:scaling>
        <c:delete val="0"/>
        <c:axPos val="l"/>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8175279"/>
        <c:crosses val="autoZero"/>
        <c:crossBetween val="between"/>
      </c:valAx>
      <c:spPr>
        <a:noFill/>
        <a:ln>
          <a:noFill/>
        </a:ln>
        <a:effectLst/>
      </c:spPr>
    </c:plotArea>
    <c:legend>
      <c:legendPos val="r"/>
      <c:layout>
        <c:manualLayout>
          <c:xMode val="edge"/>
          <c:yMode val="edge"/>
          <c:x val="0.80768950522975669"/>
          <c:y val="0.15602723699604323"/>
          <c:w val="0.17836495995792367"/>
          <c:h val="0.706912570820133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ICTD</a:t>
            </a:r>
            <a:r>
              <a:rPr lang="es-ES" sz="1200" baseline="0"/>
              <a:t> - Subíndice Ambiente Apto con respecto a los índices de vulnerabilidad en ciertos distritos turísticos rurales</a:t>
            </a:r>
            <a:endParaRPr lang="es-E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4.8178744780190144E-2"/>
          <c:y val="0.22824074074074074"/>
          <c:w val="0.66354022242065103"/>
          <c:h val="0.38113954505686787"/>
        </c:manualLayout>
      </c:layout>
      <c:lineChart>
        <c:grouping val="standard"/>
        <c:varyColors val="0"/>
        <c:ser>
          <c:idx val="1"/>
          <c:order val="1"/>
          <c:tx>
            <c:strRef>
              <c:f>Hoja1!$G$6</c:f>
              <c:strCache>
                <c:ptCount val="1"/>
                <c:pt idx="0">
                  <c:v>ICTD - Subíndice Ambiente Apto</c:v>
                </c:pt>
              </c:strCache>
            </c:strRef>
          </c:tx>
          <c:spPr>
            <a:ln w="31750" cap="rnd">
              <a:solidFill>
                <a:schemeClr val="accent6">
                  <a:lumMod val="60000"/>
                  <a:lumOff val="40000"/>
                </a:schemeClr>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Hoja1!$G$7:$G$24</c:f>
              <c:numCache>
                <c:formatCode>0.00</c:formatCode>
                <c:ptCount val="18"/>
                <c:pt idx="0">
                  <c:v>0.66</c:v>
                </c:pt>
                <c:pt idx="1">
                  <c:v>0.66</c:v>
                </c:pt>
                <c:pt idx="2">
                  <c:v>0.66</c:v>
                </c:pt>
                <c:pt idx="3">
                  <c:v>0.66</c:v>
                </c:pt>
                <c:pt idx="4">
                  <c:v>0.66</c:v>
                </c:pt>
                <c:pt idx="5">
                  <c:v>0.66</c:v>
                </c:pt>
                <c:pt idx="6">
                  <c:v>0.53</c:v>
                </c:pt>
                <c:pt idx="7">
                  <c:v>0.51</c:v>
                </c:pt>
                <c:pt idx="8">
                  <c:v>0.53</c:v>
                </c:pt>
                <c:pt idx="9">
                  <c:v>0.55000000000000004</c:v>
                </c:pt>
                <c:pt idx="10">
                  <c:v>0.42</c:v>
                </c:pt>
                <c:pt idx="11">
                  <c:v>0.51</c:v>
                </c:pt>
                <c:pt idx="12">
                  <c:v>0.53</c:v>
                </c:pt>
                <c:pt idx="13">
                  <c:v>0.53</c:v>
                </c:pt>
                <c:pt idx="14">
                  <c:v>0.55000000000000004</c:v>
                </c:pt>
                <c:pt idx="15">
                  <c:v>0.42</c:v>
                </c:pt>
                <c:pt idx="16">
                  <c:v>0.53</c:v>
                </c:pt>
                <c:pt idx="17">
                  <c:v>0.42</c:v>
                </c:pt>
              </c:numCache>
            </c:numRef>
          </c:val>
          <c:smooth val="0"/>
          <c:extLst>
            <c:ext xmlns:c16="http://schemas.microsoft.com/office/drawing/2014/chart" uri="{C3380CC4-5D6E-409C-BE32-E72D297353CC}">
              <c16:uniqueId val="{00000000-B6BD-4257-856F-1CDB891EBFF2}"/>
            </c:ext>
          </c:extLst>
        </c:ser>
        <c:ser>
          <c:idx val="2"/>
          <c:order val="2"/>
          <c:tx>
            <c:strRef>
              <c:f>Hoja1!$P$6</c:f>
              <c:strCache>
                <c:ptCount val="1"/>
                <c:pt idx="0">
                  <c:v>Índice de peligro climático, 2003-2018</c:v>
                </c:pt>
              </c:strCache>
            </c:strRef>
          </c:tx>
          <c:spPr>
            <a:ln w="19050" cap="rnd">
              <a:solidFill>
                <a:schemeClr val="accent3"/>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Hoja1!$P$7:$P$24</c:f>
              <c:numCache>
                <c:formatCode>0.00000</c:formatCode>
                <c:ptCount val="18"/>
                <c:pt idx="0">
                  <c:v>0.92532619060596699</c:v>
                </c:pt>
                <c:pt idx="1">
                  <c:v>0.9194610374671951</c:v>
                </c:pt>
                <c:pt idx="2">
                  <c:v>0.84569019422001768</c:v>
                </c:pt>
                <c:pt idx="3">
                  <c:v>0.83165597997589569</c:v>
                </c:pt>
                <c:pt idx="4">
                  <c:v>0.85463398578193939</c:v>
                </c:pt>
                <c:pt idx="5">
                  <c:v>0.80717000642075565</c:v>
                </c:pt>
                <c:pt idx="6">
                  <c:v>0.85245583535308755</c:v>
                </c:pt>
                <c:pt idx="7">
                  <c:v>0.64158516111781461</c:v>
                </c:pt>
                <c:pt idx="8">
                  <c:v>0.62324790350774162</c:v>
                </c:pt>
                <c:pt idx="9">
                  <c:v>0.61210001204873121</c:v>
                </c:pt>
                <c:pt idx="10">
                  <c:v>0.59906856357424643</c:v>
                </c:pt>
                <c:pt idx="11">
                  <c:v>0.2901226553268812</c:v>
                </c:pt>
                <c:pt idx="12">
                  <c:v>0.38836268473496188</c:v>
                </c:pt>
                <c:pt idx="13">
                  <c:v>0.45092410228894358</c:v>
                </c:pt>
                <c:pt idx="14">
                  <c:v>0.49081419711294327</c:v>
                </c:pt>
                <c:pt idx="15">
                  <c:v>0.23750502357801567</c:v>
                </c:pt>
                <c:pt idx="16">
                  <c:v>6.8191747030489696E-3</c:v>
                </c:pt>
                <c:pt idx="17">
                  <c:v>0.14387630789509567</c:v>
                </c:pt>
              </c:numCache>
            </c:numRef>
          </c:val>
          <c:smooth val="0"/>
          <c:extLst>
            <c:ext xmlns:c16="http://schemas.microsoft.com/office/drawing/2014/chart" uri="{C3380CC4-5D6E-409C-BE32-E72D297353CC}">
              <c16:uniqueId val="{00000001-B6BD-4257-856F-1CDB891EBFF2}"/>
            </c:ext>
          </c:extLst>
        </c:ser>
        <c:ser>
          <c:idx val="3"/>
          <c:order val="3"/>
          <c:tx>
            <c:strRef>
              <c:f>Hoja1!$R$6</c:f>
              <c:strCache>
                <c:ptCount val="1"/>
                <c:pt idx="0">
                  <c:v>Índice de vulnerabilidad a la IA, 2018</c:v>
                </c:pt>
              </c:strCache>
            </c:strRef>
          </c:tx>
          <c:spPr>
            <a:ln w="19050" cap="rnd">
              <a:solidFill>
                <a:schemeClr val="accent4"/>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Hoja1!$R$7:$R$24</c:f>
              <c:numCache>
                <c:formatCode>0.00000</c:formatCode>
                <c:ptCount val="18"/>
                <c:pt idx="0">
                  <c:v>0.21743931554195112</c:v>
                </c:pt>
                <c:pt idx="1">
                  <c:v>0.46707544078954166</c:v>
                </c:pt>
                <c:pt idx="2">
                  <c:v>0.43805521294507649</c:v>
                </c:pt>
                <c:pt idx="3">
                  <c:v>0.5107821593523908</c:v>
                </c:pt>
                <c:pt idx="4">
                  <c:v>0.69245728290105468</c:v>
                </c:pt>
                <c:pt idx="5">
                  <c:v>0.69387695632104807</c:v>
                </c:pt>
                <c:pt idx="6">
                  <c:v>0.234815306662255</c:v>
                </c:pt>
                <c:pt idx="7">
                  <c:v>0.52608436736583342</c:v>
                </c:pt>
                <c:pt idx="8">
                  <c:v>0.36535463473434376</c:v>
                </c:pt>
                <c:pt idx="9">
                  <c:v>0.11585464708066241</c:v>
                </c:pt>
                <c:pt idx="10">
                  <c:v>0.76844576793076147</c:v>
                </c:pt>
                <c:pt idx="11">
                  <c:v>0.58526090823985866</c:v>
                </c:pt>
                <c:pt idx="12">
                  <c:v>0.44687515577161813</c:v>
                </c:pt>
                <c:pt idx="13">
                  <c:v>0.30692421916137974</c:v>
                </c:pt>
                <c:pt idx="14">
                  <c:v>0.29359612714935457</c:v>
                </c:pt>
                <c:pt idx="15">
                  <c:v>0.38354492785435057</c:v>
                </c:pt>
                <c:pt idx="16">
                  <c:v>0.16993169628453297</c:v>
                </c:pt>
                <c:pt idx="17">
                  <c:v>0.7999237962036112</c:v>
                </c:pt>
              </c:numCache>
            </c:numRef>
          </c:val>
          <c:smooth val="0"/>
          <c:extLst>
            <c:ext xmlns:c16="http://schemas.microsoft.com/office/drawing/2014/chart" uri="{C3380CC4-5D6E-409C-BE32-E72D297353CC}">
              <c16:uniqueId val="{00000002-B6BD-4257-856F-1CDB891EBFF2}"/>
            </c:ext>
          </c:extLst>
        </c:ser>
        <c:ser>
          <c:idx val="4"/>
          <c:order val="4"/>
          <c:tx>
            <c:strRef>
              <c:f>Hoja1!$S$6</c:f>
              <c:strCache>
                <c:ptCount val="1"/>
                <c:pt idx="0">
                  <c:v>Índice de vulnerabilidad a la IA ante la Recurrencia de Fenómenos Naturales, 2018</c:v>
                </c:pt>
              </c:strCache>
            </c:strRef>
          </c:tx>
          <c:spPr>
            <a:ln w="19050" cap="rnd">
              <a:solidFill>
                <a:schemeClr val="accent5"/>
              </a:solidFill>
              <a:round/>
            </a:ln>
            <a:effectLst/>
          </c:spPr>
          <c:marker>
            <c:symbol val="none"/>
          </c:marker>
          <c:cat>
            <c:strRef>
              <c:f>Hoja1!$C$7:$C$24</c:f>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f>Hoja1!$S$7:$S$24</c:f>
              <c:numCache>
                <c:formatCode>0.00000</c:formatCode>
                <c:ptCount val="18"/>
                <c:pt idx="0">
                  <c:v>0.20120229353840247</c:v>
                </c:pt>
                <c:pt idx="1">
                  <c:v>0.42945766936379942</c:v>
                </c:pt>
                <c:pt idx="2">
                  <c:v>0.37045899811461291</c:v>
                </c:pt>
                <c:pt idx="3">
                  <c:v>0.42479503729041668</c:v>
                </c:pt>
                <c:pt idx="4">
                  <c:v>0.59179752766946037</c:v>
                </c:pt>
                <c:pt idx="5">
                  <c:v>0.56007666728887473</c:v>
                </c:pt>
                <c:pt idx="6">
                  <c:v>0.20016967839446401</c:v>
                </c:pt>
                <c:pt idx="7">
                  <c:v>0.33752792359797179</c:v>
                </c:pt>
                <c:pt idx="8">
                  <c:v>0.22770651013501647</c:v>
                </c:pt>
                <c:pt idx="9">
                  <c:v>7.0914630873974968E-2</c:v>
                </c:pt>
                <c:pt idx="10">
                  <c:v>0.46035170237898998</c:v>
                </c:pt>
                <c:pt idx="11">
                  <c:v>0.16979744875756997</c:v>
                </c:pt>
                <c:pt idx="12">
                  <c:v>0.1735496352368199</c:v>
                </c:pt>
                <c:pt idx="13">
                  <c:v>0.13839952799608013</c:v>
                </c:pt>
                <c:pt idx="14">
                  <c:v>0.14410114742228006</c:v>
                </c:pt>
                <c:pt idx="15">
                  <c:v>9.1093847133275854E-2</c:v>
                </c:pt>
                <c:pt idx="16">
                  <c:v>1.15879392454969E-3</c:v>
                </c:pt>
                <c:pt idx="17">
                  <c:v>0.11509008239520453</c:v>
                </c:pt>
              </c:numCache>
            </c:numRef>
          </c:val>
          <c:smooth val="0"/>
          <c:extLst>
            <c:ext xmlns:c16="http://schemas.microsoft.com/office/drawing/2014/chart" uri="{C3380CC4-5D6E-409C-BE32-E72D297353CC}">
              <c16:uniqueId val="{00000003-B6BD-4257-856F-1CDB891EBFF2}"/>
            </c:ext>
          </c:extLst>
        </c:ser>
        <c:dLbls>
          <c:showLegendKey val="0"/>
          <c:showVal val="0"/>
          <c:showCatName val="0"/>
          <c:showSerName val="0"/>
          <c:showPercent val="0"/>
          <c:showBubbleSize val="0"/>
        </c:dLbls>
        <c:smooth val="0"/>
        <c:axId val="359924335"/>
        <c:axId val="359924815"/>
        <c:extLst>
          <c:ext xmlns:c15="http://schemas.microsoft.com/office/drawing/2012/chart" uri="{02D57815-91ED-43cb-92C2-25804820EDAC}">
            <c15:filteredLineSeries>
              <c15:ser>
                <c:idx val="0"/>
                <c:order val="0"/>
                <c:tx>
                  <c:strRef>
                    <c:extLst>
                      <c:ext uri="{02D57815-91ED-43cb-92C2-25804820EDAC}">
                        <c15:formulaRef>
                          <c15:sqref>Hoja1!$F$6</c15:sqref>
                        </c15:formulaRef>
                      </c:ext>
                    </c:extLst>
                    <c:strCache>
                      <c:ptCount val="1"/>
                      <c:pt idx="0">
                        <c:v>Indice de Competitividad Turística Departamental</c:v>
                      </c:pt>
                    </c:strCache>
                  </c:strRef>
                </c:tx>
                <c:spPr>
                  <a:ln w="31750" cap="rnd">
                    <a:solidFill>
                      <a:srgbClr val="F0E61C"/>
                    </a:solidFill>
                    <a:round/>
                  </a:ln>
                  <a:effectLst/>
                </c:spPr>
                <c:marker>
                  <c:symbol val="none"/>
                </c:marker>
                <c:cat>
                  <c:strRef>
                    <c:extLst>
                      <c:ext uri="{02D57815-91ED-43cb-92C2-25804820EDAC}">
                        <c15:formulaRef>
                          <c15:sqref>Hoja1!$C$7:$C$24</c15:sqref>
                        </c15:formulaRef>
                      </c:ext>
                    </c:extLst>
                    <c:strCache>
                      <c:ptCount val="18"/>
                      <c:pt idx="0">
                        <c:v>1 - CHIVAY</c:v>
                      </c:pt>
                      <c:pt idx="1">
                        <c:v>1 - CAYLLOMA</c:v>
                      </c:pt>
                      <c:pt idx="2">
                        <c:v>1 - COPORAQUE</c:v>
                      </c:pt>
                      <c:pt idx="3">
                        <c:v>1 - SIBAYO</c:v>
                      </c:pt>
                      <c:pt idx="4">
                        <c:v>1 - TISCO</c:v>
                      </c:pt>
                      <c:pt idx="5">
                        <c:v>1 - TUTI</c:v>
                      </c:pt>
                      <c:pt idx="6">
                        <c:v>2 - ANDAHUAYLILLAS</c:v>
                      </c:pt>
                      <c:pt idx="7">
                        <c:v>3 - CARHUAZ</c:v>
                      </c:pt>
                      <c:pt idx="8">
                        <c:v>4 - OTUZCO</c:v>
                      </c:pt>
                      <c:pt idx="9">
                        <c:v>5 - LAMBAYEQUE</c:v>
                      </c:pt>
                      <c:pt idx="10">
                        <c:v>6 - ATUNCOLLA</c:v>
                      </c:pt>
                      <c:pt idx="11">
                        <c:v>3 - CHAVIN DE HUANTAR</c:v>
                      </c:pt>
                      <c:pt idx="12">
                        <c:v>2 - CHINCHERO</c:v>
                      </c:pt>
                      <c:pt idx="13">
                        <c:v>2 - MACHUPICCHU</c:v>
                      </c:pt>
                      <c:pt idx="14">
                        <c:v>5 - TUCUME</c:v>
                      </c:pt>
                      <c:pt idx="15">
                        <c:v>7 - TINGO</c:v>
                      </c:pt>
                      <c:pt idx="16">
                        <c:v>4 - MAGDALENA DE CAO</c:v>
                      </c:pt>
                      <c:pt idx="17">
                        <c:v>6 - AMANTANI</c:v>
                      </c:pt>
                    </c:strCache>
                  </c:strRef>
                </c:cat>
                <c:val>
                  <c:numRef>
                    <c:extLst>
                      <c:ext uri="{02D57815-91ED-43cb-92C2-25804820EDAC}">
                        <c15:formulaRef>
                          <c15:sqref>Hoja1!$F$7:$F$24</c15:sqref>
                        </c15:formulaRef>
                      </c:ext>
                    </c:extLst>
                    <c:numCache>
                      <c:formatCode>0.00</c:formatCode>
                      <c:ptCount val="18"/>
                      <c:pt idx="0">
                        <c:v>0.45</c:v>
                      </c:pt>
                      <c:pt idx="1">
                        <c:v>0.45</c:v>
                      </c:pt>
                      <c:pt idx="2">
                        <c:v>0.45</c:v>
                      </c:pt>
                      <c:pt idx="3">
                        <c:v>0.45</c:v>
                      </c:pt>
                      <c:pt idx="4">
                        <c:v>0.45</c:v>
                      </c:pt>
                      <c:pt idx="5">
                        <c:v>0.45</c:v>
                      </c:pt>
                      <c:pt idx="6">
                        <c:v>0.54</c:v>
                      </c:pt>
                      <c:pt idx="7">
                        <c:v>0.34</c:v>
                      </c:pt>
                      <c:pt idx="8">
                        <c:v>0.35</c:v>
                      </c:pt>
                      <c:pt idx="9">
                        <c:v>0.43</c:v>
                      </c:pt>
                      <c:pt idx="10">
                        <c:v>0.39</c:v>
                      </c:pt>
                      <c:pt idx="11">
                        <c:v>0.34</c:v>
                      </c:pt>
                      <c:pt idx="12">
                        <c:v>0.54</c:v>
                      </c:pt>
                      <c:pt idx="13">
                        <c:v>0.54</c:v>
                      </c:pt>
                      <c:pt idx="14">
                        <c:v>0.43</c:v>
                      </c:pt>
                      <c:pt idx="15">
                        <c:v>0.45</c:v>
                      </c:pt>
                      <c:pt idx="16">
                        <c:v>0.35</c:v>
                      </c:pt>
                      <c:pt idx="17">
                        <c:v>0.39</c:v>
                      </c:pt>
                    </c:numCache>
                  </c:numRef>
                </c:val>
                <c:smooth val="0"/>
                <c:extLst>
                  <c:ext xmlns:c16="http://schemas.microsoft.com/office/drawing/2014/chart" uri="{C3380CC4-5D6E-409C-BE32-E72D297353CC}">
                    <c16:uniqueId val="{00000004-B6BD-4257-856F-1CDB891EBFF2}"/>
                  </c:ext>
                </c:extLst>
              </c15:ser>
            </c15:filteredLineSeries>
          </c:ext>
        </c:extLst>
      </c:lineChart>
      <c:catAx>
        <c:axId val="359924335"/>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S" sz="800"/>
                  <a:t>1-Arequipa,</a:t>
                </a:r>
                <a:r>
                  <a:rPr lang="es-ES" sz="800" baseline="0"/>
                  <a:t> 2-Cusco, 3-Ancash, 4-La Libertad</a:t>
                </a:r>
              </a:p>
              <a:p>
                <a:pPr>
                  <a:defRPr sz="800"/>
                </a:pPr>
                <a:r>
                  <a:rPr lang="es-ES" sz="800" baseline="0"/>
                  <a:t>5-Lambayeque, 6-Puno, 7-Amazonas</a:t>
                </a:r>
                <a:endParaRPr lang="es-ES" sz="800"/>
              </a:p>
            </c:rich>
          </c:tx>
          <c:layout>
            <c:manualLayout>
              <c:xMode val="edge"/>
              <c:yMode val="edge"/>
              <c:x val="0.68742268041237109"/>
              <c:y val="0.830974463037855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9924815"/>
        <c:crosses val="autoZero"/>
        <c:auto val="1"/>
        <c:lblAlgn val="ctr"/>
        <c:lblOffset val="100"/>
        <c:noMultiLvlLbl val="0"/>
      </c:catAx>
      <c:valAx>
        <c:axId val="3599248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9924335"/>
        <c:crosses val="autoZero"/>
        <c:crossBetween val="between"/>
      </c:valAx>
      <c:spPr>
        <a:noFill/>
        <a:ln>
          <a:noFill/>
        </a:ln>
        <a:effectLst/>
      </c:spPr>
    </c:plotArea>
    <c:legend>
      <c:legendPos val="r"/>
      <c:layout>
        <c:manualLayout>
          <c:xMode val="edge"/>
          <c:yMode val="edge"/>
          <c:x val="0.71912687718158941"/>
          <c:y val="0.13711505208854335"/>
          <c:w val="0.27147966555726927"/>
          <c:h val="0.69538133958300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664FB5-13DD-4690-A9ED-C01A8C505CC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s-ES"/>
        </a:p>
      </dgm:t>
    </dgm:pt>
    <dgm:pt modelId="{63A0B40D-4972-4BFE-B5EA-187FA4011080}">
      <dgm:prSet phldrT="[Texto]"/>
      <dgm:spPr/>
      <dgm:t>
        <a:bodyPr/>
        <a:lstStyle/>
        <a:p>
          <a:r>
            <a:rPr lang="es-ES"/>
            <a:t>POLITICA DE SEGURIDAD TURÍSTICA</a:t>
          </a:r>
        </a:p>
      </dgm:t>
    </dgm:pt>
    <dgm:pt modelId="{04BE04EF-8E16-450B-9F9E-FC90C82D7F5A}" type="parTrans" cxnId="{5616748A-2231-465B-AB57-5CD3082EC3EA}">
      <dgm:prSet/>
      <dgm:spPr/>
      <dgm:t>
        <a:bodyPr/>
        <a:lstStyle/>
        <a:p>
          <a:endParaRPr lang="es-ES"/>
        </a:p>
      </dgm:t>
    </dgm:pt>
    <dgm:pt modelId="{2F92D58C-1ECA-4C1F-BFA4-BEF199F2112E}" type="sibTrans" cxnId="{5616748A-2231-465B-AB57-5CD3082EC3EA}">
      <dgm:prSet/>
      <dgm:spPr/>
      <dgm:t>
        <a:bodyPr/>
        <a:lstStyle/>
        <a:p>
          <a:endParaRPr lang="es-ES"/>
        </a:p>
      </dgm:t>
    </dgm:pt>
    <dgm:pt modelId="{60DA3949-08A2-4DAA-AF7D-AB79D4AFF507}">
      <dgm:prSet phldrT="[Texto]"/>
      <dgm:spPr/>
      <dgm:t>
        <a:bodyPr/>
        <a:lstStyle/>
        <a:p>
          <a:r>
            <a:rPr lang="es-ES"/>
            <a:t>SEGURIDAD INFORMATIVA Y DE FACILITACIÓN</a:t>
          </a:r>
        </a:p>
      </dgm:t>
    </dgm:pt>
    <dgm:pt modelId="{E120AEFF-A9F7-41D1-BC31-9D87CE4E6131}" type="parTrans" cxnId="{9FAF4332-F6BE-4FA2-A331-984F508C82B4}">
      <dgm:prSet/>
      <dgm:spPr/>
      <dgm:t>
        <a:bodyPr/>
        <a:lstStyle/>
        <a:p>
          <a:endParaRPr lang="es-ES"/>
        </a:p>
      </dgm:t>
    </dgm:pt>
    <dgm:pt modelId="{FDB8232D-44D2-4FD2-BCA7-FD4BE4A1C94E}" type="sibTrans" cxnId="{9FAF4332-F6BE-4FA2-A331-984F508C82B4}">
      <dgm:prSet/>
      <dgm:spPr/>
      <dgm:t>
        <a:bodyPr/>
        <a:lstStyle/>
        <a:p>
          <a:endParaRPr lang="es-ES"/>
        </a:p>
      </dgm:t>
    </dgm:pt>
    <dgm:pt modelId="{77D6AB32-AF3B-4090-960A-979D1B99A5A7}">
      <dgm:prSet phldrT="[Texto]"/>
      <dgm:spPr/>
      <dgm:t>
        <a:bodyPr/>
        <a:lstStyle/>
        <a:p>
          <a:r>
            <a:rPr lang="es-ES"/>
            <a:t>SEGURIDAD PÚBLICA</a:t>
          </a:r>
        </a:p>
      </dgm:t>
    </dgm:pt>
    <dgm:pt modelId="{7BD8628E-4F01-4F70-8E89-450E36EF88C4}" type="parTrans" cxnId="{BA088C25-30E7-4E0B-B18C-D8A7CC5B4E66}">
      <dgm:prSet/>
      <dgm:spPr/>
      <dgm:t>
        <a:bodyPr/>
        <a:lstStyle/>
        <a:p>
          <a:endParaRPr lang="es-ES"/>
        </a:p>
      </dgm:t>
    </dgm:pt>
    <dgm:pt modelId="{D312A980-2C8B-4E9B-A65F-0ACC8146D652}" type="sibTrans" cxnId="{BA088C25-30E7-4E0B-B18C-D8A7CC5B4E66}">
      <dgm:prSet/>
      <dgm:spPr/>
      <dgm:t>
        <a:bodyPr/>
        <a:lstStyle/>
        <a:p>
          <a:endParaRPr lang="es-ES"/>
        </a:p>
      </dgm:t>
    </dgm:pt>
    <dgm:pt modelId="{4A41B016-8B3F-415B-A42D-18D57C187F70}">
      <dgm:prSet phldrT="[Texto]"/>
      <dgm:spPr/>
      <dgm:t>
        <a:bodyPr/>
        <a:lstStyle/>
        <a:p>
          <a:r>
            <a:rPr lang="es-ES"/>
            <a:t>SEGURIDAD AMBIENTAL</a:t>
          </a:r>
        </a:p>
      </dgm:t>
    </dgm:pt>
    <dgm:pt modelId="{0874D34F-2898-445E-BBAB-591C6B74C6F7}" type="parTrans" cxnId="{690318F2-2593-4C70-9F3B-406B3CF094DC}">
      <dgm:prSet/>
      <dgm:spPr/>
      <dgm:t>
        <a:bodyPr/>
        <a:lstStyle/>
        <a:p>
          <a:endParaRPr lang="es-ES"/>
        </a:p>
      </dgm:t>
    </dgm:pt>
    <dgm:pt modelId="{55AC3B6C-9293-4CDD-BB61-093C05EB63ED}" type="sibTrans" cxnId="{690318F2-2593-4C70-9F3B-406B3CF094DC}">
      <dgm:prSet/>
      <dgm:spPr/>
      <dgm:t>
        <a:bodyPr/>
        <a:lstStyle/>
        <a:p>
          <a:endParaRPr lang="es-ES"/>
        </a:p>
      </dgm:t>
    </dgm:pt>
    <dgm:pt modelId="{23731652-9176-4B29-88F7-5C1F4A4B2D5F}">
      <dgm:prSet phldrT="[Texto]"/>
      <dgm:spPr/>
      <dgm:t>
        <a:bodyPr/>
        <a:lstStyle/>
        <a:p>
          <a:r>
            <a:rPr lang="es-ES"/>
            <a:t>SEGURIDAD SOCIAL</a:t>
          </a:r>
        </a:p>
      </dgm:t>
    </dgm:pt>
    <dgm:pt modelId="{0905061C-BA29-4587-97BA-D44DE5A37F82}" type="parTrans" cxnId="{171FD67E-7E75-47A8-A356-D9D58561C89E}">
      <dgm:prSet/>
      <dgm:spPr/>
      <dgm:t>
        <a:bodyPr/>
        <a:lstStyle/>
        <a:p>
          <a:endParaRPr lang="es-ES"/>
        </a:p>
      </dgm:t>
    </dgm:pt>
    <dgm:pt modelId="{597C3B14-9D6F-497A-A20D-55AD08F13FC9}" type="sibTrans" cxnId="{171FD67E-7E75-47A8-A356-D9D58561C89E}">
      <dgm:prSet/>
      <dgm:spPr/>
      <dgm:t>
        <a:bodyPr/>
        <a:lstStyle/>
        <a:p>
          <a:endParaRPr lang="es-ES"/>
        </a:p>
      </dgm:t>
    </dgm:pt>
    <dgm:pt modelId="{DC54922D-2016-41F4-9EDE-8B1D85CC8280}">
      <dgm:prSet phldrT="[Texto]"/>
      <dgm:spPr/>
      <dgm:t>
        <a:bodyPr/>
        <a:lstStyle/>
        <a:p>
          <a:r>
            <a:rPr lang="es-ES"/>
            <a:t>SEGURIDAD EN LA RECREACIÓN Y EN EVENTOS</a:t>
          </a:r>
        </a:p>
      </dgm:t>
    </dgm:pt>
    <dgm:pt modelId="{96B83EE9-78A7-42B4-BF70-26FF14A049DF}" type="parTrans" cxnId="{CD44B012-7A5C-4890-93D0-A52E56FC57D2}">
      <dgm:prSet/>
      <dgm:spPr/>
      <dgm:t>
        <a:bodyPr/>
        <a:lstStyle/>
        <a:p>
          <a:endParaRPr lang="es-ES"/>
        </a:p>
      </dgm:t>
    </dgm:pt>
    <dgm:pt modelId="{FF63B36B-12DB-4D79-8655-A2FDEA2A7DA0}" type="sibTrans" cxnId="{CD44B012-7A5C-4890-93D0-A52E56FC57D2}">
      <dgm:prSet/>
      <dgm:spPr/>
      <dgm:t>
        <a:bodyPr/>
        <a:lstStyle/>
        <a:p>
          <a:endParaRPr lang="es-ES"/>
        </a:p>
      </dgm:t>
    </dgm:pt>
    <dgm:pt modelId="{7C0EE5C6-F475-4709-B244-70B37BA95110}">
      <dgm:prSet phldrT="[Texto]"/>
      <dgm:spPr/>
      <dgm:t>
        <a:bodyPr/>
        <a:lstStyle/>
        <a:p>
          <a:r>
            <a:rPr lang="es-ES"/>
            <a:t>SEGURIDAD VIAL Y DE TRANSPORTE</a:t>
          </a:r>
        </a:p>
      </dgm:t>
    </dgm:pt>
    <dgm:pt modelId="{83E7BA40-6010-4089-B32F-A09153CC2B5C}" type="parTrans" cxnId="{36CF7F99-2045-4FB1-B643-D90B2469D6F3}">
      <dgm:prSet/>
      <dgm:spPr/>
      <dgm:t>
        <a:bodyPr/>
        <a:lstStyle/>
        <a:p>
          <a:endParaRPr lang="es-ES"/>
        </a:p>
      </dgm:t>
    </dgm:pt>
    <dgm:pt modelId="{34F35A8F-9D22-4D15-AC6B-4230EBF85602}" type="sibTrans" cxnId="{36CF7F99-2045-4FB1-B643-D90B2469D6F3}">
      <dgm:prSet/>
      <dgm:spPr/>
      <dgm:t>
        <a:bodyPr/>
        <a:lstStyle/>
        <a:p>
          <a:endParaRPr lang="es-ES"/>
        </a:p>
      </dgm:t>
    </dgm:pt>
    <dgm:pt modelId="{C78208FC-B2FB-4018-8D05-4D167A443C89}">
      <dgm:prSet phldrT="[Texto]"/>
      <dgm:spPr/>
      <dgm:t>
        <a:bodyPr/>
        <a:lstStyle/>
        <a:p>
          <a:r>
            <a:rPr lang="es-ES"/>
            <a:t>SEGURIDAD DE LOS SERVICIOS TURÍSTICOS</a:t>
          </a:r>
        </a:p>
      </dgm:t>
    </dgm:pt>
    <dgm:pt modelId="{158CA527-C2F6-4FA1-A6BC-2AAC5FAD0EE4}" type="parTrans" cxnId="{482C6942-D41A-4E45-991D-0404AE434042}">
      <dgm:prSet/>
      <dgm:spPr/>
      <dgm:t>
        <a:bodyPr/>
        <a:lstStyle/>
        <a:p>
          <a:endParaRPr lang="es-ES"/>
        </a:p>
      </dgm:t>
    </dgm:pt>
    <dgm:pt modelId="{09B75496-FBA9-4CA4-A232-CF7B095CAB07}" type="sibTrans" cxnId="{482C6942-D41A-4E45-991D-0404AE434042}">
      <dgm:prSet/>
      <dgm:spPr/>
      <dgm:t>
        <a:bodyPr/>
        <a:lstStyle/>
        <a:p>
          <a:endParaRPr lang="es-ES"/>
        </a:p>
      </dgm:t>
    </dgm:pt>
    <dgm:pt modelId="{750D2539-BF2E-4506-AB49-5AD1E49359C7}" type="pres">
      <dgm:prSet presAssocID="{A9664FB5-13DD-4690-A9ED-C01A8C505CC3}" presName="cycle" presStyleCnt="0">
        <dgm:presLayoutVars>
          <dgm:chMax val="1"/>
          <dgm:dir/>
          <dgm:animLvl val="ctr"/>
          <dgm:resizeHandles val="exact"/>
        </dgm:presLayoutVars>
      </dgm:prSet>
      <dgm:spPr/>
    </dgm:pt>
    <dgm:pt modelId="{135144B5-8A85-4D74-A14F-A6BDB642F0A8}" type="pres">
      <dgm:prSet presAssocID="{63A0B40D-4972-4BFE-B5EA-187FA4011080}" presName="centerShape" presStyleLbl="node0" presStyleIdx="0" presStyleCnt="1"/>
      <dgm:spPr/>
    </dgm:pt>
    <dgm:pt modelId="{883365C4-EDAB-4919-8C49-A57914D57FD6}" type="pres">
      <dgm:prSet presAssocID="{0905061C-BA29-4587-97BA-D44DE5A37F82}" presName="parTrans" presStyleLbl="bgSibTrans2D1" presStyleIdx="0" presStyleCnt="7"/>
      <dgm:spPr/>
    </dgm:pt>
    <dgm:pt modelId="{8C73F886-3EB6-4362-A095-A0B2EB5B1731}" type="pres">
      <dgm:prSet presAssocID="{23731652-9176-4B29-88F7-5C1F4A4B2D5F}" presName="node" presStyleLbl="node1" presStyleIdx="0" presStyleCnt="7">
        <dgm:presLayoutVars>
          <dgm:bulletEnabled val="1"/>
        </dgm:presLayoutVars>
      </dgm:prSet>
      <dgm:spPr/>
    </dgm:pt>
    <dgm:pt modelId="{1C53A4D0-4A8D-42F5-A9BF-BFC71D0A7D5C}" type="pres">
      <dgm:prSet presAssocID="{E120AEFF-A9F7-41D1-BC31-9D87CE4E6131}" presName="parTrans" presStyleLbl="bgSibTrans2D1" presStyleIdx="1" presStyleCnt="7"/>
      <dgm:spPr/>
    </dgm:pt>
    <dgm:pt modelId="{B8163BD0-436F-464E-B39F-089DCC49C76E}" type="pres">
      <dgm:prSet presAssocID="{60DA3949-08A2-4DAA-AF7D-AB79D4AFF507}" presName="node" presStyleLbl="node1" presStyleIdx="1" presStyleCnt="7">
        <dgm:presLayoutVars>
          <dgm:bulletEnabled val="1"/>
        </dgm:presLayoutVars>
      </dgm:prSet>
      <dgm:spPr/>
    </dgm:pt>
    <dgm:pt modelId="{9AE77E85-812D-4149-AEA6-66E51BF0E481}" type="pres">
      <dgm:prSet presAssocID="{7BD8628E-4F01-4F70-8E89-450E36EF88C4}" presName="parTrans" presStyleLbl="bgSibTrans2D1" presStyleIdx="2" presStyleCnt="7"/>
      <dgm:spPr/>
    </dgm:pt>
    <dgm:pt modelId="{93444AAD-D5DA-4A13-A152-5CBCEDE8E812}" type="pres">
      <dgm:prSet presAssocID="{77D6AB32-AF3B-4090-960A-979D1B99A5A7}" presName="node" presStyleLbl="node1" presStyleIdx="2" presStyleCnt="7">
        <dgm:presLayoutVars>
          <dgm:bulletEnabled val="1"/>
        </dgm:presLayoutVars>
      </dgm:prSet>
      <dgm:spPr/>
    </dgm:pt>
    <dgm:pt modelId="{667B33B3-2824-4227-A26A-20DE51D4F008}" type="pres">
      <dgm:prSet presAssocID="{0874D34F-2898-445E-BBAB-591C6B74C6F7}" presName="parTrans" presStyleLbl="bgSibTrans2D1" presStyleIdx="3" presStyleCnt="7"/>
      <dgm:spPr/>
    </dgm:pt>
    <dgm:pt modelId="{31E72F86-5862-44B6-82BF-52DECDB96C40}" type="pres">
      <dgm:prSet presAssocID="{4A41B016-8B3F-415B-A42D-18D57C187F70}" presName="node" presStyleLbl="node1" presStyleIdx="3" presStyleCnt="7">
        <dgm:presLayoutVars>
          <dgm:bulletEnabled val="1"/>
        </dgm:presLayoutVars>
      </dgm:prSet>
      <dgm:spPr/>
    </dgm:pt>
    <dgm:pt modelId="{4D928D55-AA0F-492B-A4A5-9FE205AFF02F}" type="pres">
      <dgm:prSet presAssocID="{96B83EE9-78A7-42B4-BF70-26FF14A049DF}" presName="parTrans" presStyleLbl="bgSibTrans2D1" presStyleIdx="4" presStyleCnt="7"/>
      <dgm:spPr/>
    </dgm:pt>
    <dgm:pt modelId="{1FA2FBFF-28D1-4330-9FCB-3F8772659A23}" type="pres">
      <dgm:prSet presAssocID="{DC54922D-2016-41F4-9EDE-8B1D85CC8280}" presName="node" presStyleLbl="node1" presStyleIdx="4" presStyleCnt="7">
        <dgm:presLayoutVars>
          <dgm:bulletEnabled val="1"/>
        </dgm:presLayoutVars>
      </dgm:prSet>
      <dgm:spPr/>
    </dgm:pt>
    <dgm:pt modelId="{B9C73989-18D0-4D1F-A811-87FEE753340A}" type="pres">
      <dgm:prSet presAssocID="{83E7BA40-6010-4089-B32F-A09153CC2B5C}" presName="parTrans" presStyleLbl="bgSibTrans2D1" presStyleIdx="5" presStyleCnt="7"/>
      <dgm:spPr/>
    </dgm:pt>
    <dgm:pt modelId="{B7FB2158-1849-4A8F-8E47-4AB631733054}" type="pres">
      <dgm:prSet presAssocID="{7C0EE5C6-F475-4709-B244-70B37BA95110}" presName="node" presStyleLbl="node1" presStyleIdx="5" presStyleCnt="7">
        <dgm:presLayoutVars>
          <dgm:bulletEnabled val="1"/>
        </dgm:presLayoutVars>
      </dgm:prSet>
      <dgm:spPr/>
    </dgm:pt>
    <dgm:pt modelId="{EED18A34-FE7E-4161-9C52-D502F67F4AED}" type="pres">
      <dgm:prSet presAssocID="{158CA527-C2F6-4FA1-A6BC-2AAC5FAD0EE4}" presName="parTrans" presStyleLbl="bgSibTrans2D1" presStyleIdx="6" presStyleCnt="7"/>
      <dgm:spPr/>
    </dgm:pt>
    <dgm:pt modelId="{CB0645F1-44F7-4FD3-9802-3E2C6CF7C085}" type="pres">
      <dgm:prSet presAssocID="{C78208FC-B2FB-4018-8D05-4D167A443C89}" presName="node" presStyleLbl="node1" presStyleIdx="6" presStyleCnt="7">
        <dgm:presLayoutVars>
          <dgm:bulletEnabled val="1"/>
        </dgm:presLayoutVars>
      </dgm:prSet>
      <dgm:spPr/>
    </dgm:pt>
  </dgm:ptLst>
  <dgm:cxnLst>
    <dgm:cxn modelId="{39FFF900-C7A1-454F-926D-BCE9102238F2}" type="presOf" srcId="{C78208FC-B2FB-4018-8D05-4D167A443C89}" destId="{CB0645F1-44F7-4FD3-9802-3E2C6CF7C085}" srcOrd="0" destOrd="0" presId="urn:microsoft.com/office/officeart/2005/8/layout/radial4"/>
    <dgm:cxn modelId="{9E8B6D0C-0BBC-4799-B666-80C6B224BC30}" type="presOf" srcId="{77D6AB32-AF3B-4090-960A-979D1B99A5A7}" destId="{93444AAD-D5DA-4A13-A152-5CBCEDE8E812}" srcOrd="0" destOrd="0" presId="urn:microsoft.com/office/officeart/2005/8/layout/radial4"/>
    <dgm:cxn modelId="{CD44B012-7A5C-4890-93D0-A52E56FC57D2}" srcId="{63A0B40D-4972-4BFE-B5EA-187FA4011080}" destId="{DC54922D-2016-41F4-9EDE-8B1D85CC8280}" srcOrd="4" destOrd="0" parTransId="{96B83EE9-78A7-42B4-BF70-26FF14A049DF}" sibTransId="{FF63B36B-12DB-4D79-8655-A2FDEA2A7DA0}"/>
    <dgm:cxn modelId="{FFE99619-BD15-4F05-93CE-742AFF295203}" type="presOf" srcId="{0905061C-BA29-4587-97BA-D44DE5A37F82}" destId="{883365C4-EDAB-4919-8C49-A57914D57FD6}" srcOrd="0" destOrd="0" presId="urn:microsoft.com/office/officeart/2005/8/layout/radial4"/>
    <dgm:cxn modelId="{7A0F0C1A-A0E3-4DCC-891A-F0AB19CE2C26}" type="presOf" srcId="{60DA3949-08A2-4DAA-AF7D-AB79D4AFF507}" destId="{B8163BD0-436F-464E-B39F-089DCC49C76E}" srcOrd="0" destOrd="0" presId="urn:microsoft.com/office/officeart/2005/8/layout/radial4"/>
    <dgm:cxn modelId="{BA088C25-30E7-4E0B-B18C-D8A7CC5B4E66}" srcId="{63A0B40D-4972-4BFE-B5EA-187FA4011080}" destId="{77D6AB32-AF3B-4090-960A-979D1B99A5A7}" srcOrd="2" destOrd="0" parTransId="{7BD8628E-4F01-4F70-8E89-450E36EF88C4}" sibTransId="{D312A980-2C8B-4E9B-A65F-0ACC8146D652}"/>
    <dgm:cxn modelId="{0CB9182E-EE0E-4A6D-A193-4B609A131290}" type="presOf" srcId="{4A41B016-8B3F-415B-A42D-18D57C187F70}" destId="{31E72F86-5862-44B6-82BF-52DECDB96C40}" srcOrd="0" destOrd="0" presId="urn:microsoft.com/office/officeart/2005/8/layout/radial4"/>
    <dgm:cxn modelId="{9FAF4332-F6BE-4FA2-A331-984F508C82B4}" srcId="{63A0B40D-4972-4BFE-B5EA-187FA4011080}" destId="{60DA3949-08A2-4DAA-AF7D-AB79D4AFF507}" srcOrd="1" destOrd="0" parTransId="{E120AEFF-A9F7-41D1-BC31-9D87CE4E6131}" sibTransId="{FDB8232D-44D2-4FD2-BCA7-FD4BE4A1C94E}"/>
    <dgm:cxn modelId="{482C6942-D41A-4E45-991D-0404AE434042}" srcId="{63A0B40D-4972-4BFE-B5EA-187FA4011080}" destId="{C78208FC-B2FB-4018-8D05-4D167A443C89}" srcOrd="6" destOrd="0" parTransId="{158CA527-C2F6-4FA1-A6BC-2AAC5FAD0EE4}" sibTransId="{09B75496-FBA9-4CA4-A232-CF7B095CAB07}"/>
    <dgm:cxn modelId="{F11B936C-6000-4847-9B9F-6A396D0DC114}" type="presOf" srcId="{E120AEFF-A9F7-41D1-BC31-9D87CE4E6131}" destId="{1C53A4D0-4A8D-42F5-A9BF-BFC71D0A7D5C}" srcOrd="0" destOrd="0" presId="urn:microsoft.com/office/officeart/2005/8/layout/radial4"/>
    <dgm:cxn modelId="{BC275756-6EBC-43EA-91A0-AC285F065A2B}" type="presOf" srcId="{63A0B40D-4972-4BFE-B5EA-187FA4011080}" destId="{135144B5-8A85-4D74-A14F-A6BDB642F0A8}" srcOrd="0" destOrd="0" presId="urn:microsoft.com/office/officeart/2005/8/layout/radial4"/>
    <dgm:cxn modelId="{171FD67E-7E75-47A8-A356-D9D58561C89E}" srcId="{63A0B40D-4972-4BFE-B5EA-187FA4011080}" destId="{23731652-9176-4B29-88F7-5C1F4A4B2D5F}" srcOrd="0" destOrd="0" parTransId="{0905061C-BA29-4587-97BA-D44DE5A37F82}" sibTransId="{597C3B14-9D6F-497A-A20D-55AD08F13FC9}"/>
    <dgm:cxn modelId="{5616748A-2231-465B-AB57-5CD3082EC3EA}" srcId="{A9664FB5-13DD-4690-A9ED-C01A8C505CC3}" destId="{63A0B40D-4972-4BFE-B5EA-187FA4011080}" srcOrd="0" destOrd="0" parTransId="{04BE04EF-8E16-450B-9F9E-FC90C82D7F5A}" sibTransId="{2F92D58C-1ECA-4C1F-BFA4-BEF199F2112E}"/>
    <dgm:cxn modelId="{4AB70199-C13D-414A-BA95-92870FED0154}" type="presOf" srcId="{23731652-9176-4B29-88F7-5C1F4A4B2D5F}" destId="{8C73F886-3EB6-4362-A095-A0B2EB5B1731}" srcOrd="0" destOrd="0" presId="urn:microsoft.com/office/officeart/2005/8/layout/radial4"/>
    <dgm:cxn modelId="{36CF7F99-2045-4FB1-B643-D90B2469D6F3}" srcId="{63A0B40D-4972-4BFE-B5EA-187FA4011080}" destId="{7C0EE5C6-F475-4709-B244-70B37BA95110}" srcOrd="5" destOrd="0" parTransId="{83E7BA40-6010-4089-B32F-A09153CC2B5C}" sibTransId="{34F35A8F-9D22-4D15-AC6B-4230EBF85602}"/>
    <dgm:cxn modelId="{502D6DA5-4BC0-40BA-9411-A91828136E46}" type="presOf" srcId="{A9664FB5-13DD-4690-A9ED-C01A8C505CC3}" destId="{750D2539-BF2E-4506-AB49-5AD1E49359C7}" srcOrd="0" destOrd="0" presId="urn:microsoft.com/office/officeart/2005/8/layout/radial4"/>
    <dgm:cxn modelId="{6671DBA6-FE2D-4D24-B1CE-736A30E7CE8E}" type="presOf" srcId="{DC54922D-2016-41F4-9EDE-8B1D85CC8280}" destId="{1FA2FBFF-28D1-4330-9FCB-3F8772659A23}" srcOrd="0" destOrd="0" presId="urn:microsoft.com/office/officeart/2005/8/layout/radial4"/>
    <dgm:cxn modelId="{83412EAD-2C2C-4506-9F5C-87D8A7BBE369}" type="presOf" srcId="{0874D34F-2898-445E-BBAB-591C6B74C6F7}" destId="{667B33B3-2824-4227-A26A-20DE51D4F008}" srcOrd="0" destOrd="0" presId="urn:microsoft.com/office/officeart/2005/8/layout/radial4"/>
    <dgm:cxn modelId="{60BD5BE5-7363-4CB3-A6C6-77D5F5F83837}" type="presOf" srcId="{96B83EE9-78A7-42B4-BF70-26FF14A049DF}" destId="{4D928D55-AA0F-492B-A4A5-9FE205AFF02F}" srcOrd="0" destOrd="0" presId="urn:microsoft.com/office/officeart/2005/8/layout/radial4"/>
    <dgm:cxn modelId="{2258ADED-743E-459D-8301-94B2ABFB4329}" type="presOf" srcId="{83E7BA40-6010-4089-B32F-A09153CC2B5C}" destId="{B9C73989-18D0-4D1F-A811-87FEE753340A}" srcOrd="0" destOrd="0" presId="urn:microsoft.com/office/officeart/2005/8/layout/radial4"/>
    <dgm:cxn modelId="{690318F2-2593-4C70-9F3B-406B3CF094DC}" srcId="{63A0B40D-4972-4BFE-B5EA-187FA4011080}" destId="{4A41B016-8B3F-415B-A42D-18D57C187F70}" srcOrd="3" destOrd="0" parTransId="{0874D34F-2898-445E-BBAB-591C6B74C6F7}" sibTransId="{55AC3B6C-9293-4CDD-BB61-093C05EB63ED}"/>
    <dgm:cxn modelId="{4E1511F7-23F4-43F5-BF1C-8F0B84152E7F}" type="presOf" srcId="{7C0EE5C6-F475-4709-B244-70B37BA95110}" destId="{B7FB2158-1849-4A8F-8E47-4AB631733054}" srcOrd="0" destOrd="0" presId="urn:microsoft.com/office/officeart/2005/8/layout/radial4"/>
    <dgm:cxn modelId="{5E5157FD-5C0E-401E-A4D9-69DD8B96F5B6}" type="presOf" srcId="{7BD8628E-4F01-4F70-8E89-450E36EF88C4}" destId="{9AE77E85-812D-4149-AEA6-66E51BF0E481}" srcOrd="0" destOrd="0" presId="urn:microsoft.com/office/officeart/2005/8/layout/radial4"/>
    <dgm:cxn modelId="{527D93FF-0614-4781-9124-D6EFA9115FA4}" type="presOf" srcId="{158CA527-C2F6-4FA1-A6BC-2AAC5FAD0EE4}" destId="{EED18A34-FE7E-4161-9C52-D502F67F4AED}" srcOrd="0" destOrd="0" presId="urn:microsoft.com/office/officeart/2005/8/layout/radial4"/>
    <dgm:cxn modelId="{89B98423-4761-440D-AAFB-59E33A07BBA4}" type="presParOf" srcId="{750D2539-BF2E-4506-AB49-5AD1E49359C7}" destId="{135144B5-8A85-4D74-A14F-A6BDB642F0A8}" srcOrd="0" destOrd="0" presId="urn:microsoft.com/office/officeart/2005/8/layout/radial4"/>
    <dgm:cxn modelId="{1DA54129-5F9C-417F-97B6-C3F07E358F82}" type="presParOf" srcId="{750D2539-BF2E-4506-AB49-5AD1E49359C7}" destId="{883365C4-EDAB-4919-8C49-A57914D57FD6}" srcOrd="1" destOrd="0" presId="urn:microsoft.com/office/officeart/2005/8/layout/radial4"/>
    <dgm:cxn modelId="{74436B38-EA9A-454F-8A3B-FAFDC509823A}" type="presParOf" srcId="{750D2539-BF2E-4506-AB49-5AD1E49359C7}" destId="{8C73F886-3EB6-4362-A095-A0B2EB5B1731}" srcOrd="2" destOrd="0" presId="urn:microsoft.com/office/officeart/2005/8/layout/radial4"/>
    <dgm:cxn modelId="{C65416E1-5998-4690-B783-F87E3D838DDF}" type="presParOf" srcId="{750D2539-BF2E-4506-AB49-5AD1E49359C7}" destId="{1C53A4D0-4A8D-42F5-A9BF-BFC71D0A7D5C}" srcOrd="3" destOrd="0" presId="urn:microsoft.com/office/officeart/2005/8/layout/radial4"/>
    <dgm:cxn modelId="{D86C1F99-F9B1-44D1-991B-CBB7759BB429}" type="presParOf" srcId="{750D2539-BF2E-4506-AB49-5AD1E49359C7}" destId="{B8163BD0-436F-464E-B39F-089DCC49C76E}" srcOrd="4" destOrd="0" presId="urn:microsoft.com/office/officeart/2005/8/layout/radial4"/>
    <dgm:cxn modelId="{86537967-B101-4778-BFC9-BEF65827114B}" type="presParOf" srcId="{750D2539-BF2E-4506-AB49-5AD1E49359C7}" destId="{9AE77E85-812D-4149-AEA6-66E51BF0E481}" srcOrd="5" destOrd="0" presId="urn:microsoft.com/office/officeart/2005/8/layout/radial4"/>
    <dgm:cxn modelId="{0B2A5844-37C7-4E5A-AAB3-36CFCFCC40E5}" type="presParOf" srcId="{750D2539-BF2E-4506-AB49-5AD1E49359C7}" destId="{93444AAD-D5DA-4A13-A152-5CBCEDE8E812}" srcOrd="6" destOrd="0" presId="urn:microsoft.com/office/officeart/2005/8/layout/radial4"/>
    <dgm:cxn modelId="{E3699FE8-F3D0-4A10-A6A0-84503A4C3651}" type="presParOf" srcId="{750D2539-BF2E-4506-AB49-5AD1E49359C7}" destId="{667B33B3-2824-4227-A26A-20DE51D4F008}" srcOrd="7" destOrd="0" presId="urn:microsoft.com/office/officeart/2005/8/layout/radial4"/>
    <dgm:cxn modelId="{EA20676F-AA2D-4DCE-BD75-115991107135}" type="presParOf" srcId="{750D2539-BF2E-4506-AB49-5AD1E49359C7}" destId="{31E72F86-5862-44B6-82BF-52DECDB96C40}" srcOrd="8" destOrd="0" presId="urn:microsoft.com/office/officeart/2005/8/layout/radial4"/>
    <dgm:cxn modelId="{D0EECF1B-4913-4046-BC1A-EADEF24144C9}" type="presParOf" srcId="{750D2539-BF2E-4506-AB49-5AD1E49359C7}" destId="{4D928D55-AA0F-492B-A4A5-9FE205AFF02F}" srcOrd="9" destOrd="0" presId="urn:microsoft.com/office/officeart/2005/8/layout/radial4"/>
    <dgm:cxn modelId="{8CADEC51-B209-4588-8F2B-606689180726}" type="presParOf" srcId="{750D2539-BF2E-4506-AB49-5AD1E49359C7}" destId="{1FA2FBFF-28D1-4330-9FCB-3F8772659A23}" srcOrd="10" destOrd="0" presId="urn:microsoft.com/office/officeart/2005/8/layout/radial4"/>
    <dgm:cxn modelId="{22D0D291-7311-4511-B0EC-D240DFB81654}" type="presParOf" srcId="{750D2539-BF2E-4506-AB49-5AD1E49359C7}" destId="{B9C73989-18D0-4D1F-A811-87FEE753340A}" srcOrd="11" destOrd="0" presId="urn:microsoft.com/office/officeart/2005/8/layout/radial4"/>
    <dgm:cxn modelId="{E16E9253-1A7C-458C-9662-8695A875AF49}" type="presParOf" srcId="{750D2539-BF2E-4506-AB49-5AD1E49359C7}" destId="{B7FB2158-1849-4A8F-8E47-4AB631733054}" srcOrd="12" destOrd="0" presId="urn:microsoft.com/office/officeart/2005/8/layout/radial4"/>
    <dgm:cxn modelId="{23367C19-2091-4E81-B858-9B44C7B76581}" type="presParOf" srcId="{750D2539-BF2E-4506-AB49-5AD1E49359C7}" destId="{EED18A34-FE7E-4161-9C52-D502F67F4AED}" srcOrd="13" destOrd="0" presId="urn:microsoft.com/office/officeart/2005/8/layout/radial4"/>
    <dgm:cxn modelId="{6B9D4623-278F-457E-8205-853886337C4A}" type="presParOf" srcId="{750D2539-BF2E-4506-AB49-5AD1E49359C7}" destId="{CB0645F1-44F7-4FD3-9802-3E2C6CF7C085}" srcOrd="14"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5144B5-8A85-4D74-A14F-A6BDB642F0A8}">
      <dsp:nvSpPr>
        <dsp:cNvPr id="0" name=""/>
        <dsp:cNvSpPr/>
      </dsp:nvSpPr>
      <dsp:spPr>
        <a:xfrm>
          <a:off x="2119093" y="1682152"/>
          <a:ext cx="1161852" cy="11618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POLITICA DE SEGURIDAD TURÍSTICA</a:t>
          </a:r>
        </a:p>
      </dsp:txBody>
      <dsp:txXfrm>
        <a:off x="2289242" y="1852301"/>
        <a:ext cx="821554" cy="821554"/>
      </dsp:txXfrm>
    </dsp:sp>
    <dsp:sp modelId="{883365C4-EDAB-4919-8C49-A57914D57FD6}">
      <dsp:nvSpPr>
        <dsp:cNvPr id="0" name=""/>
        <dsp:cNvSpPr/>
      </dsp:nvSpPr>
      <dsp:spPr>
        <a:xfrm rot="10800000">
          <a:off x="763054" y="2097515"/>
          <a:ext cx="1281457" cy="33112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73F886-3EB6-4362-A095-A0B2EB5B1731}">
      <dsp:nvSpPr>
        <dsp:cNvPr id="0" name=""/>
        <dsp:cNvSpPr/>
      </dsp:nvSpPr>
      <dsp:spPr>
        <a:xfrm>
          <a:off x="356406" y="1937760"/>
          <a:ext cx="813296" cy="650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 sz="900" kern="1200"/>
            <a:t>SEGURIDAD SOCIAL</a:t>
          </a:r>
        </a:p>
      </dsp:txBody>
      <dsp:txXfrm>
        <a:off x="375463" y="1956817"/>
        <a:ext cx="775182" cy="612523"/>
      </dsp:txXfrm>
    </dsp:sp>
    <dsp:sp modelId="{1C53A4D0-4A8D-42F5-A9BF-BFC71D0A7D5C}">
      <dsp:nvSpPr>
        <dsp:cNvPr id="0" name=""/>
        <dsp:cNvSpPr/>
      </dsp:nvSpPr>
      <dsp:spPr>
        <a:xfrm rot="12600000">
          <a:off x="936717" y="1449396"/>
          <a:ext cx="1281457" cy="33112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163BD0-436F-464E-B39F-089DCC49C76E}">
      <dsp:nvSpPr>
        <dsp:cNvPr id="0" name=""/>
        <dsp:cNvSpPr/>
      </dsp:nvSpPr>
      <dsp:spPr>
        <a:xfrm>
          <a:off x="615910" y="969277"/>
          <a:ext cx="813296" cy="650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 sz="900" kern="1200"/>
            <a:t>SEGURIDAD INFORMATIVA Y DE FACILITACIÓN</a:t>
          </a:r>
        </a:p>
      </dsp:txBody>
      <dsp:txXfrm>
        <a:off x="634967" y="988334"/>
        <a:ext cx="775182" cy="612523"/>
      </dsp:txXfrm>
    </dsp:sp>
    <dsp:sp modelId="{9AE77E85-812D-4149-AEA6-66E51BF0E481}">
      <dsp:nvSpPr>
        <dsp:cNvPr id="0" name=""/>
        <dsp:cNvSpPr/>
      </dsp:nvSpPr>
      <dsp:spPr>
        <a:xfrm rot="14400000">
          <a:off x="1411172" y="974940"/>
          <a:ext cx="1281457" cy="33112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444AAD-D5DA-4A13-A152-5CBCEDE8E812}">
      <dsp:nvSpPr>
        <dsp:cNvPr id="0" name=""/>
        <dsp:cNvSpPr/>
      </dsp:nvSpPr>
      <dsp:spPr>
        <a:xfrm>
          <a:off x="1324888" y="260298"/>
          <a:ext cx="813296" cy="650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 sz="900" kern="1200"/>
            <a:t>SEGURIDAD PÚBLICA</a:t>
          </a:r>
        </a:p>
      </dsp:txBody>
      <dsp:txXfrm>
        <a:off x="1343945" y="279355"/>
        <a:ext cx="775182" cy="612523"/>
      </dsp:txXfrm>
    </dsp:sp>
    <dsp:sp modelId="{667B33B3-2824-4227-A26A-20DE51D4F008}">
      <dsp:nvSpPr>
        <dsp:cNvPr id="0" name=""/>
        <dsp:cNvSpPr/>
      </dsp:nvSpPr>
      <dsp:spPr>
        <a:xfrm rot="16200000">
          <a:off x="2059291" y="801278"/>
          <a:ext cx="1281457" cy="33112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E72F86-5862-44B6-82BF-52DECDB96C40}">
      <dsp:nvSpPr>
        <dsp:cNvPr id="0" name=""/>
        <dsp:cNvSpPr/>
      </dsp:nvSpPr>
      <dsp:spPr>
        <a:xfrm>
          <a:off x="2293371" y="794"/>
          <a:ext cx="813296" cy="650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 sz="900" kern="1200"/>
            <a:t>SEGURIDAD AMBIENTAL</a:t>
          </a:r>
        </a:p>
      </dsp:txBody>
      <dsp:txXfrm>
        <a:off x="2312428" y="19851"/>
        <a:ext cx="775182" cy="612523"/>
      </dsp:txXfrm>
    </dsp:sp>
    <dsp:sp modelId="{4D928D55-AA0F-492B-A4A5-9FE205AFF02F}">
      <dsp:nvSpPr>
        <dsp:cNvPr id="0" name=""/>
        <dsp:cNvSpPr/>
      </dsp:nvSpPr>
      <dsp:spPr>
        <a:xfrm rot="18000000">
          <a:off x="2707409" y="974940"/>
          <a:ext cx="1281457" cy="33112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A2FBFF-28D1-4330-9FCB-3F8772659A23}">
      <dsp:nvSpPr>
        <dsp:cNvPr id="0" name=""/>
        <dsp:cNvSpPr/>
      </dsp:nvSpPr>
      <dsp:spPr>
        <a:xfrm>
          <a:off x="3261854" y="260298"/>
          <a:ext cx="813296" cy="650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 sz="900" kern="1200"/>
            <a:t>SEGURIDAD EN LA RECREACIÓN Y EN EVENTOS</a:t>
          </a:r>
        </a:p>
      </dsp:txBody>
      <dsp:txXfrm>
        <a:off x="3280911" y="279355"/>
        <a:ext cx="775182" cy="612523"/>
      </dsp:txXfrm>
    </dsp:sp>
    <dsp:sp modelId="{B9C73989-18D0-4D1F-A811-87FEE753340A}">
      <dsp:nvSpPr>
        <dsp:cNvPr id="0" name=""/>
        <dsp:cNvSpPr/>
      </dsp:nvSpPr>
      <dsp:spPr>
        <a:xfrm rot="19800000">
          <a:off x="3181865" y="1449396"/>
          <a:ext cx="1281457" cy="33112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FB2158-1849-4A8F-8E47-4AB631733054}">
      <dsp:nvSpPr>
        <dsp:cNvPr id="0" name=""/>
        <dsp:cNvSpPr/>
      </dsp:nvSpPr>
      <dsp:spPr>
        <a:xfrm>
          <a:off x="3970833" y="969277"/>
          <a:ext cx="813296" cy="650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 sz="900" kern="1200"/>
            <a:t>SEGURIDAD VIAL Y DE TRANSPORTE</a:t>
          </a:r>
        </a:p>
      </dsp:txBody>
      <dsp:txXfrm>
        <a:off x="3989890" y="988334"/>
        <a:ext cx="775182" cy="612523"/>
      </dsp:txXfrm>
    </dsp:sp>
    <dsp:sp modelId="{EED18A34-FE7E-4161-9C52-D502F67F4AED}">
      <dsp:nvSpPr>
        <dsp:cNvPr id="0" name=""/>
        <dsp:cNvSpPr/>
      </dsp:nvSpPr>
      <dsp:spPr>
        <a:xfrm>
          <a:off x="3355528" y="2097515"/>
          <a:ext cx="1281457" cy="33112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0645F1-44F7-4FD3-9802-3E2C6CF7C085}">
      <dsp:nvSpPr>
        <dsp:cNvPr id="0" name=""/>
        <dsp:cNvSpPr/>
      </dsp:nvSpPr>
      <dsp:spPr>
        <a:xfrm>
          <a:off x="4230337" y="1937760"/>
          <a:ext cx="813296" cy="650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s-ES" sz="900" kern="1200"/>
            <a:t>SEGURIDAD DE LOS SERVICIOS TURÍSTICOS</a:t>
          </a:r>
        </a:p>
      </dsp:txBody>
      <dsp:txXfrm>
        <a:off x="4249394" y="1956817"/>
        <a:ext cx="775182" cy="6125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0.24845</cdr:x>
      <cdr:y>0.00969</cdr:y>
    </cdr:from>
    <cdr:to>
      <cdr:x>0.75528</cdr:x>
      <cdr:y>0.17918</cdr:y>
    </cdr:to>
    <cdr:sp macro="" textlink="">
      <cdr:nvSpPr>
        <cdr:cNvPr id="2" name="CuadroTexto 1">
          <a:extLst xmlns:a="http://schemas.openxmlformats.org/drawingml/2006/main">
            <a:ext uri="{FF2B5EF4-FFF2-40B4-BE49-F238E27FC236}">
              <a16:creationId xmlns:a16="http://schemas.microsoft.com/office/drawing/2014/main" id="{40B2C604-154E-01C1-9C56-6A3BDE1391E7}"/>
            </a:ext>
          </a:extLst>
        </cdr:cNvPr>
        <cdr:cNvSpPr txBox="1"/>
      </cdr:nvSpPr>
      <cdr:spPr>
        <a:xfrm xmlns:a="http://schemas.openxmlformats.org/drawingml/2006/main">
          <a:off x="1587501" y="31750"/>
          <a:ext cx="3238500" cy="555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ES" sz="1200" b="1"/>
            <a:t>Arribo</a:t>
          </a:r>
          <a:r>
            <a:rPr lang="es-ES" sz="1200" b="1" baseline="0"/>
            <a:t> de visitantes extranjeros entre el 2015 y el 2019</a:t>
          </a:r>
        </a:p>
        <a:p xmlns:a="http://schemas.openxmlformats.org/drawingml/2006/main">
          <a:pPr algn="ctr"/>
          <a:r>
            <a:rPr lang="es-ES" sz="1200" b="1" baseline="0"/>
            <a:t>(mill.)</a:t>
          </a:r>
          <a:endParaRPr lang="es-ES" sz="12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7C5BFE-2457-480D-8C4B-815D5B0468B9}">
  <we:reference id="wa104382081" version="1.55.1.0" store="es-ES" storeType="OMEX"/>
  <we:alternateReferences>
    <we:reference id="wa104382081" version="1.55.1.0" store="es-E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Dar</b:Tag>
    <b:SourceType>Book</b:SourceType>
    <b:Guid>{32C435E2-0C23-4C36-B156-7B9490AB74CF}</b:Guid>
    <b:Title>Evolución del Turismo en Perú 2010 - 2020, la influencia del COVID-19 y recomendaciones pos-COVID-19. Nota sectorial de turismo.</b:Title>
    <b:Author>
      <b:Author>
        <b:NameList>
          <b:Person>
            <b:Last>Daries</b:Last>
            <b:First>J.</b:First>
          </b:Person>
          <b:Person>
            <b:Last>Jaime</b:Last>
            <b:First>V,</b:First>
          </b:Person>
          <b:Person>
            <b:Last>Bucaram</b:Last>
            <b:First>S.</b:First>
          </b:Person>
        </b:NameList>
      </b:Author>
    </b:Author>
    <b:Year>2021</b:Year>
    <b:Publisher>BID</b:Publisher>
    <b:RefOrder>18</b:RefOrder>
  </b:Source>
  <b:Source>
    <b:Tag>Soc23</b:Tag>
    <b:SourceType>Book</b:SourceType>
    <b:Guid>{36E3F7E1-C8E1-40CF-BEC7-1103462BBEEF}</b:Guid>
    <b:Author>
      <b:Author>
        <b:Corporate>Sociedad Nacional de Industrias</b:Corporate>
      </b:Author>
    </b:Author>
    <b:Title>Perú Regiones al 2031</b:Title>
    <b:Year>2023</b:Year>
    <b:City>Lima</b:City>
    <b:Publisher>Sociedad Nacional de Industrias</b:Publisher>
    <b:RefOrder>23</b:RefOrder>
  </b:Source>
  <b:Source>
    <b:Tag>Qui21</b:Tag>
    <b:SourceType>Book</b:SourceType>
    <b:Guid>{898C1435-6884-4FD1-A8BA-2AECF723BA6B}</b:Guid>
    <b:Author>
      <b:Author>
        <b:Corporate>Quicaña, E.</b:Corporate>
      </b:Author>
    </b:Author>
    <b:Title>Hacia una recuperación sostenible del empleo en el sector del turismo en América Latina y el Caribe. Nota Técnica.</b:Title>
    <b:Year>2021</b:Year>
    <b:Publisher>Organización Internacional del Trabajo - OIT</b:Publisher>
    <b:RefOrder>25</b:RefOrder>
  </b:Source>
  <b:Source>
    <b:Tag>Min</b:Tag>
    <b:SourceType>Book</b:SourceType>
    <b:Guid>{B122996B-9895-4B58-A719-62E5773518DA}</b:Guid>
    <b:Author>
      <b:Author>
        <b:Corporate>Ministerio de Comercio Exterior y Turismo</b:Corporate>
      </b:Author>
    </b:Author>
    <b:Title>Cuenta Satélite de Turismo. Principales Indicadores Económicos 2015 - 2020</b:Title>
    <b:City>Lima</b:City>
    <b:Publisher>Gobierno del Perú</b:Publisher>
    <b:Year>2019</b:Year>
    <b:RefOrder>26</b:RefOrder>
  </b:Source>
  <b:Source>
    <b:Tag>Hos24</b:Tag>
    <b:SourceType>InternetSite</b:SourceType>
    <b:Guid>{FDAA14F0-679B-44DB-9A5F-A726A36546D3}</b:Guid>
    <b:Title>Hosteltur</b:Title>
    <b:Year>2024</b:Year>
    <b:Author>
      <b:Author>
        <b:Corporate>Hosteltur</b:Corporate>
      </b:Author>
    </b:Author>
    <b:Month>Mayo</b:Month>
    <b:Day>1</b:Day>
    <b:URL>https://www.hosteltur.com/lat/127100_informalidad-agencias-viajes-peru-es-60.html</b:URL>
    <b:RefOrder>27</b:RefOrder>
  </b:Source>
  <b:Source>
    <b:Tag>Yad18</b:Tag>
    <b:SourceType>JournalArticle</b:SourceType>
    <b:Guid>{B253118B-0F98-46BD-9976-7B9936C57AC6}</b:Guid>
    <b:Title>La competitividad turística: su medición y factores determinantes</b:Title>
    <b:Year>2018</b:Year>
    <b:Author>
      <b:Author>
        <b:NameList>
          <b:Person>
            <b:Last>Pérez</b:Last>
            <b:First>Yadelín</b:First>
          </b:Person>
          <b:Person>
            <b:Last>Sarmiento</b:Last>
            <b:First>Yunier</b:First>
          </b:Person>
          <b:Person>
            <b:Last>Paneca</b:Last>
            <b:First>Yurianela</b:First>
          </b:Person>
        </b:NameList>
      </b:Author>
    </b:Author>
    <b:JournalName>Revista Caribeña de Ciencias Sociales</b:JournalName>
    <b:RefOrder>14</b:RefOrder>
  </b:Source>
  <b:Source>
    <b:Tag>Por91</b:Tag>
    <b:SourceType>Book</b:SourceType>
    <b:Guid>{DF293E4B-0308-4AF6-9F28-C344A26A5EA4}</b:Guid>
    <b:Title>La Ventaja Competitiva de las Naciones</b:Title>
    <b:Year>1991</b:Year>
    <b:Author>
      <b:Author>
        <b:NameList>
          <b:Person>
            <b:Last>Porter</b:Last>
            <b:First>Michel</b:First>
            <b:Middle>E.</b:Middle>
          </b:Person>
        </b:NameList>
      </b:Author>
    </b:Author>
    <b:Publisher>Plaza y Janes</b:Publisher>
    <b:RefOrder>13</b:RefOrder>
  </b:Source>
  <b:Source>
    <b:Tag>Per</b:Tag>
    <b:SourceType>JournalArticle</b:SourceType>
    <b:Guid>{EDBA3D95-3A24-43C0-9E69-C84417203ECB}</b:Guid>
    <b:Title>La Competitividad de los destinos turísticos</b:Title>
    <b:Author>
      <b:Author>
        <b:NameList>
          <b:Person>
            <b:Last>Perles</b:Last>
            <b:First>J.F.</b:First>
          </b:Person>
        </b:NameList>
      </b:Author>
    </b:Author>
    <b:JournalName>Revista Economía Industrial</b:JournalName>
    <b:Year>2022</b:Year>
    <b:Pages>17-24</b:Pages>
    <b:RefOrder>11</b:RefOrder>
  </b:Source>
  <b:Source>
    <b:Tag>Soc19</b:Tag>
    <b:SourceType>Book</b:SourceType>
    <b:Guid>{3CB16665-A3CE-402D-BE57-3C682BCE504F}</b:Guid>
    <b:Author>
      <b:Author>
        <b:Corporate>Sociedad de Comercio Exterior del Perú - COMEXPERU</b:Corporate>
      </b:Author>
    </b:Author>
    <b:Title>Desempeño y competitividad turística en el Perú - Resultados 2019</b:Title>
    <b:Year>2019</b:Year>
    <b:City>Lima</b:City>
    <b:Publisher>COMEXPERU</b:Publisher>
    <b:RefOrder>17</b:RefOrder>
  </b:Source>
  <b:Source>
    <b:Tag>Soc22</b:Tag>
    <b:SourceType>Book</b:SourceType>
    <b:Guid>{490D4F29-1A43-4DE3-A8D8-11903137F564}</b:Guid>
    <b:Author>
      <b:Author>
        <b:Corporate>Sociedad de Comercio Exterior del Perú - COMEXPERÚ</b:Corporate>
      </b:Author>
    </b:Author>
    <b:Title>Desempeño y competitividad turística en el Perú - Resultados en 2022</b:Title>
    <b:Year>2022</b:Year>
    <b:City>Lima</b:City>
    <b:Publisher>COMEXPERÚ</b:Publisher>
    <b:RefOrder>28</b:RefOrder>
  </b:Source>
  <b:Source>
    <b:Tag>Cro99</b:Tag>
    <b:SourceType>JournalArticle</b:SourceType>
    <b:Guid>{C2CE864B-E27D-410B-8753-97BFBEAA24B3}</b:Guid>
    <b:Author>
      <b:Author>
        <b:NameList>
          <b:Person>
            <b:Last>Crouch</b:Last>
            <b:First>G.</b:First>
          </b:Person>
          <b:Person>
            <b:Last>Ritchie</b:Last>
            <b:First>J.R.</b:First>
          </b:Person>
        </b:NameList>
      </b:Author>
    </b:Author>
    <b:Title>Tourism, competitiveness, and social prosperity.</b:Title>
    <b:Year>1999</b:Year>
    <b:JournalName>Journal of Travel Research</b:JournalName>
    <b:Pages>137-152</b:Pages>
    <b:Volume>44</b:Volume>
    <b:RefOrder>16</b:RefOrder>
  </b:Source>
  <b:Source>
    <b:Tag>Fon12</b:Tag>
    <b:SourceType>JournalArticle</b:SourceType>
    <b:Guid>{F8B05549-D192-46CE-9E01-35A769B7A916}</b:Guid>
    <b:Author>
      <b:Author>
        <b:NameList>
          <b:Person>
            <b:Last>Font</b:Last>
            <b:First>T.</b:First>
          </b:Person>
          <b:Person>
            <b:Last>Ortega</b:Last>
            <b:First>P.</b:First>
          </b:Person>
        </b:NameList>
      </b:Author>
    </b:Author>
    <b:Title>Seguridad nacional, seguridad multidimensional, seguridad humana</b:Title>
    <b:JournalName>Papeles de relaciones ecosociales y cambio global</b:JournalName>
    <b:Year>2012</b:Year>
    <b:Pages>161-172</b:Pages>
    <b:RefOrder>1</b:RefOrder>
  </b:Source>
  <b:Source>
    <b:Tag>Bla15</b:Tag>
    <b:SourceType>JournalArticle</b:SourceType>
    <b:Guid>{77768058-8994-4A7C-9953-027FEB13C48A}</b:Guid>
    <b:Author>
      <b:Author>
        <b:NameList>
          <b:Person>
            <b:Last>Blackwell</b:Last>
            <b:First>A.</b:First>
          </b:Person>
        </b:NameList>
      </b:Author>
    </b:Author>
    <b:Title>Seguridad Multidimensional: Enfrentando nuevas amenazas</b:Title>
    <b:JournalName>Seguridad, ciencia y defensa</b:JournalName>
    <b:Year>2015</b:Year>
    <b:Pages>153-158</b:Pages>
    <b:RefOrder>2</b:RefOrder>
  </b:Source>
  <b:Source>
    <b:Tag>Var22</b:Tag>
    <b:SourceType>JournalArticle</b:SourceType>
    <b:Guid>{443CC490-610B-4C19-88DF-E64053458AD1}</b:Guid>
    <b:Author>
      <b:Author>
        <b:NameList>
          <b:Person>
            <b:Last>Vargas</b:Last>
            <b:First>C.</b:First>
            <b:Middle>E.</b:Middle>
          </b:Person>
        </b:NameList>
      </b:Author>
    </b:Author>
    <b:Title>Seguridad Multidimensional: Entre la ambigüedad conceptual y la necesidad pragmática</b:Title>
    <b:JournalName>Revista de Relaciones Internacionales, Estrategia y Seguridad</b:JournalName>
    <b:Year>2022</b:Year>
    <b:Pages>103-117</b:Pages>
    <b:RefOrder>4</b:RefOrder>
  </b:Source>
  <b:Source>
    <b:Tag>Ace22</b:Tag>
    <b:SourceType>JournalArticle</b:SourceType>
    <b:Guid>{F32C761B-30A1-4D82-96B9-1ACCA55E7A7C}</b:Guid>
    <b:Author>
      <b:Author>
        <b:NameList>
          <b:Person>
            <b:Last>Acevedo-Navas</b:Last>
            <b:First>C.</b:First>
          </b:Person>
          <b:Person>
            <b:Last>Ballesteros-Betancur</b:Last>
            <b:First>V.</b:First>
          </b:Person>
          <b:Person>
            <b:Last>Corcione</b:Last>
            <b:First>M.A.</b:First>
          </b:Person>
        </b:NameList>
      </b:Author>
    </b:Author>
    <b:Title>Seguridad humana y seguridad multidimensional su enfoque y utilidad para proteger los derechos humanos</b:Title>
    <b:JournalName>Revista Científica José María Córdova</b:JournalName>
    <b:Year>2022</b:Year>
    <b:Pages>1105-1127</b:Pages>
    <b:RefOrder>8</b:RefOrder>
  </b:Source>
  <b:Source>
    <b:Tag>Uni16</b:Tag>
    <b:SourceType>Book</b:SourceType>
    <b:Guid>{C926D8CA-0B72-408B-89FC-90BDB94E26F1}</b:Guid>
    <b:Author>
      <b:Author>
        <b:Corporate>United Nations</b:Corporate>
      </b:Author>
    </b:Author>
    <b:Title>Human Security Handbook. In United Nations Trust Fund for Human Security (Human Secu, Issue January).</b:Title>
    <b:Year>2016</b:Year>
    <b:Publisher>United Nations. https://doi.org/10.4324/9781315289854</b:Publisher>
    <b:RefOrder>9</b:RefOrder>
  </b:Source>
  <b:Source>
    <b:Tag>Gar11</b:Tag>
    <b:SourceType>JournalArticle</b:SourceType>
    <b:Guid>{B8DE60E6-9349-47AE-8F10-9570A7927842}</b:Guid>
    <b:Title>Las dificultades para conceptualizar la seguridad y la defensa: reflexiones desde la teoría. </b:Title>
    <b:Year>2011</b:Year>
    <b:Author>
      <b:Author>
        <b:NameList>
          <b:Person>
            <b:Last>García Cobarrubias</b:Last>
            <b:First>J.</b:First>
          </b:Person>
        </b:NameList>
      </b:Author>
    </b:Author>
    <b:JournalName>Revista Política y Estratégia</b:JournalName>
    <b:Pages>99-117</b:Pages>
    <b:RefOrder>10</b:RefOrder>
  </b:Source>
  <b:Source>
    <b:Tag>Grü12</b:Tag>
    <b:SourceType>JournalArticle</b:SourceType>
    <b:Guid>{DAF0B544-2ABD-494B-AF31-5BE02106873A}</b:Guid>
    <b:Author>
      <b:Author>
        <b:NameList>
          <b:Person>
            <b:Last>Grünewald</b:Last>
            <b:First>L.A.</b:First>
          </b:Person>
        </b:NameList>
      </b:Author>
    </b:Author>
    <b:Title>La seguridad en el marco de la competitividad de los destinos turísticos. </b:Title>
    <b:JournalName>Revista de Ciencias Sociales</b:JournalName>
    <b:Year>2012</b:Year>
    <b:Pages>141-158</b:Pages>
    <b:RefOrder>7</b:RefOrder>
  </b:Source>
  <b:Source>
    <b:Tag>Org13</b:Tag>
    <b:SourceType>ConferenceProceedings</b:SourceType>
    <b:Guid>{CF5614C6-1AC9-4383-80F1-7DD2DD76CE20}</b:Guid>
    <b:Author>
      <b:Author>
        <b:Corporate>Organización de los Estados Americanos - OEA</b:Corporate>
      </b:Author>
    </b:Author>
    <b:Title>II Conferencia de Seguridad Turística de las Américas</b:Title>
    <b:Year>2013</b:Year>
    <b:Pages>40</b:Pages>
    <b:Publisher>OEA</b:Publisher>
    <b:City>Panamá</b:City>
    <b:ConferenceName>II Conferencia de Seguridad Turística de las Américas</b:ConferenceName>
    <b:RefOrder>6</b:RefOrder>
  </b:Source>
  <b:Source>
    <b:Tag>Org</b:Tag>
    <b:SourceType>ConferenceProceedings</b:SourceType>
    <b:Guid>{DE6FB946-161D-4BFA-A69E-8C9D2F6F4B97}</b:Guid>
    <b:Author>
      <b:Author>
        <b:Corporate>Organización Mundial del Turismo (OMT); Agence du développement de l'Union Africaine (AUDA-NEPAD); Union Économique Monétaire Ouest Africaine (UEMOA)</b:Corporate>
      </b:Author>
    </b:Author>
    <b:Title>Livre Blanc de la Securité et Sûreté dans le secteur du Tourisme I</b:Title>
    <b:Pages>100</b:Pages>
    <b:Publisher>OMT</b:Publisher>
    <b:Volume>I</b:Volume>
    <b:URL>https://doi.org/10.18111/9789284423118</b:URL>
    <b:Year>2020</b:Year>
    <b:City>Madrid</b:City>
    <b:RefOrder>12</b:RefOrder>
  </b:Source>
  <b:Source>
    <b:Tag>MIN19</b:Tag>
    <b:SourceType>Report</b:SourceType>
    <b:Guid>{76BA66D3-8FC7-4B40-AC49-B057F3B8CA4F}</b:Guid>
    <b:Author>
      <b:Author>
        <b:Corporate>MINCETUR</b:Corporate>
      </b:Author>
    </b:Author>
    <b:Title>Nivel de Satisfacción del Turista Nacional y Extranjero que visita Lambayeque</b:Title>
    <b:Year>2019</b:Year>
    <b:City>Lima</b:City>
    <b:Publisher>MINCETUR</b:Publisher>
    <b:RefOrder>20</b:RefOrder>
  </b:Source>
  <b:Source>
    <b:Tag>MIN</b:Tag>
    <b:SourceType>Report</b:SourceType>
    <b:Guid>{C7E8C739-43E6-431D-9E35-AD2F6919EE9F}</b:Guid>
    <b:Author>
      <b:Author>
        <b:Corporate>MINCETUR</b:Corporate>
      </b:Author>
    </b:Author>
    <b:Title>Nivel de Satisfacción del Turista Nacional y Extranjero que visita Lambayeque</b:Title>
    <b:Year>2017</b:Year>
    <b:Publisher>MINCETUR</b:Publisher>
    <b:City>Lima</b:City>
    <b:RefOrder>19</b:RefOrder>
  </b:Source>
  <b:Source>
    <b:Tag>Min18</b:Tag>
    <b:SourceType>Report</b:SourceType>
    <b:Guid>{6058C7D8-DDFB-4411-B678-1B2A0DB7AF41}</b:Guid>
    <b:Author>
      <b:Author>
        <b:Corporate>Ministerio de Desarrollo e Inclusión Social - MIDIS; Programa Mundial de Alimentos - WFP</b:Corporate>
      </b:Author>
    </b:Author>
    <b:Title>Mapa de Vulnerabilidad a la inseguridad alimentaria ante la recurrencia de fenómenos de origen natural.</b:Title>
    <b:Year>2019</b:Year>
    <b:Publisher>MIDIS</b:Publisher>
    <b:City>Lima</b:City>
    <b:RefOrder>22</b:RefOrder>
  </b:Source>
  <b:Source>
    <b:Tag>Ins22</b:Tag>
    <b:SourceType>Report</b:SourceType>
    <b:Guid>{211ECF12-7058-450F-94E5-43694268E527}</b:Guid>
    <b:Author>
      <b:Author>
        <b:Corporate>Instituto Nacional de Estadística e Informática - INEI</b:Corporate>
      </b:Author>
    </b:Author>
    <b:Title>Producción y Empleo informal en el Perú. Cuenta Satélite de la Economía Informal. 2007 - 2021</b:Title>
    <b:Year>2022</b:Year>
    <b:Publisher>INEI</b:Publisher>
    <b:City>Lima</b:City>
    <b:RefOrder>24</b:RefOrder>
  </b:Source>
  <b:Source>
    <b:Tag>Jim18</b:Tag>
    <b:SourceType>JournalArticle</b:SourceType>
    <b:Guid>{18D94427-00D3-4BA6-BF2C-96D0A077EB50}</b:Guid>
    <b:Title>La Seguridad como componente esencial del concepto de calidad turística</b:Title>
    <b:Year>2018</b:Year>
    <b:Author>
      <b:Author>
        <b:NameList>
          <b:Person>
            <b:Last>Jiménez García</b:Last>
            <b:First>Juan</b:First>
          </b:Person>
          <b:Person>
            <b:Last>Pérez Delgado</b:Last>
            <b:First>M.A.</b:First>
          </b:Person>
        </b:NameList>
      </b:Author>
    </b:Author>
    <b:JournalName>Estudios y Perspectivas en Turismo</b:JournalName>
    <b:Pages>s.n.</b:Pages>
    <b:RefOrder>5</b:RefOrder>
  </b:Source>
  <b:Source>
    <b:Tag>Her20</b:Tag>
    <b:SourceType>JournalArticle</b:SourceType>
    <b:Guid>{A2810BA0-1C9D-474F-8B5D-ADD77A054194}</b:Guid>
    <b:Author>
      <b:Author>
        <b:NameList>
          <b:Person>
            <b:Last>Hernández</b:Last>
            <b:First>Nuria</b:First>
          </b:Person>
        </b:NameList>
      </b:Author>
    </b:Author>
    <b:Title>La seguridad humana: del concepto al enfoque. Causas de la reducción de su uso como concepto.</b:Title>
    <b:JournalName>Relaciones Internacionales</b:JournalName>
    <b:Year>2020</b:Year>
    <b:Pages>33-48</b:Pages>
    <b:RefOrder>3</b:RefOrder>
  </b:Source>
  <b:Source>
    <b:Tag>Ort18</b:Tag>
    <b:SourceType>JournalArticle</b:SourceType>
    <b:Guid>{6AEDD1C6-4C0C-42D9-9DBB-2DC740EBAD5C}</b:Guid>
    <b:Author>
      <b:Author>
        <b:NameList>
          <b:Person>
            <b:Last>Ortíz</b:Last>
            <b:First>Fabiola</b:First>
          </b:Person>
          <b:Person>
            <b:Last>Robles</b:Last>
            <b:First>Víctor</b:First>
          </b:Person>
          <b:Person>
            <b:Last>Guzmán</b:Last>
            <b:First>Andrés</b:First>
          </b:Person>
        </b:NameList>
      </b:Author>
    </b:Author>
    <b:Title>Análisis teórico de los modelos de competitividad de destinos turísticos.  Un acercamiento para la competitividad de los destinos turísticos mexicanos.</b:Title>
    <b:JournalName>International Journal of Scientific Management and Tourism</b:JournalName>
    <b:Year>2018</b:Year>
    <b:Pages>195-221</b:Pages>
    <b:RefOrder>15</b:RefOrder>
  </b:Source>
  <b:Source>
    <b:Tag>Taj</b:Tag>
    <b:SourceType>ArticleInAPeriodical</b:SourceType>
    <b:Guid>{C83E4BD6-7396-4E25-B30B-3E2775CEF208}</b:Guid>
    <b:Title>Incertidumbre y violencia afectan a la industria turística del Perú</b:Title>
    <b:PeriodicalTitle>The New York Times</b:PeriodicalTitle>
    <b:Author>
      <b:Author>
        <b:NameList>
          <b:Person>
            <b:Last>Taj</b:Last>
            <b:First>M.</b:First>
          </b:Person>
          <b:Person>
            <b:Last>Glatsky</b:Last>
            <b:First>G.</b:First>
          </b:Person>
          <b:Person>
            <b:Last>Turkewitz</b:Last>
            <b:First>J.</b:First>
          </b:Person>
        </b:NameList>
      </b:Author>
    </b:Author>
    <b:URL>https://www.nytimes.com/es/2022/12/20/espanol/peru-protestas-cusco-turistas.html</b:URL>
    <b:RefOrder>21</b:RefOrder>
  </b:Source>
</b:Sources>
</file>

<file path=customXml/itemProps1.xml><?xml version="1.0" encoding="utf-8"?>
<ds:datastoreItem xmlns:ds="http://schemas.openxmlformats.org/officeDocument/2006/customXml" ds:itemID="{F98E61FD-7FA1-4B13-9F3D-0899A9FC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5611</Words>
  <Characters>30863</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 Cecilia Frech Hurtado</dc:creator>
  <cp:keywords/>
  <dc:description/>
  <cp:lastModifiedBy>Manuel Rivera Mateos</cp:lastModifiedBy>
  <cp:revision>10</cp:revision>
  <cp:lastPrinted>2024-05-11T19:06:00Z</cp:lastPrinted>
  <dcterms:created xsi:type="dcterms:W3CDTF">2024-12-30T22:40:00Z</dcterms:created>
  <dcterms:modified xsi:type="dcterms:W3CDTF">2024-12-30T23:26:00Z</dcterms:modified>
</cp:coreProperties>
</file>