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E009B" w14:textId="77777777" w:rsidR="00EF32B0" w:rsidRPr="00EF32B0" w:rsidRDefault="00EF32B0" w:rsidP="00EF32B0">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EF32B0">
        <w:rPr>
          <w:rFonts w:ascii="Times New Roman" w:eastAsia="Calibri" w:hAnsi="Times New Roman" w:cs="Times New Roman"/>
          <w:sz w:val="20"/>
          <w:szCs w:val="20"/>
          <w:lang w:val="en-GB"/>
        </w:rPr>
        <w:t>REVISTA INTERNACIONAL DE TURISMO, EMPRESA Y TERRITORIO</w:t>
      </w:r>
    </w:p>
    <w:p w14:paraId="5EB9FBB8" w14:textId="538230A5" w:rsidR="00EF32B0" w:rsidRPr="00EF32B0" w:rsidRDefault="00EF32B0" w:rsidP="00EF32B0">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EF32B0">
        <w:rPr>
          <w:rFonts w:ascii="Times New Roman" w:eastAsia="Calibri" w:hAnsi="Times New Roman" w:cs="Times New Roman"/>
          <w:sz w:val="20"/>
          <w:szCs w:val="20"/>
          <w:lang w:val="en-GB"/>
        </w:rPr>
        <w:t>Nº 18, julio-diciembre de 2025, pp. 1</w:t>
      </w:r>
      <w:r>
        <w:rPr>
          <w:rFonts w:ascii="Times New Roman" w:eastAsia="Calibri" w:hAnsi="Times New Roman" w:cs="Times New Roman"/>
          <w:sz w:val="20"/>
          <w:szCs w:val="20"/>
          <w:lang w:val="en-GB"/>
        </w:rPr>
        <w:t>21</w:t>
      </w:r>
      <w:r w:rsidRPr="00EF32B0">
        <w:rPr>
          <w:rFonts w:ascii="Times New Roman" w:eastAsia="Calibri" w:hAnsi="Times New Roman" w:cs="Times New Roman"/>
          <w:sz w:val="20"/>
          <w:szCs w:val="20"/>
          <w:lang w:val="en-GB"/>
        </w:rPr>
        <w:t>-1</w:t>
      </w:r>
      <w:r>
        <w:rPr>
          <w:rFonts w:ascii="Times New Roman" w:eastAsia="Calibri" w:hAnsi="Times New Roman" w:cs="Times New Roman"/>
          <w:sz w:val="20"/>
          <w:szCs w:val="20"/>
          <w:lang w:val="en-GB"/>
        </w:rPr>
        <w:t>53</w:t>
      </w:r>
      <w:r w:rsidRPr="00EF32B0">
        <w:rPr>
          <w:rFonts w:ascii="Times New Roman" w:eastAsia="Calibri" w:hAnsi="Times New Roman" w:cs="Times New Roman"/>
          <w:sz w:val="20"/>
          <w:szCs w:val="20"/>
          <w:lang w:val="en-GB"/>
        </w:rPr>
        <w:t>.</w:t>
      </w:r>
    </w:p>
    <w:p w14:paraId="1FFAB1A4" w14:textId="77777777" w:rsidR="00EF32B0" w:rsidRPr="00EF32B0" w:rsidRDefault="00EF32B0" w:rsidP="00EF32B0">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EF32B0">
        <w:rPr>
          <w:rFonts w:ascii="Times New Roman" w:eastAsia="Calibri" w:hAnsi="Times New Roman" w:cs="Times New Roman"/>
          <w:sz w:val="20"/>
          <w:szCs w:val="20"/>
          <w:lang w:val="en-GB"/>
        </w:rPr>
        <w:t>ISSN:</w:t>
      </w:r>
      <w:r w:rsidRPr="00EF32B0">
        <w:rPr>
          <w:rFonts w:ascii="Calibri" w:eastAsia="Malgun Gothic" w:hAnsi="Calibri" w:cs="Arial"/>
          <w:lang w:eastAsia="ko-KR"/>
        </w:rPr>
        <w:t xml:space="preserve"> </w:t>
      </w:r>
      <w:r w:rsidRPr="00EF32B0">
        <w:rPr>
          <w:rFonts w:ascii="Times New Roman" w:eastAsia="Calibri" w:hAnsi="Times New Roman" w:cs="Times New Roman"/>
          <w:sz w:val="20"/>
          <w:szCs w:val="20"/>
          <w:lang w:val="en-GB"/>
        </w:rPr>
        <w:t>2660-9320</w:t>
      </w:r>
    </w:p>
    <w:p w14:paraId="6F7D945A" w14:textId="6C94AD44" w:rsidR="00EF32B0" w:rsidRPr="00EF32B0" w:rsidRDefault="00EF32B0" w:rsidP="00EF32B0">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EF32B0">
        <w:rPr>
          <w:rFonts w:ascii="Times New Roman" w:eastAsia="Calibri" w:hAnsi="Times New Roman" w:cs="Times New Roman"/>
          <w:sz w:val="20"/>
          <w:szCs w:val="20"/>
          <w:lang w:val="en-GB"/>
        </w:rPr>
        <w:t>DOI:10.21071/riturem.v9i2.18</w:t>
      </w:r>
      <w:r w:rsidR="00177542">
        <w:rPr>
          <w:rFonts w:ascii="Times New Roman" w:eastAsia="Calibri" w:hAnsi="Times New Roman" w:cs="Times New Roman"/>
          <w:sz w:val="20"/>
          <w:szCs w:val="20"/>
          <w:lang w:val="en-GB"/>
        </w:rPr>
        <w:t>106</w:t>
      </w:r>
    </w:p>
    <w:p w14:paraId="3FB12E3E" w14:textId="5698280F" w:rsidR="00EF32B0" w:rsidRDefault="00EF32B0" w:rsidP="00EF32B0">
      <w:pPr>
        <w:tabs>
          <w:tab w:val="center" w:pos="4252"/>
          <w:tab w:val="right" w:pos="8504"/>
        </w:tabs>
        <w:spacing w:after="0" w:line="240" w:lineRule="auto"/>
        <w:jc w:val="center"/>
        <w:rPr>
          <w:rFonts w:ascii="Calibri" w:eastAsia="Calibri" w:hAnsi="Calibri" w:cs="Times New Roman"/>
        </w:rPr>
      </w:pPr>
      <w:r>
        <w:rPr>
          <w:rFonts w:ascii="Calibri" w:eastAsia="Calibri" w:hAnsi="Calibri" w:cs="Times New Roman"/>
          <w:noProof/>
        </w:rPr>
        <w:drawing>
          <wp:inline distT="0" distB="0" distL="0" distR="0" wp14:anchorId="370A5262" wp14:editId="01167BCD">
            <wp:extent cx="1615440" cy="499745"/>
            <wp:effectExtent l="0" t="0" r="3810" b="0"/>
            <wp:docPr id="1470121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5B968AFF" w14:textId="77777777" w:rsidR="00EF32B0" w:rsidRPr="00EF32B0" w:rsidRDefault="00EF32B0" w:rsidP="00EF32B0">
      <w:pPr>
        <w:tabs>
          <w:tab w:val="center" w:pos="4252"/>
          <w:tab w:val="right" w:pos="8504"/>
        </w:tabs>
        <w:spacing w:after="0" w:line="240" w:lineRule="auto"/>
        <w:jc w:val="center"/>
        <w:rPr>
          <w:rFonts w:ascii="Calibri" w:eastAsia="Calibri" w:hAnsi="Calibri" w:cs="Times New Roman"/>
        </w:rPr>
      </w:pPr>
    </w:p>
    <w:p w14:paraId="5C0D106D" w14:textId="5158C04A" w:rsidR="00EF32B0" w:rsidRPr="00EF32B0" w:rsidRDefault="00EF32B0" w:rsidP="00EF32B0">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val="en-GB" w:eastAsia="zh-CN" w:bidi="hi-IN"/>
        </w:rPr>
      </w:pPr>
      <w:r w:rsidRPr="00EF32B0">
        <w:rPr>
          <w:rFonts w:ascii="Times New Roman" w:eastAsia="Calibri" w:hAnsi="Times New Roman" w:cs="Times New Roman"/>
          <w:b/>
          <w:bCs/>
          <w:sz w:val="18"/>
          <w:szCs w:val="18"/>
          <w:lang w:val="en-GB"/>
        </w:rPr>
        <w:t>Cita bibliográfica:</w:t>
      </w:r>
      <w:r w:rsidRPr="00EF32B0">
        <w:rPr>
          <w:rFonts w:ascii="Times New Roman" w:eastAsia="Calibri" w:hAnsi="Times New Roman" w:cs="Times New Roman"/>
          <w:sz w:val="18"/>
          <w:szCs w:val="18"/>
          <w:lang w:val="en-GB"/>
        </w:rPr>
        <w:t xml:space="preserve"> </w:t>
      </w:r>
      <w:r w:rsidRPr="00EF32B0">
        <w:rPr>
          <w:rFonts w:ascii="Times New Roman" w:eastAsia="Calibri" w:hAnsi="Times New Roman" w:cs="Times New Roman"/>
          <w:sz w:val="18"/>
          <w:szCs w:val="18"/>
          <w:lang w:val="pt-PT"/>
        </w:rPr>
        <w:t>Gordziejczuk</w:t>
      </w:r>
      <w:r w:rsidRPr="00EF32B0">
        <w:rPr>
          <w:rFonts w:ascii="Times New Roman" w:eastAsia="Times New Roman" w:hAnsi="Times New Roman" w:cs="Times New Roman"/>
          <w:bCs/>
          <w:color w:val="000000"/>
          <w:sz w:val="18"/>
          <w:szCs w:val="18"/>
          <w:lang w:val="pt-PT" w:eastAsia="es-AR"/>
        </w:rPr>
        <w:t>, M.A. (2025).</w:t>
      </w:r>
      <w:r w:rsidRPr="00EF32B0">
        <w:rPr>
          <w:rFonts w:ascii="Times New Roman" w:eastAsia="Times New Roman" w:hAnsi="Times New Roman" w:cs="Times New Roman"/>
          <w:b/>
          <w:color w:val="000000"/>
          <w:sz w:val="28"/>
          <w:szCs w:val="28"/>
          <w:lang w:val="pt-PT" w:eastAsia="es-AR"/>
        </w:rPr>
        <w:t xml:space="preserve"> </w:t>
      </w:r>
      <w:r w:rsidRPr="00EF32B0">
        <w:rPr>
          <w:rFonts w:ascii="Times New Roman" w:eastAsia="Times New Roman" w:hAnsi="Times New Roman" w:cs="Times New Roman"/>
          <w:bCs/>
          <w:color w:val="000000"/>
          <w:sz w:val="18"/>
          <w:szCs w:val="18"/>
          <w:lang w:eastAsia="es-AR"/>
        </w:rPr>
        <w:t>El alojamiento como dimensión de la turistificación: análisis aplicado al sudeste de la Provincia de Buenos Aires, Argentina (1991-2024)</w:t>
      </w:r>
      <w:r w:rsidRPr="00EF32B0">
        <w:rPr>
          <w:rFonts w:ascii="Times New Roman" w:eastAsia="Calibri" w:hAnsi="Times New Roman" w:cs="Times New Roman"/>
          <w:bCs/>
          <w:sz w:val="18"/>
          <w:szCs w:val="18"/>
        </w:rPr>
        <w:t xml:space="preserve">. </w:t>
      </w:r>
      <w:r w:rsidRPr="00EF32B0">
        <w:rPr>
          <w:rFonts w:ascii="Times New Roman" w:eastAsia="NSimSun" w:hAnsi="Times New Roman" w:cs="Times New Roman"/>
          <w:i/>
          <w:iCs/>
          <w:kern w:val="3"/>
          <w:sz w:val="18"/>
          <w:szCs w:val="18"/>
          <w:lang w:val="en-GB" w:eastAsia="zh-CN" w:bidi="hi-IN"/>
        </w:rPr>
        <w:t>R</w:t>
      </w:r>
      <w:r w:rsidRPr="00EF32B0">
        <w:rPr>
          <w:rFonts w:ascii="Times New Roman" w:eastAsia="NSimSun" w:hAnsi="Times New Roman" w:cs="Lucida Sans"/>
          <w:bCs/>
          <w:i/>
          <w:iCs/>
          <w:kern w:val="3"/>
          <w:sz w:val="18"/>
          <w:szCs w:val="18"/>
          <w:lang w:val="en-GB" w:eastAsia="zh-CN" w:bidi="hi-IN"/>
        </w:rPr>
        <w:t>e</w:t>
      </w:r>
      <w:r w:rsidRPr="00EF32B0">
        <w:rPr>
          <w:rFonts w:ascii="Times New Roman" w:eastAsia="Calibri" w:hAnsi="Times New Roman" w:cs="Times New Roman"/>
          <w:i/>
          <w:iCs/>
          <w:sz w:val="18"/>
          <w:szCs w:val="18"/>
          <w:lang w:val="en-GB"/>
        </w:rPr>
        <w:t>vista Internacional de Turismo, Empresa y Territorio,</w:t>
      </w:r>
      <w:r w:rsidRPr="00EF32B0">
        <w:rPr>
          <w:rFonts w:ascii="Times New Roman" w:eastAsia="Calibri" w:hAnsi="Times New Roman" w:cs="Times New Roman"/>
          <w:sz w:val="18"/>
          <w:szCs w:val="18"/>
          <w:lang w:val="en-GB"/>
        </w:rPr>
        <w:t xml:space="preserve"> 10 (2), pp. 1</w:t>
      </w:r>
      <w:r>
        <w:rPr>
          <w:rFonts w:ascii="Times New Roman" w:eastAsia="Calibri" w:hAnsi="Times New Roman" w:cs="Times New Roman"/>
          <w:sz w:val="18"/>
          <w:szCs w:val="18"/>
          <w:lang w:val="en-GB"/>
        </w:rPr>
        <w:t>21</w:t>
      </w:r>
      <w:r w:rsidRPr="00EF32B0">
        <w:rPr>
          <w:rFonts w:ascii="Times New Roman" w:eastAsia="Calibri" w:hAnsi="Times New Roman" w:cs="Times New Roman"/>
          <w:sz w:val="18"/>
          <w:szCs w:val="18"/>
          <w:lang w:val="en-GB"/>
        </w:rPr>
        <w:t>-1</w:t>
      </w:r>
      <w:r>
        <w:rPr>
          <w:rFonts w:ascii="Times New Roman" w:eastAsia="Calibri" w:hAnsi="Times New Roman" w:cs="Times New Roman"/>
          <w:sz w:val="18"/>
          <w:szCs w:val="18"/>
          <w:lang w:val="en-GB"/>
        </w:rPr>
        <w:t>53</w:t>
      </w:r>
      <w:r w:rsidRPr="00EF32B0">
        <w:rPr>
          <w:rFonts w:ascii="Times New Roman" w:eastAsia="Calibri" w:hAnsi="Times New Roman" w:cs="Times New Roman"/>
          <w:sz w:val="18"/>
          <w:szCs w:val="18"/>
          <w:lang w:val="en-GB"/>
        </w:rPr>
        <w:t>.</w:t>
      </w:r>
      <w:r>
        <w:rPr>
          <w:rFonts w:ascii="Times New Roman" w:eastAsia="Calibri" w:hAnsi="Times New Roman" w:cs="Times New Roman"/>
          <w:sz w:val="18"/>
          <w:szCs w:val="18"/>
          <w:lang w:val="en-GB"/>
        </w:rPr>
        <w:t xml:space="preserve"> </w:t>
      </w:r>
      <w:hyperlink r:id="rId9" w:history="1">
        <w:r w:rsidR="00177542" w:rsidRPr="0004651E">
          <w:rPr>
            <w:rStyle w:val="Hipervnculo"/>
            <w:rFonts w:ascii="Times New Roman" w:eastAsia="Calibri" w:hAnsi="Times New Roman" w:cs="Times New Roman"/>
            <w:sz w:val="18"/>
            <w:szCs w:val="18"/>
            <w:lang w:val="en-GB"/>
          </w:rPr>
          <w:t>https://doi.org/10.21071/riturem.v9i2.18106</w:t>
        </w:r>
      </w:hyperlink>
      <w:r w:rsidRPr="00EF32B0">
        <w:rPr>
          <w:rFonts w:ascii="Calibri" w:eastAsia="Calibri" w:hAnsi="Calibri" w:cs="Times New Roman"/>
        </w:rPr>
        <w:tab/>
      </w:r>
      <w:r w:rsidRPr="00EF32B0">
        <w:rPr>
          <w:rFonts w:ascii="Times New Roman" w:eastAsia="Calibri" w:hAnsi="Times New Roman" w:cs="Times New Roman"/>
          <w:color w:val="0000FF"/>
          <w:sz w:val="18"/>
          <w:szCs w:val="18"/>
          <w:u w:val="single"/>
          <w:lang w:val="en-GB"/>
        </w:rPr>
        <w:t xml:space="preserve"> </w:t>
      </w:r>
      <w:r w:rsidRPr="00EF32B0">
        <w:rPr>
          <w:rFonts w:ascii="Times New Roman" w:eastAsia="Calibri" w:hAnsi="Times New Roman" w:cs="Times New Roman"/>
          <w:sz w:val="18"/>
          <w:szCs w:val="18"/>
          <w:lang w:val="en-GB"/>
        </w:rPr>
        <w:t xml:space="preserve">  </w:t>
      </w:r>
      <w:r w:rsidRPr="00EF32B0">
        <w:rPr>
          <w:rFonts w:ascii="Times New Roman" w:eastAsia="Calibri" w:hAnsi="Times New Roman" w:cs="Times New Roman"/>
          <w:color w:val="0000FF"/>
          <w:sz w:val="18"/>
          <w:szCs w:val="18"/>
          <w:u w:val="single"/>
          <w:lang w:val="en-GB"/>
        </w:rPr>
        <w:t xml:space="preserve"> </w:t>
      </w:r>
      <w:r w:rsidRPr="00EF32B0">
        <w:rPr>
          <w:rFonts w:ascii="Times New Roman" w:eastAsia="Calibri" w:hAnsi="Times New Roman" w:cs="Times New Roman"/>
          <w:color w:val="0563C1"/>
          <w:sz w:val="18"/>
          <w:szCs w:val="18"/>
          <w:u w:val="single"/>
          <w:lang w:val="en-GB"/>
        </w:rPr>
        <w:t xml:space="preserve"> </w:t>
      </w:r>
      <w:r w:rsidRPr="00EF32B0">
        <w:rPr>
          <w:rFonts w:ascii="Times New Roman" w:eastAsia="Calibri" w:hAnsi="Times New Roman" w:cs="Times New Roman"/>
          <w:sz w:val="18"/>
          <w:szCs w:val="18"/>
          <w:lang w:val="en-GB"/>
        </w:rPr>
        <w:t xml:space="preserve">  </w:t>
      </w:r>
    </w:p>
    <w:p w14:paraId="3DF23B94" w14:textId="5E3B5F7E" w:rsidR="00026DAC" w:rsidRPr="00F90F49" w:rsidRDefault="001725B4" w:rsidP="00860F18">
      <w:pPr>
        <w:pStyle w:val="1Ttuloespaol"/>
        <w:rPr>
          <w:sz w:val="28"/>
          <w:szCs w:val="28"/>
        </w:rPr>
      </w:pPr>
      <w:bookmarkStart w:id="0" w:name="_Hlk216133824"/>
      <w:r w:rsidRPr="00F90F49">
        <w:rPr>
          <w:sz w:val="28"/>
          <w:szCs w:val="28"/>
        </w:rPr>
        <w:t>El alojamiento como dimensión de la turistificación: análisis</w:t>
      </w:r>
      <w:r w:rsidR="009B0520" w:rsidRPr="00F90F49">
        <w:rPr>
          <w:sz w:val="28"/>
          <w:szCs w:val="28"/>
        </w:rPr>
        <w:t xml:space="preserve"> </w:t>
      </w:r>
      <w:r w:rsidRPr="00F90F49">
        <w:rPr>
          <w:sz w:val="28"/>
          <w:szCs w:val="28"/>
        </w:rPr>
        <w:t xml:space="preserve">aplicado al sudeste de la </w:t>
      </w:r>
      <w:r w:rsidR="009B0520" w:rsidRPr="00F90F49">
        <w:rPr>
          <w:sz w:val="28"/>
          <w:szCs w:val="28"/>
        </w:rPr>
        <w:t>P</w:t>
      </w:r>
      <w:r w:rsidRPr="00F90F49">
        <w:rPr>
          <w:sz w:val="28"/>
          <w:szCs w:val="28"/>
        </w:rPr>
        <w:t xml:space="preserve">rovincia de </w:t>
      </w:r>
      <w:r w:rsidR="009B0520" w:rsidRPr="00F90F49">
        <w:rPr>
          <w:sz w:val="28"/>
          <w:szCs w:val="28"/>
        </w:rPr>
        <w:t>B</w:t>
      </w:r>
      <w:r w:rsidRPr="00F90F49">
        <w:rPr>
          <w:sz w:val="28"/>
          <w:szCs w:val="28"/>
        </w:rPr>
        <w:t xml:space="preserve">uenos </w:t>
      </w:r>
      <w:r w:rsidR="009B0520" w:rsidRPr="00F90F49">
        <w:rPr>
          <w:sz w:val="28"/>
          <w:szCs w:val="28"/>
        </w:rPr>
        <w:t>A</w:t>
      </w:r>
      <w:r w:rsidRPr="00F90F49">
        <w:rPr>
          <w:sz w:val="28"/>
          <w:szCs w:val="28"/>
        </w:rPr>
        <w:t>ires</w:t>
      </w:r>
      <w:r w:rsidR="009B0520" w:rsidRPr="00F90F49">
        <w:rPr>
          <w:sz w:val="28"/>
          <w:szCs w:val="28"/>
        </w:rPr>
        <w:t>, Argentina</w:t>
      </w:r>
      <w:r w:rsidRPr="00F90F49">
        <w:rPr>
          <w:sz w:val="28"/>
          <w:szCs w:val="28"/>
        </w:rPr>
        <w:t xml:space="preserve"> (1991-2024)</w:t>
      </w:r>
    </w:p>
    <w:bookmarkEnd w:id="0"/>
    <w:p w14:paraId="7DE9F7F3" w14:textId="77777777" w:rsidR="009B0520" w:rsidRPr="00F90F49" w:rsidRDefault="009B0520" w:rsidP="00860F18">
      <w:pPr>
        <w:pStyle w:val="2Ttuloingls"/>
        <w:rPr>
          <w:sz w:val="28"/>
          <w:szCs w:val="28"/>
        </w:rPr>
      </w:pPr>
      <w:r w:rsidRPr="00F90F49">
        <w:rPr>
          <w:sz w:val="28"/>
          <w:szCs w:val="28"/>
        </w:rPr>
        <w:t xml:space="preserve">Accommodation as a dimension of touristification: </w:t>
      </w:r>
    </w:p>
    <w:p w14:paraId="10E46839" w14:textId="351190BA" w:rsidR="00026DAC" w:rsidRPr="00F90F49" w:rsidRDefault="009B0520" w:rsidP="00860F18">
      <w:pPr>
        <w:pStyle w:val="2Ttuloingls"/>
        <w:rPr>
          <w:sz w:val="28"/>
          <w:szCs w:val="28"/>
        </w:rPr>
      </w:pPr>
      <w:r w:rsidRPr="00F90F49">
        <w:rPr>
          <w:sz w:val="28"/>
          <w:szCs w:val="28"/>
        </w:rPr>
        <w:t>analysis applied to the southeast of the Province of Buenos Aires, Argentina (1991-2024)</w:t>
      </w:r>
    </w:p>
    <w:p w14:paraId="257F02D0" w14:textId="77777777" w:rsidR="00026DAC" w:rsidRPr="00F90F49" w:rsidRDefault="00026DAC" w:rsidP="002E47F3">
      <w:pPr>
        <w:pStyle w:val="5TextocomnIIGG"/>
        <w:spacing w:after="120"/>
        <w:rPr>
          <w:sz w:val="28"/>
          <w:szCs w:val="28"/>
        </w:rPr>
      </w:pPr>
    </w:p>
    <w:p w14:paraId="149BB092" w14:textId="47CBFC07" w:rsidR="00026DAC" w:rsidRPr="00086C30" w:rsidRDefault="00F551CE" w:rsidP="00D43EBF">
      <w:pPr>
        <w:pStyle w:val="3AutoradatosIIGG"/>
        <w:rPr>
          <w:b/>
          <w:bCs/>
        </w:rPr>
      </w:pPr>
      <w:r>
        <w:rPr>
          <w:b/>
          <w:bCs/>
        </w:rPr>
        <w:t xml:space="preserve">Matías Adrián </w:t>
      </w:r>
      <w:bookmarkStart w:id="1" w:name="_Hlk216133735"/>
      <w:r>
        <w:rPr>
          <w:b/>
          <w:bCs/>
        </w:rPr>
        <w:t>Gordziejczuk</w:t>
      </w:r>
      <w:bookmarkEnd w:id="1"/>
      <w:r w:rsidR="00AD0C90" w:rsidRPr="00086C30">
        <w:rPr>
          <w:rStyle w:val="Refdenotaalpie"/>
          <w:b/>
          <w:bCs/>
        </w:rPr>
        <w:footnoteReference w:id="1"/>
      </w:r>
    </w:p>
    <w:p w14:paraId="06CFF966" w14:textId="6F62D712" w:rsidR="00026DAC" w:rsidRPr="00026DAC" w:rsidRDefault="00026DAC" w:rsidP="00D43EBF">
      <w:pPr>
        <w:pStyle w:val="3AutoradatosIIGG"/>
      </w:pPr>
    </w:p>
    <w:p w14:paraId="739F6876" w14:textId="77777777" w:rsidR="00026DAC" w:rsidRPr="00D43EBF" w:rsidRDefault="00026DAC" w:rsidP="00D43EBF">
      <w:pPr>
        <w:pStyle w:val="5TextocomnIIGG"/>
      </w:pPr>
    </w:p>
    <w:p w14:paraId="45776FBA" w14:textId="77777777" w:rsidR="00026DAC" w:rsidRPr="00DB598B" w:rsidRDefault="00026DAC" w:rsidP="002E47F3">
      <w:pPr>
        <w:pStyle w:val="4TtulosepgrafesIIGG"/>
        <w:spacing w:after="120"/>
        <w:rPr>
          <w:sz w:val="22"/>
          <w:szCs w:val="22"/>
        </w:rPr>
      </w:pPr>
      <w:r w:rsidRPr="00DB598B">
        <w:rPr>
          <w:sz w:val="22"/>
          <w:szCs w:val="22"/>
        </w:rPr>
        <w:t>Resumen</w:t>
      </w:r>
    </w:p>
    <w:p w14:paraId="12060BF7" w14:textId="66FCD17F" w:rsidR="003444CA" w:rsidRPr="00984A9C" w:rsidRDefault="00A24838" w:rsidP="002E47F3">
      <w:pPr>
        <w:pStyle w:val="5TextocomnIIGG"/>
        <w:spacing w:after="120"/>
        <w:rPr>
          <w:sz w:val="22"/>
          <w:szCs w:val="22"/>
        </w:rPr>
      </w:pPr>
      <w:r>
        <w:rPr>
          <w:sz w:val="22"/>
          <w:szCs w:val="22"/>
        </w:rPr>
        <w:t xml:space="preserve">El propósito de este estudio es </w:t>
      </w:r>
      <w:r w:rsidRPr="00A24838">
        <w:rPr>
          <w:sz w:val="22"/>
          <w:szCs w:val="22"/>
        </w:rPr>
        <w:t>analizar la distribución y evolución espacial del alojamiento en el sudeste de la Provincia de Buenos Aires</w:t>
      </w:r>
      <w:r>
        <w:rPr>
          <w:sz w:val="22"/>
          <w:szCs w:val="22"/>
        </w:rPr>
        <w:t xml:space="preserve">. </w:t>
      </w:r>
      <w:r w:rsidR="00F557A4">
        <w:rPr>
          <w:sz w:val="22"/>
          <w:szCs w:val="22"/>
        </w:rPr>
        <w:t>Dado que el</w:t>
      </w:r>
      <w:r>
        <w:rPr>
          <w:sz w:val="22"/>
          <w:szCs w:val="22"/>
        </w:rPr>
        <w:t xml:space="preserve"> abordaje </w:t>
      </w:r>
      <w:r w:rsidR="00F557A4">
        <w:rPr>
          <w:sz w:val="22"/>
          <w:szCs w:val="22"/>
        </w:rPr>
        <w:t xml:space="preserve">de la turistificación privilegia la escala local, el estudio de caso y el trabajo con </w:t>
      </w:r>
      <w:r w:rsidR="00F557A4" w:rsidRPr="00F557A4">
        <w:rPr>
          <w:sz w:val="22"/>
          <w:szCs w:val="22"/>
        </w:rPr>
        <w:t>unidades espaciales intraurbanas</w:t>
      </w:r>
      <w:r w:rsidR="00F557A4">
        <w:rPr>
          <w:sz w:val="22"/>
          <w:szCs w:val="22"/>
        </w:rPr>
        <w:t xml:space="preserve">, </w:t>
      </w:r>
      <w:r w:rsidR="00CA728C">
        <w:rPr>
          <w:sz w:val="22"/>
          <w:szCs w:val="22"/>
        </w:rPr>
        <w:t>se</w:t>
      </w:r>
      <w:r w:rsidR="001C4727">
        <w:rPr>
          <w:sz w:val="22"/>
          <w:szCs w:val="22"/>
        </w:rPr>
        <w:t xml:space="preserve"> propone la aplicación de análisis espacial cuantitativo sobre</w:t>
      </w:r>
      <w:r w:rsidR="00CA728C">
        <w:rPr>
          <w:sz w:val="22"/>
          <w:szCs w:val="22"/>
        </w:rPr>
        <w:t xml:space="preserve"> un marco geográfico regional</w:t>
      </w:r>
      <w:r w:rsidR="001C4727">
        <w:rPr>
          <w:sz w:val="22"/>
          <w:szCs w:val="22"/>
        </w:rPr>
        <w:t xml:space="preserve">, tomando al alojamiento como dimensión del turismo. </w:t>
      </w:r>
      <w:r w:rsidR="00CC3648">
        <w:rPr>
          <w:sz w:val="22"/>
          <w:szCs w:val="22"/>
        </w:rPr>
        <w:t>A partir de la utilización de cinco fuentes estadísticas</w:t>
      </w:r>
      <w:r w:rsidR="00984A9C">
        <w:rPr>
          <w:sz w:val="22"/>
          <w:szCs w:val="22"/>
        </w:rPr>
        <w:t xml:space="preserve"> </w:t>
      </w:r>
      <w:r w:rsidR="00CC3648">
        <w:rPr>
          <w:sz w:val="22"/>
          <w:szCs w:val="22"/>
        </w:rPr>
        <w:t>de cobertura nacional,</w:t>
      </w:r>
      <w:r w:rsidR="001C4727">
        <w:rPr>
          <w:sz w:val="22"/>
          <w:szCs w:val="22"/>
        </w:rPr>
        <w:t xml:space="preserve"> se</w:t>
      </w:r>
      <w:r w:rsidR="00CC3648">
        <w:rPr>
          <w:sz w:val="22"/>
          <w:szCs w:val="22"/>
        </w:rPr>
        <w:t xml:space="preserve"> representan y examinan a nivel cartográfico</w:t>
      </w:r>
      <w:r w:rsidR="001C4727">
        <w:rPr>
          <w:sz w:val="22"/>
          <w:szCs w:val="22"/>
        </w:rPr>
        <w:t xml:space="preserve"> indicadores </w:t>
      </w:r>
      <w:r w:rsidR="00CC3648">
        <w:rPr>
          <w:sz w:val="22"/>
          <w:szCs w:val="22"/>
        </w:rPr>
        <w:t xml:space="preserve">como </w:t>
      </w:r>
      <w:r w:rsidR="00CC3648" w:rsidRPr="00CC3648">
        <w:rPr>
          <w:sz w:val="22"/>
          <w:szCs w:val="22"/>
        </w:rPr>
        <w:t>tasas de crecimiento anual intercensal</w:t>
      </w:r>
      <w:r w:rsidR="00CC3648">
        <w:rPr>
          <w:sz w:val="22"/>
          <w:szCs w:val="22"/>
        </w:rPr>
        <w:t xml:space="preserve">, variaciones porcentuales y promedios de viviendas de potencial uso turístico y establecimientos hoteleros y parahoteleros. </w:t>
      </w:r>
      <w:r w:rsidR="000D1713">
        <w:rPr>
          <w:sz w:val="22"/>
          <w:szCs w:val="22"/>
        </w:rPr>
        <w:t xml:space="preserve">Se </w:t>
      </w:r>
      <w:r w:rsidR="000D1713" w:rsidRPr="000D1713">
        <w:rPr>
          <w:sz w:val="22"/>
          <w:szCs w:val="22"/>
        </w:rPr>
        <w:t>revela una región</w:t>
      </w:r>
      <w:r w:rsidR="002C7FC7">
        <w:rPr>
          <w:sz w:val="22"/>
          <w:szCs w:val="22"/>
        </w:rPr>
        <w:t xml:space="preserve"> con</w:t>
      </w:r>
      <w:r w:rsidR="000D1713" w:rsidRPr="000D1713">
        <w:rPr>
          <w:sz w:val="22"/>
          <w:szCs w:val="22"/>
        </w:rPr>
        <w:t xml:space="preserve"> heterogeneidad interna</w:t>
      </w:r>
      <w:r w:rsidR="000D1713">
        <w:rPr>
          <w:sz w:val="22"/>
          <w:szCs w:val="22"/>
        </w:rPr>
        <w:t>, con fuentes</w:t>
      </w:r>
      <w:r w:rsidR="000D1713" w:rsidRPr="000D1713">
        <w:rPr>
          <w:sz w:val="22"/>
          <w:szCs w:val="22"/>
        </w:rPr>
        <w:t xml:space="preserve"> </w:t>
      </w:r>
      <w:r w:rsidR="00ED25D9">
        <w:rPr>
          <w:sz w:val="22"/>
          <w:szCs w:val="22"/>
        </w:rPr>
        <w:t xml:space="preserve">que evidencian desde la preeminencia de la ciudad de Mar del Plata en cuanto a cantidad y diversidad de alojamientos hasta la </w:t>
      </w:r>
      <w:r w:rsidR="00BE7E25">
        <w:rPr>
          <w:sz w:val="22"/>
          <w:szCs w:val="22"/>
        </w:rPr>
        <w:t xml:space="preserve">adquisición de </w:t>
      </w:r>
      <w:r w:rsidR="00ED25D9">
        <w:rPr>
          <w:sz w:val="22"/>
          <w:szCs w:val="22"/>
        </w:rPr>
        <w:t xml:space="preserve">mayor participación relativa de otros </w:t>
      </w:r>
      <w:r w:rsidR="00BE7E25">
        <w:rPr>
          <w:sz w:val="22"/>
          <w:szCs w:val="22"/>
        </w:rPr>
        <w:t xml:space="preserve">destinos, incluyendo un caso de </w:t>
      </w:r>
      <w:r w:rsidR="00ED25D9">
        <w:rPr>
          <w:sz w:val="22"/>
          <w:szCs w:val="22"/>
        </w:rPr>
        <w:t>redistribución espacial integral</w:t>
      </w:r>
      <w:r w:rsidR="00BE7E25">
        <w:rPr>
          <w:sz w:val="22"/>
          <w:szCs w:val="22"/>
        </w:rPr>
        <w:t xml:space="preserve">. </w:t>
      </w:r>
      <w:r w:rsidR="00984A9C">
        <w:rPr>
          <w:sz w:val="22"/>
          <w:szCs w:val="22"/>
        </w:rPr>
        <w:t xml:space="preserve">Producto de la investigación se exponen aspectos como la disímil cantidad de datos oficiales sobre turismo serviciado y residenciado, </w:t>
      </w:r>
      <w:r w:rsidR="00065DAB" w:rsidRPr="00065DAB">
        <w:rPr>
          <w:sz w:val="22"/>
          <w:szCs w:val="22"/>
        </w:rPr>
        <w:t xml:space="preserve">el perjuicio </w:t>
      </w:r>
      <w:r w:rsidR="00065DAB">
        <w:rPr>
          <w:sz w:val="22"/>
          <w:szCs w:val="22"/>
        </w:rPr>
        <w:t>que ocasionan</w:t>
      </w:r>
      <w:r w:rsidR="00065DAB" w:rsidRPr="00065DAB">
        <w:t xml:space="preserve"> </w:t>
      </w:r>
      <w:r w:rsidR="00065DAB" w:rsidRPr="00065DAB">
        <w:rPr>
          <w:sz w:val="22"/>
          <w:szCs w:val="22"/>
        </w:rPr>
        <w:t>los cambios implementados en</w:t>
      </w:r>
      <w:r w:rsidR="00065DAB">
        <w:rPr>
          <w:sz w:val="22"/>
          <w:szCs w:val="22"/>
        </w:rPr>
        <w:t>tre</w:t>
      </w:r>
      <w:r w:rsidR="00065DAB" w:rsidRPr="00065DAB">
        <w:rPr>
          <w:sz w:val="22"/>
          <w:szCs w:val="22"/>
        </w:rPr>
        <w:t xml:space="preserve"> relevamientos censales</w:t>
      </w:r>
      <w:r w:rsidR="00065DAB">
        <w:rPr>
          <w:sz w:val="22"/>
          <w:szCs w:val="22"/>
        </w:rPr>
        <w:t xml:space="preserve"> sobre estudios de carácter comparativo y longitudinal </w:t>
      </w:r>
      <w:r w:rsidR="00984A9C">
        <w:rPr>
          <w:sz w:val="22"/>
          <w:szCs w:val="22"/>
        </w:rPr>
        <w:t>y la necesidad d</w:t>
      </w:r>
      <w:r w:rsidR="00065DAB">
        <w:rPr>
          <w:sz w:val="22"/>
          <w:szCs w:val="22"/>
        </w:rPr>
        <w:t>e</w:t>
      </w:r>
      <w:r w:rsidR="00984A9C">
        <w:rPr>
          <w:sz w:val="22"/>
          <w:szCs w:val="22"/>
        </w:rPr>
        <w:t xml:space="preserve"> triangula</w:t>
      </w:r>
      <w:r w:rsidR="00065DAB">
        <w:rPr>
          <w:sz w:val="22"/>
          <w:szCs w:val="22"/>
        </w:rPr>
        <w:t>r</w:t>
      </w:r>
      <w:r w:rsidR="00984A9C">
        <w:rPr>
          <w:sz w:val="22"/>
          <w:szCs w:val="22"/>
        </w:rPr>
        <w:t xml:space="preserve"> con otras fuentes y métodos. </w:t>
      </w:r>
    </w:p>
    <w:p w14:paraId="1E56006F" w14:textId="4E977FBA" w:rsidR="000D1713" w:rsidRDefault="00026DAC" w:rsidP="002E47F3">
      <w:pPr>
        <w:pStyle w:val="5TextocomnIIGG"/>
        <w:spacing w:after="120"/>
        <w:rPr>
          <w:sz w:val="22"/>
          <w:szCs w:val="22"/>
        </w:rPr>
      </w:pPr>
      <w:r w:rsidRPr="00DB598B">
        <w:rPr>
          <w:b/>
          <w:sz w:val="22"/>
          <w:szCs w:val="22"/>
        </w:rPr>
        <w:t>Palabras clave:</w:t>
      </w:r>
      <w:r w:rsidRPr="00DB598B">
        <w:rPr>
          <w:sz w:val="22"/>
          <w:szCs w:val="22"/>
        </w:rPr>
        <w:t xml:space="preserve"> </w:t>
      </w:r>
      <w:r w:rsidR="000D1713">
        <w:rPr>
          <w:sz w:val="22"/>
          <w:szCs w:val="22"/>
        </w:rPr>
        <w:t xml:space="preserve">Alojamiento; Distribución espacial; Evolución espacial; Fuentes de datos; Sudeste de la Provincia de Buenos Aires; Turismo residenciado; Turismo serviciado; Turistificación.  </w:t>
      </w:r>
    </w:p>
    <w:p w14:paraId="2D6E54F9" w14:textId="77777777" w:rsidR="00026DAC" w:rsidRPr="00026DAC" w:rsidRDefault="00026DAC" w:rsidP="002E47F3">
      <w:pPr>
        <w:pStyle w:val="5TextocomnIIGG"/>
        <w:spacing w:after="120"/>
      </w:pPr>
    </w:p>
    <w:p w14:paraId="7CBEA06E" w14:textId="77777777" w:rsidR="00026DAC" w:rsidRPr="00DB598B" w:rsidRDefault="00026DAC" w:rsidP="002E47F3">
      <w:pPr>
        <w:pStyle w:val="4TtulosepgrafesIIGG"/>
        <w:spacing w:after="120"/>
        <w:rPr>
          <w:sz w:val="22"/>
          <w:szCs w:val="22"/>
        </w:rPr>
      </w:pPr>
      <w:r w:rsidRPr="00DB598B">
        <w:rPr>
          <w:sz w:val="22"/>
          <w:szCs w:val="22"/>
        </w:rPr>
        <w:t>Abstract</w:t>
      </w:r>
    </w:p>
    <w:p w14:paraId="381DA335" w14:textId="44166319" w:rsidR="00026DAC" w:rsidRPr="00C24AA5" w:rsidRDefault="008A12E1" w:rsidP="002E47F3">
      <w:pPr>
        <w:pStyle w:val="5TextocomnIIGG"/>
        <w:spacing w:after="120"/>
        <w:rPr>
          <w:sz w:val="22"/>
          <w:szCs w:val="22"/>
          <w:lang w:val="pt-PT"/>
        </w:rPr>
      </w:pPr>
      <w:r w:rsidRPr="008A12E1">
        <w:rPr>
          <w:sz w:val="22"/>
          <w:szCs w:val="22"/>
        </w:rPr>
        <w:t>The purpose of this study is to analyze the distribution and spatial evolution of accommodation in the southeast of the Province of Buenos Aires.</w:t>
      </w:r>
      <w:r w:rsidRPr="008A12E1">
        <w:t xml:space="preserve"> </w:t>
      </w:r>
      <w:r w:rsidRPr="008A12E1">
        <w:rPr>
          <w:sz w:val="22"/>
          <w:szCs w:val="22"/>
        </w:rPr>
        <w:t xml:space="preserve">Given that the approach to touristification prioritizes the </w:t>
      </w:r>
      <w:r w:rsidRPr="008A12E1">
        <w:rPr>
          <w:sz w:val="22"/>
          <w:szCs w:val="22"/>
        </w:rPr>
        <w:lastRenderedPageBreak/>
        <w:t xml:space="preserve">local scale, case studies, and intra-urban spatial units, the application of quantitative spatial analysis within a regional geographic framework is proposed, considering accommodation as a dimension of tourism. </w:t>
      </w:r>
      <w:r w:rsidRPr="00C24AA5">
        <w:rPr>
          <w:sz w:val="22"/>
          <w:szCs w:val="22"/>
          <w:lang w:val="pt-PT"/>
        </w:rPr>
        <w:t>Using five statistical sources with national coverage, indicators such as annual intercensal growth rates, percentage variations, and averages of housing for potential tourist use and hotel and para-hotel establishments are represented and examined at the cartographic level. The study reveals a region with internal heterogeneity, with sources that demonstrate everything from the preeminence of the city of Mar del Plata in terms of the quantity and diversity of accommodations to the acquisition of a greater relative share by other destinations, including a case of comprehensive spatial redistribution. The research highlights aspects such as the disparity in the amount of official data on serviced and residential tourism, the harm caused by changes implemented between census surveys on comparative and longitudinal studies, and the need to triangulate with other sources and methods.</w:t>
      </w:r>
    </w:p>
    <w:p w14:paraId="640AFCD9" w14:textId="225768CE" w:rsidR="00026DAC" w:rsidRPr="005032F0" w:rsidRDefault="00026DAC" w:rsidP="002E47F3">
      <w:pPr>
        <w:pStyle w:val="5TextocomnIIGG"/>
        <w:spacing w:after="120"/>
        <w:rPr>
          <w:color w:val="ED0000"/>
          <w:sz w:val="22"/>
          <w:szCs w:val="22"/>
        </w:rPr>
      </w:pPr>
      <w:r w:rsidRPr="00DB598B">
        <w:rPr>
          <w:b/>
          <w:sz w:val="22"/>
          <w:szCs w:val="22"/>
        </w:rPr>
        <w:t>Keywords:</w:t>
      </w:r>
      <w:r w:rsidRPr="00DB598B">
        <w:rPr>
          <w:sz w:val="22"/>
          <w:szCs w:val="22"/>
        </w:rPr>
        <w:t xml:space="preserve"> </w:t>
      </w:r>
      <w:r w:rsidR="000D1713" w:rsidRPr="000D1713">
        <w:rPr>
          <w:sz w:val="22"/>
          <w:szCs w:val="22"/>
        </w:rPr>
        <w:t>Accommodation; Spatial distribution; Spatial evolution; Data sources; Southeast of Buenos Aires Province; Residential tourism; Serviced tourism; Touristification.</w:t>
      </w:r>
    </w:p>
    <w:p w14:paraId="1492ED72" w14:textId="77777777" w:rsidR="00026DAC" w:rsidRPr="00C5754A" w:rsidRDefault="00026DAC" w:rsidP="002E47F3">
      <w:pPr>
        <w:pStyle w:val="5TextocomnIIGG"/>
        <w:spacing w:after="120"/>
      </w:pPr>
    </w:p>
    <w:p w14:paraId="63ABF55F" w14:textId="77777777" w:rsidR="00026DAC" w:rsidRPr="00026DAC" w:rsidRDefault="0019027C" w:rsidP="002E47F3">
      <w:pPr>
        <w:pStyle w:val="4TtulosepgrafesIIGG"/>
        <w:spacing w:after="120"/>
      </w:pPr>
      <w:r>
        <w:t xml:space="preserve">1. </w:t>
      </w:r>
      <w:r w:rsidR="00026DAC" w:rsidRPr="00026DAC">
        <w:t>Introducción</w:t>
      </w:r>
    </w:p>
    <w:p w14:paraId="28593846" w14:textId="59E9A900" w:rsidR="002C7FC7" w:rsidRDefault="002C7FC7" w:rsidP="002E47F3">
      <w:pPr>
        <w:pStyle w:val="5TextocomnIIGG"/>
        <w:spacing w:after="120"/>
        <w:ind w:firstLine="567"/>
      </w:pPr>
      <w:r w:rsidRPr="002C7FC7">
        <w:t>Analizar la turistificación que atraviesan determinados territorios requiere tener en cuenta un componente fundamental del sistema turístico, como es el alojamiento. Est</w:t>
      </w:r>
      <w:r>
        <w:t>a clase de</w:t>
      </w:r>
      <w:r w:rsidRPr="002C7FC7">
        <w:t xml:space="preserve"> equipamiento satisface el hospedaje tanto</w:t>
      </w:r>
      <w:r>
        <w:t xml:space="preserve"> para</w:t>
      </w:r>
      <w:r w:rsidRPr="002C7FC7">
        <w:t xml:space="preserve"> la práctica turística como </w:t>
      </w:r>
      <w:r>
        <w:t>par</w:t>
      </w:r>
      <w:r w:rsidRPr="002C7FC7">
        <w:t>a otras formas de movilidad espacial de la población que se caracterizan por la realización de un desplazamiento de duración relativamente corta (pero mayor a una noche) por fuera del espacio de vida habitual (viajar para resolver un trámite personal, asunto familiar o compromiso laboral, entre otros ejemplos). La actual intensificación de la actividad turística y su expansión territorial genera nuevas inversiones inmobiliarias y hoteleras, además de impulsar otros rubros como transporte, recreación, gastronomía y comercio.</w:t>
      </w:r>
    </w:p>
    <w:p w14:paraId="07B036A3" w14:textId="57E3A0D0" w:rsidR="002C7FC7" w:rsidRDefault="002C7FC7" w:rsidP="002E47F3">
      <w:pPr>
        <w:pStyle w:val="5TextocomnIIGG"/>
        <w:spacing w:after="120"/>
        <w:ind w:firstLine="567"/>
      </w:pPr>
      <w:r w:rsidRPr="002C7FC7">
        <w:t>Macro-factores como la mayor conciencia social sobre el valor, la importancia y el derecho al tiempo de ocio, la constante incitación al consumo de bienes y servicios que caracteriza al sistema de producción capitalista, la búsqueda de mejor calidad de vida y el interés de acumulación de nuevas experiencias efímeras ligadas al contacto con la naturaleza, el retorno a las raíces ancestrales y la sumersión en otras culturas, llevan a que cada vez más territorios extraurbanos transiten transformaciones y evidencien signos de turistificación. Producto de ello, recae entre los intereses de la disciplina geográfica su revelación empírica.</w:t>
      </w:r>
    </w:p>
    <w:p w14:paraId="72EA03FE" w14:textId="119DF681" w:rsidR="002C7FC7" w:rsidRDefault="002C7FC7" w:rsidP="002E47F3">
      <w:pPr>
        <w:pStyle w:val="5TextocomnIIGG"/>
        <w:spacing w:after="120"/>
        <w:ind w:firstLine="567"/>
      </w:pPr>
      <w:r w:rsidRPr="002C7FC7">
        <w:t xml:space="preserve">Desde el punto de vista epistemológico, la turistificación está siendo abordada, sobre todo, desde la escala local, el estudio de caso y el análisis intraurbano, y en menor medida desde un marco geográfico clásico como el regional. Esto se </w:t>
      </w:r>
      <w:r>
        <w:t>aplica</w:t>
      </w:r>
      <w:r w:rsidRPr="002C7FC7">
        <w:t xml:space="preserve"> tanto al contexto latinoamericano como europeo (</w:t>
      </w:r>
      <w:r w:rsidRPr="00E01DC9">
        <w:t xml:space="preserve">Babinger y Ayala, 2016, </w:t>
      </w:r>
      <w:r w:rsidR="00E01DC9" w:rsidRPr="00E01DC9">
        <w:t>como se citó en</w:t>
      </w:r>
      <w:r w:rsidRPr="00E01DC9">
        <w:t xml:space="preserve"> García de Fuentes,</w:t>
      </w:r>
      <w:r w:rsidR="00347C1A">
        <w:t xml:space="preserve"> </w:t>
      </w:r>
      <w:r w:rsidR="00347C1A" w:rsidRPr="00F17605">
        <w:t>Jouault</w:t>
      </w:r>
      <w:r w:rsidR="00347C1A">
        <w:t xml:space="preserve"> y </w:t>
      </w:r>
      <w:r w:rsidR="00347C1A" w:rsidRPr="00F17605">
        <w:t>Romero</w:t>
      </w:r>
      <w:r w:rsidR="00347C1A">
        <w:t>,</w:t>
      </w:r>
      <w:r w:rsidRPr="00E01DC9">
        <w:t xml:space="preserve"> 2019; Egio Rubio y Fernández Toledo, 2020</w:t>
      </w:r>
      <w:r w:rsidRPr="002C7FC7">
        <w:t>). En relación a este tema y la perspectiva del análisis espacial cuantitativo, Piñeira</w:t>
      </w:r>
      <w:r w:rsidR="00347C1A">
        <w:t xml:space="preserve">, </w:t>
      </w:r>
      <w:r w:rsidR="00347C1A" w:rsidRPr="002615AF">
        <w:t>Fernández Tabales</w:t>
      </w:r>
      <w:r w:rsidR="00347C1A">
        <w:t xml:space="preserve"> y</w:t>
      </w:r>
      <w:r w:rsidR="00347C1A" w:rsidRPr="002615AF">
        <w:t xml:space="preserve"> Mínguez</w:t>
      </w:r>
      <w:r w:rsidRPr="002C7FC7">
        <w:t xml:space="preserve"> expresan que “Es este un enfoque en plena expansión, y absolutamente necesario para avanzar en una materia en la que hasta el momento ha predominado el debate ideológico sobre la medición precisa de los fenómenos” (2020</w:t>
      </w:r>
      <w:r w:rsidR="00E01DC9">
        <w:t xml:space="preserve">, p. </w:t>
      </w:r>
      <w:r w:rsidRPr="002C7FC7">
        <w:t>90).</w:t>
      </w:r>
    </w:p>
    <w:p w14:paraId="0AE9F846" w14:textId="4A8EDEC6" w:rsidR="00E01DC9" w:rsidRDefault="00E01DC9" w:rsidP="00E01DC9">
      <w:pPr>
        <w:pStyle w:val="5TextocomnIIGG"/>
        <w:spacing w:after="120"/>
        <w:ind w:firstLine="567"/>
      </w:pPr>
      <w:r w:rsidRPr="00E01DC9">
        <w:t>Por otra parte, el avance de la ciencia y la tecnología ha permitido reunir, uniformar y mejorar progresivamente las estadísticas sobre turismo. No obstante, la dificultad para producir y obtener datos cuantitativos sobre escalas medianas y grandes (espacios regionales y locales) es uno de los motivos por los cuales, hasta hace unos años, la investigación concerniente al desarrollo de este fenómeno social ponía énfasis en sus aspectos cualitativos e inmateriales (Almirón,</w:t>
      </w:r>
      <w:r w:rsidR="00347C1A">
        <w:t xml:space="preserve"> </w:t>
      </w:r>
      <w:r w:rsidR="00347C1A" w:rsidRPr="00F17605">
        <w:t>Bertoncello, Kuper</w:t>
      </w:r>
      <w:r w:rsidR="00347C1A">
        <w:t xml:space="preserve"> y</w:t>
      </w:r>
      <w:r w:rsidR="00347C1A" w:rsidRPr="00F17605">
        <w:t xml:space="preserve"> Ramírez</w:t>
      </w:r>
      <w:r w:rsidR="00347C1A">
        <w:t>,</w:t>
      </w:r>
      <w:r w:rsidRPr="00E01DC9">
        <w:t xml:space="preserve"> 2008). A pesar de este señalamiento, y frente al desafío metodológico que conlleva cuantificar poblaciones elusivas, o con alto grado de movilidad, como los turistas (Domínguez,</w:t>
      </w:r>
      <w:r w:rsidR="00347C1A">
        <w:t xml:space="preserve"> </w:t>
      </w:r>
      <w:r w:rsidR="00347C1A" w:rsidRPr="00F17605">
        <w:t>Aledo</w:t>
      </w:r>
      <w:r w:rsidR="00347C1A">
        <w:t xml:space="preserve"> y</w:t>
      </w:r>
      <w:r w:rsidR="00347C1A" w:rsidRPr="00F17605">
        <w:t xml:space="preserve"> Roig Merino</w:t>
      </w:r>
      <w:r w:rsidR="00347C1A">
        <w:t>,</w:t>
      </w:r>
      <w:r w:rsidRPr="00E01DC9">
        <w:t xml:space="preserve"> 2016), la fijación en el </w:t>
      </w:r>
      <w:r w:rsidRPr="00E01DC9">
        <w:lastRenderedPageBreak/>
        <w:t>territorio que posee el alojamiento provee mayor facilidad para su recuento y monitoreo, más allá de que la estacionalidad turística provoque variaciones en la oferta de determinadas regiones.</w:t>
      </w:r>
    </w:p>
    <w:p w14:paraId="3E1D61C3" w14:textId="6F3775E4" w:rsidR="00E01DC9" w:rsidRDefault="00E01DC9" w:rsidP="00E01DC9">
      <w:pPr>
        <w:pStyle w:val="5TextocomnIIGG"/>
        <w:spacing w:after="120"/>
        <w:ind w:firstLine="567"/>
      </w:pPr>
      <w:r>
        <w:t>Entre esta clase de regiones se encuentra el sudeste de la Provincia de Buenos Aires (República Argentina), conocido también como sudeste bonaerense. Según el estudio de Ares</w:t>
      </w:r>
      <w:r w:rsidR="00347C1A">
        <w:t>, Mikkelsen y Lucero</w:t>
      </w:r>
      <w:r>
        <w:t xml:space="preserve"> (2020), dicha área comprende 13 Partidos o Municipios: 8 marítimos (Pinamar, Villa Gesell, Mar Chiquita, General Pueyrredon, General Alvarado, Lobería, Necochea y San Cayetano) y 5 interiores (General Juan Madariaga, Maipú, Ayacucho, Balcarce y Tandil). Aquí, el</w:t>
      </w:r>
      <w:r w:rsidRPr="00C22EC7">
        <w:t xml:space="preserve"> despertar</w:t>
      </w:r>
      <w:r>
        <w:t xml:space="preserve"> del</w:t>
      </w:r>
      <w:r w:rsidRPr="00C22EC7">
        <w:t xml:space="preserve"> tur</w:t>
      </w:r>
      <w:r>
        <w:t>ismo</w:t>
      </w:r>
      <w:r w:rsidRPr="00C22EC7">
        <w:t xml:space="preserve"> inicia a fines del siglo XIX, teniendo como epicentro a</w:t>
      </w:r>
      <w:r>
        <w:t xml:space="preserve"> la ciudad de</w:t>
      </w:r>
      <w:r w:rsidRPr="00C22EC7">
        <w:t xml:space="preserve"> Mar del Plata</w:t>
      </w:r>
      <w:r>
        <w:t>, cabecera del Partido de General Pueyrredon</w:t>
      </w:r>
      <w:r w:rsidRPr="00C22EC7">
        <w:t xml:space="preserve">. Paulatinamente </w:t>
      </w:r>
      <w:r>
        <w:t>en esta región se añadieron a la oferta turística nuevos lugares de destino impulsados por emprendimientos estatales, empresariales, comunitarios y de particulares. Especialmente en los últimos años, los macro-factores mencionados anteriormente conllevan a que las nuevas iniciativas le hagan frente a las tradicionales localizaciones balnearias y serranas. Si bien no en todos los casos acompaña el servicio de alojamiento, en paralelo a este proceso</w:t>
      </w:r>
      <w:r w:rsidRPr="00013896">
        <w:t xml:space="preserve"> </w:t>
      </w:r>
      <w:r>
        <w:t>prosperaron</w:t>
      </w:r>
      <w:r w:rsidRPr="00013896">
        <w:t xml:space="preserve"> desarrollo</w:t>
      </w:r>
      <w:r>
        <w:t>s</w:t>
      </w:r>
      <w:r w:rsidRPr="00013896">
        <w:t xml:space="preserve"> inmobiliario</w:t>
      </w:r>
      <w:r>
        <w:t>s que no solo atestiguan un uso residencial permanente, sino también el correspondiente a segundas residencias y alquileres temporarios.</w:t>
      </w:r>
    </w:p>
    <w:p w14:paraId="661DE7DD" w14:textId="26A3D22B" w:rsidR="00E01DC9" w:rsidRDefault="00E01DC9" w:rsidP="00E01DC9">
      <w:pPr>
        <w:pStyle w:val="5TextocomnIIGG"/>
        <w:spacing w:after="120"/>
        <w:ind w:firstLine="567"/>
      </w:pPr>
      <w:r>
        <w:t xml:space="preserve"> </w:t>
      </w:r>
      <w:r w:rsidR="00CD5887" w:rsidRPr="00CD5887">
        <w:t>A la luz de las fuentes estadísticas identificadas y recopiladas hasta el momento, este artículo procura analizar la distribución y evolución espacial del alojamiento en el sudeste de la Provincia de Buenos Aires. La intención de asegurar la replicabilidad de este ejercicio sobre cualquier otra porción del territorio argentino, garantiza</w:t>
      </w:r>
      <w:r w:rsidR="00CD5887">
        <w:t>ndo así</w:t>
      </w:r>
      <w:r w:rsidR="00CD5887" w:rsidRPr="00CD5887">
        <w:t xml:space="preserve"> la comparación interregional, conduce a que, en esta ocasión, se tengan en cuenta datos procedentes de operativos como censos, encuestas y padrones que abarcan todo el país. </w:t>
      </w:r>
    </w:p>
    <w:p w14:paraId="1A257046" w14:textId="5915876F" w:rsidR="00CD5887" w:rsidRPr="00945762" w:rsidRDefault="00CD5887" w:rsidP="00E01DC9">
      <w:pPr>
        <w:pStyle w:val="5TextocomnIIGG"/>
        <w:spacing w:after="120"/>
        <w:ind w:firstLine="567"/>
      </w:pPr>
      <w:r w:rsidRPr="00CD5887">
        <w:t>El trabajo se inspira en dos perspectivas teórico-metodológicas. Por un lado, las nociones de estructura y proceso territorial que, según Sánchez Crispín</w:t>
      </w:r>
      <w:r w:rsidR="00347C1A">
        <w:t xml:space="preserve">, </w:t>
      </w:r>
      <w:r w:rsidR="00347C1A" w:rsidRPr="002615AF">
        <w:t>Mollinedo Beltrán</w:t>
      </w:r>
      <w:r w:rsidR="00347C1A">
        <w:t xml:space="preserve"> y</w:t>
      </w:r>
      <w:r w:rsidR="00347C1A" w:rsidRPr="002615AF">
        <w:t xml:space="preserve"> Propin Frejomil</w:t>
      </w:r>
      <w:r w:rsidRPr="00CD5887">
        <w:t xml:space="preserve"> (2012), fueron aportadas por la Geografía Económica al ámbito de la planificación regional. Mientras que el concepto de estructura territorial refiere al tiempo presente y a la identificación de elementos implantados en el espacio geográfico y que, por ende, pueden ser cartografiados, el concepto de proceso territorial alude a la dimensión histórica, o a las transformaciones sociales, culturales, políticas y económicas que dan origen a la estructura territorial. Por otro lado, las nociones de distribución y evolución espacial provenientes del análisis espacial, una práctica de investigación propia de la Geografía Cuantitativa, apoyada sobre métodos estadísticos, modelos matemáticos y sistema de información geográfica (SIG) (Buzai, 2015). Al tiempo que el concepto de distribución espacial refiere a la frecuencia con que un determinado tema se reparte entre un conjunto de unidades espaciales que integran un área de estudio, el concepto de evolución espacial alude a la incorporación de la dimensión temporal y a la consideración de los cambios que se producen en la distribución espacial de una variable. Como se puede apreciar, estructura territorial y distribución espacial pueden ensamblarse y ser de utilidad para este trabajo, tanto como proceso territorial y evolución espacial.</w:t>
      </w:r>
    </w:p>
    <w:p w14:paraId="2B4DE383" w14:textId="4211BA84" w:rsidR="00E01DC9" w:rsidRPr="002C7FC7" w:rsidRDefault="00CD5887" w:rsidP="002E47F3">
      <w:pPr>
        <w:pStyle w:val="5TextocomnIIGG"/>
        <w:spacing w:after="120"/>
        <w:ind w:firstLine="567"/>
      </w:pPr>
      <w:r w:rsidRPr="00CD5887">
        <w:t xml:space="preserve">A continuación, se </w:t>
      </w:r>
      <w:r>
        <w:t>repasan</w:t>
      </w:r>
      <w:r w:rsidRPr="00CD5887">
        <w:t xml:space="preserve"> </w:t>
      </w:r>
      <w:r>
        <w:t xml:space="preserve">los conceptos de </w:t>
      </w:r>
      <w:r w:rsidRPr="00CD5887">
        <w:t>turistificación y</w:t>
      </w:r>
      <w:r>
        <w:t xml:space="preserve"> </w:t>
      </w:r>
      <w:r w:rsidRPr="00CD5887">
        <w:t>alojamiento</w:t>
      </w:r>
      <w:r>
        <w:t xml:space="preserve">, </w:t>
      </w:r>
      <w:r w:rsidRPr="00CD5887">
        <w:t>hac</w:t>
      </w:r>
      <w:r>
        <w:t>iendo</w:t>
      </w:r>
      <w:r w:rsidRPr="00CD5887">
        <w:t xml:space="preserve"> referencia a dos estilos que, para este caso, devienen en </w:t>
      </w:r>
      <w:r>
        <w:t>elementos</w:t>
      </w:r>
      <w:r w:rsidRPr="00CD5887">
        <w:t xml:space="preserve"> estructurantes y organizadores del escrito, denominados turismo residenciado y turismo serviciado. Ambos son definidos por Mantero</w:t>
      </w:r>
      <w:r w:rsidR="00436DE5">
        <w:t xml:space="preserve">, </w:t>
      </w:r>
      <w:r w:rsidR="00436DE5" w:rsidRPr="002615AF">
        <w:t>Laffan</w:t>
      </w:r>
      <w:r w:rsidR="00436DE5">
        <w:t xml:space="preserve"> y</w:t>
      </w:r>
      <w:r w:rsidR="00436DE5" w:rsidRPr="002615AF">
        <w:t xml:space="preserve"> Lefrou</w:t>
      </w:r>
      <w:r w:rsidRPr="00CD5887">
        <w:t xml:space="preserve"> como “alternativas de acceso al usufructo turístico, entendiendo por residenciado aquel que hace de la vivienda la unidad de alojamiento turístico respecto de aquel que hace unidad de alojamiento al servicio de hotelería” (2011</w:t>
      </w:r>
      <w:r>
        <w:t xml:space="preserve">, p. </w:t>
      </w:r>
      <w:r w:rsidRPr="00CD5887">
        <w:t xml:space="preserve">126). En base a estas nociones, </w:t>
      </w:r>
      <w:r>
        <w:t>luego</w:t>
      </w:r>
      <w:r w:rsidRPr="00CD5887">
        <w:t xml:space="preserve"> se presentan las fuentes estadísticas oficiales que poseen cobertura nacional y posibilitan investigar sobre el alojamiento en clave de proceso a escala regional. La </w:t>
      </w:r>
      <w:r w:rsidRPr="00CD5887">
        <w:lastRenderedPageBreak/>
        <w:t xml:space="preserve">pretensión de optimizar lo máximo posible cada base de datos define un arco temporal versátil, con series que varían entre 1991 y 2024. Dicho período coincide con la consolidación en Argentina del modelo económico neoliberal, el cual dio lugar a un nuevo mapa turístico, marcado por la activación de nuevas iniciativas, heterogeneidad de la oferta turística y fragmentaciones territoriales (Bertoncello, 2006). </w:t>
      </w:r>
      <w:r>
        <w:t>Tras ello</w:t>
      </w:r>
      <w:r w:rsidRPr="00CD5887">
        <w:t xml:space="preserve"> se recuperan las fuentes identificadas para revelar la distribución y evolución espacial del alojamiento en el sudeste bonaerense a partir de la producción de cartografía temática. Finalmente, se rescatan algunas conclusiones y establecen nuevas aperturas.</w:t>
      </w:r>
    </w:p>
    <w:p w14:paraId="1A0FE89C" w14:textId="77777777" w:rsidR="0036213B" w:rsidRDefault="0036213B" w:rsidP="002E47F3">
      <w:pPr>
        <w:pStyle w:val="5TextocomnIIGG"/>
        <w:spacing w:after="120"/>
      </w:pPr>
    </w:p>
    <w:p w14:paraId="175D2EFD" w14:textId="702D1E5B" w:rsidR="00887FF5" w:rsidRDefault="00887FF5" w:rsidP="00887FF5">
      <w:pPr>
        <w:pStyle w:val="4TtulosepgrafesIIGG"/>
        <w:numPr>
          <w:ilvl w:val="1"/>
          <w:numId w:val="16"/>
        </w:numPr>
        <w:spacing w:after="120"/>
      </w:pPr>
      <w:r>
        <w:t xml:space="preserve"> Marco teórico-conceptual</w:t>
      </w:r>
    </w:p>
    <w:p w14:paraId="2A18DD3A" w14:textId="70F6704A" w:rsidR="00887FF5" w:rsidRDefault="00887FF5" w:rsidP="00887FF5">
      <w:pPr>
        <w:pStyle w:val="5TextocomnIIGG"/>
        <w:spacing w:after="120"/>
        <w:ind w:firstLine="567"/>
      </w:pPr>
      <w:r w:rsidRPr="00887FF5">
        <w:t>Respecto a</w:t>
      </w:r>
      <w:r>
        <w:t xml:space="preserve"> la</w:t>
      </w:r>
      <w:r w:rsidRPr="00887FF5">
        <w:t xml:space="preserve"> turistificación, en Hiernaux (2006)</w:t>
      </w:r>
      <w:r w:rsidR="004943EF">
        <w:t xml:space="preserve"> </w:t>
      </w:r>
      <w:r w:rsidRPr="00887FF5">
        <w:t>y Hernández Cordero (2021) se atribuye</w:t>
      </w:r>
      <w:r>
        <w:t xml:space="preserve"> el concepto</w:t>
      </w:r>
      <w:r w:rsidRPr="00887FF5">
        <w:t xml:space="preserve"> a referentes de la Geografía y Sociología francófona, como Remy Knafou y Marie-Francoise Lanfant. En Europa occidental, la turistificación se aborda, sobre todo, como un proceso urbano (Freytag y Bauder, 2018; Calle Vaquero, 2019; Cañada y Murray, 2019; Piñeira </w:t>
      </w:r>
      <w:r w:rsidRPr="00436DE5">
        <w:rPr>
          <w:i/>
          <w:iCs/>
        </w:rPr>
        <w:t>et al.</w:t>
      </w:r>
      <w:r w:rsidRPr="00887FF5">
        <w:t>, 2020; Hernández Cordero, 2021 y Díaz Parra y Sequera, 2021). Esto se vincula con la crisis financiera global de 2008 y los procesos de acumulación y reproducción del capital que, tras ella, tuvieron lugar en las ciudades. Además, varios de los autores precitados subrayan que la reciente expansión e intensificación del turismo otorgó al término una connotación predominantemente negativa, generando como resultado el afianzamiento de una línea de investigación crítica y el uso de dicha noción más allá del ámbito académico, es decir, por parte de determinadas agrupaciones políticas, medios de comunicación y movimientos sociales. Como bien plantean Diaz Parra y Sequera, “la noción de turistificación, que venía siendo utilizada en textos académicos en español desde la década de 1990, resurge en ámbitos principalmente activistas y académicos en la segunda década del XXI” (2021</w:t>
      </w:r>
      <w:r w:rsidR="00392AB2">
        <w:t xml:space="preserve">, p. </w:t>
      </w:r>
      <w:r w:rsidRPr="00887FF5">
        <w:t>9). El descontento se hace notar, especialmente, en lugares que tiempo atrás no resaltaban por su función turística y que ahora sufren una ininterrumpida afluencia masiva, siendo el caso de diversas ciudades europeas.</w:t>
      </w:r>
    </w:p>
    <w:p w14:paraId="031A8D1D" w14:textId="2AD570E1" w:rsidR="00392AB2" w:rsidRDefault="00392AB2" w:rsidP="00887FF5">
      <w:pPr>
        <w:pStyle w:val="5TextocomnIIGG"/>
        <w:spacing w:after="120"/>
        <w:ind w:firstLine="567"/>
      </w:pPr>
      <w:r w:rsidRPr="00392AB2">
        <w:t>Tal como expone Trivi, “Desde Latinoamérica se debe prestar atención a este debate, dado que es una situación que se puede replicar en el continente con rasgos específicos” (2024</w:t>
      </w:r>
      <w:r>
        <w:t xml:space="preserve">, p. </w:t>
      </w:r>
      <w:r w:rsidRPr="00392AB2">
        <w:t>79). Al igual que en Europa, Cañada y Murray (2019) observan que en los países de América Latina el uso del concepto turistificación también se encuentra ligado a una Geografía crítica, aunque no solo pendiente de la cuestión intraurbana y turístico-masiva, sino también de otros procesos como la desposesión y el extractivismo originados por la construcción de espacios de exclusividad social (en su mayoría costeros), la relación entre estilos de vida y economías rurales y turismo y el desarrollo de formas de organización turística bajo modelos comunitarios, inclusivos o sustentables.</w:t>
      </w:r>
    </w:p>
    <w:p w14:paraId="72C4177B" w14:textId="14CD109E" w:rsidR="00392AB2" w:rsidRDefault="00392AB2" w:rsidP="00887FF5">
      <w:pPr>
        <w:pStyle w:val="5TextocomnIIGG"/>
        <w:spacing w:after="120"/>
        <w:ind w:firstLine="567"/>
      </w:pPr>
      <w:r w:rsidRPr="00392AB2">
        <w:t>Calle Vaquero define a la turistificación como “una transformación funcional del espacio, con proliferación de las actividades vinculadas directa o indirectamente al consumo de los visitantes” (2019</w:t>
      </w:r>
      <w:r>
        <w:t xml:space="preserve">, p. </w:t>
      </w:r>
      <w:r w:rsidRPr="00392AB2">
        <w:t xml:space="preserve">2). </w:t>
      </w:r>
      <w:r>
        <w:t>Su</w:t>
      </w:r>
      <w:r w:rsidRPr="00392AB2">
        <w:t xml:space="preserve"> origen se vincula con la competencia interurbana y las políticas neoliberales, el crecimiento de la demanda de consumo, ocio y entretenimiento, el mayor acceso al transporte, la irrupción de las plataformas digitales, entendidas como nuevos canales de intermediación turística, y el auge de la vivienda como mercancía y forma de alojamiento. Por otro lado, el deterioro del paisaje urbano, el incremento de la congestión, contaminación y presión en los sistemas de abastecimiento, la dependencia ocasionada por la hiper especialización turística, el declive en determinados barrios de la función residencial para uso permanente de las viviendas, el rechazo local al turismo (difundido mediáticamente como “turismofobia”) y la posibilidad de deterioro de los atractivos turísticos son señalados como los efectos </w:t>
      </w:r>
      <w:r>
        <w:t xml:space="preserve">negativos </w:t>
      </w:r>
      <w:r w:rsidRPr="00392AB2">
        <w:t xml:space="preserve">más comunes. Si bien el autor explica que la turistificación no es un proceso </w:t>
      </w:r>
      <w:r w:rsidRPr="00392AB2">
        <w:lastRenderedPageBreak/>
        <w:t>nuevo, sí que lo es su aceleración en un marco general de terciarización de la economía. Egio Rubio y Fernández Toledo (2020) coinciden con Calle Vaquero (2019) en señalar que la ampliación del acceso al viaje turístico por la reducción de su coste (expansión de las aerolíneas low cost) y el uso masivo de aplicaciones digitales para el alquiler temporal de viviendas (por ejemplo, Airbnb) son los principales factores de la turistificación contemporánea.</w:t>
      </w:r>
    </w:p>
    <w:p w14:paraId="59732A64" w14:textId="749943EF" w:rsidR="00392AB2" w:rsidRDefault="00392AB2" w:rsidP="00887FF5">
      <w:pPr>
        <w:pStyle w:val="5TextocomnIIGG"/>
        <w:spacing w:after="120"/>
        <w:ind w:firstLine="567"/>
      </w:pPr>
      <w:r w:rsidRPr="00392AB2">
        <w:t>Para Freytag y Bauder (2018) la turistificación involucra tres niveles de análisis vinculados entre sí, pero que en términos metodológicos suponen métodos diferentes. Los autores refieren, en primer orden, a cambios visibles en el uso funcional del espacio material o construido, seguido de cambios (más difíciles de percibir) relacionados al uso de equipamientos e infraestructuras preexistentes, siendo el caso más paradigmático el pasaje de viviendas de uso residencial permanente a viviendas de alquiler temporario. El tercer y último nivel comprende las prácticas de movilidad de los visitantes. Todo esto abarca desde trabajo de laboratorio hasta trabajo de campo; desde el análisis cuanti y la representación de datos espaciales hasta lo más cuali,</w:t>
      </w:r>
      <w:r>
        <w:t xml:space="preserve"> </w:t>
      </w:r>
      <w:r w:rsidRPr="00392AB2">
        <w:t>como la observación directa.</w:t>
      </w:r>
    </w:p>
    <w:p w14:paraId="679FC8B0" w14:textId="15CED704" w:rsidR="00392AB2" w:rsidRDefault="00392AB2" w:rsidP="00887FF5">
      <w:pPr>
        <w:pStyle w:val="5TextocomnIIGG"/>
        <w:spacing w:after="120"/>
        <w:ind w:firstLine="567"/>
      </w:pPr>
      <w:r>
        <w:t xml:space="preserve">Según </w:t>
      </w:r>
      <w:r w:rsidRPr="00392AB2">
        <w:t>Hiernaux</w:t>
      </w:r>
      <w:r>
        <w:t>,</w:t>
      </w:r>
      <w:r w:rsidRPr="00392AB2">
        <w:t xml:space="preserve"> la turistificación evidencia cómo “las actividades de ocio y el turismo trastocan cada vez más los espacios supuestamente relacionados exclusivamente con el mundo de la producción” (2006</w:t>
      </w:r>
      <w:r>
        <w:t xml:space="preserve">, p. </w:t>
      </w:r>
      <w:r w:rsidRPr="00392AB2">
        <w:t>425). Probablemente, el ejemplo que mejor representa esta situación es el agroturismo, puesto que fusiona las prácticas agrícolas con los servicios turísticos y recreativos, aunque también se pueden mencionar las visitas programadas a activos industriales en desuso, puertos, antiguas estaciones de tren y pueblos de ancestros. En cualquier caso, la turistificación comprende una dimensión material y otra simbólica (Hernández Cordero, 2021). Mientras que la primera se relaciona con la expansión territorial de equipamientos, infraestructuras y servicios turísticos, la segunda se basa en hechos como la intensificación de la promoción turística, la creación de narrativas espaciales y la difusión de lugares en redes y medios de comunicación.</w:t>
      </w:r>
    </w:p>
    <w:p w14:paraId="27037A7A" w14:textId="35A1DFB3" w:rsidR="006D163F" w:rsidRDefault="006D163F" w:rsidP="00887FF5">
      <w:pPr>
        <w:pStyle w:val="5TextocomnIIGG"/>
        <w:spacing w:after="120"/>
        <w:ind w:firstLine="567"/>
      </w:pPr>
      <w:r w:rsidRPr="006D163F">
        <w:t>En relación a las formas de alojamiento, la turistificación promueve</w:t>
      </w:r>
      <w:r w:rsidR="0001347E">
        <w:t>, por ejemplo,</w:t>
      </w:r>
      <w:r w:rsidRPr="006D163F">
        <w:t xml:space="preserve"> diferentes usos de la vivienda. En materia de indicadores sociales, Fernández-Arroyo (2020) señala que puede conducir a un descenso en el número de hogares (o grupos de personas convivientes) o a un incremento en la cantidad de viviendas desocupadas. Este autor define que el alojamiento es un “elemento indispensable que nos permite hablar de especialización turística: sin su existencia la ocupación de un lugar estaría condicionada por los ciclos diurnos y nocturnos, limitando siempre su apropiación turística a un hecho parcial e inacabado” (2020</w:t>
      </w:r>
      <w:r>
        <w:t xml:space="preserve">, p. </w:t>
      </w:r>
      <w:r w:rsidRPr="006D163F">
        <w:t>61).</w:t>
      </w:r>
    </w:p>
    <w:p w14:paraId="2DF46699" w14:textId="237010A6" w:rsidR="006D163F" w:rsidRDefault="006D163F" w:rsidP="00887FF5">
      <w:pPr>
        <w:pStyle w:val="5TextocomnIIGG"/>
        <w:spacing w:after="120"/>
        <w:ind w:firstLine="567"/>
      </w:pPr>
      <w:r w:rsidRPr="006D163F">
        <w:t xml:space="preserve">Como se anticipó en la introducción, Mantero </w:t>
      </w:r>
      <w:r w:rsidRPr="00436DE5">
        <w:rPr>
          <w:i/>
          <w:iCs/>
        </w:rPr>
        <w:t>et al.</w:t>
      </w:r>
      <w:r w:rsidRPr="006D163F">
        <w:t xml:space="preserve"> (2011) distinguen entre turismo residenciado y turismo serviciado. Según estos autores, el despliegue de una u otra forma de alojamiento sobrelleva diferentes condiciones de desarrollo turístico en relación a variables como perfil socio-económico y demográfico de la demanda turística, beneficios para la población local, formas de convivencia y reglas de comportamiento, actividades y consumos de la población visitante e impactos de orden territorial y urbanístico, entre otras posibilidades. </w:t>
      </w:r>
    </w:p>
    <w:p w14:paraId="74408838" w14:textId="5B0F0E6B" w:rsidR="006D163F" w:rsidRDefault="00347C1A" w:rsidP="0036213B">
      <w:pPr>
        <w:pStyle w:val="5TextocomnIIGG"/>
        <w:spacing w:after="120"/>
        <w:ind w:firstLine="567"/>
      </w:pPr>
      <w:bookmarkStart w:id="2" w:name="_Hlk193051807"/>
      <w:r w:rsidRPr="00347C1A">
        <w:t>Particularmente,</w:t>
      </w:r>
      <w:r w:rsidR="0036213B">
        <w:t xml:space="preserve"> </w:t>
      </w:r>
      <w:r w:rsidRPr="00347C1A">
        <w:t>el turismo residenciado</w:t>
      </w:r>
      <w:r w:rsidR="0036213B">
        <w:t xml:space="preserve"> </w:t>
      </w:r>
      <w:r w:rsidRPr="00347C1A">
        <w:t>no es una práctica nueva</w:t>
      </w:r>
      <w:r w:rsidR="0036213B">
        <w:t xml:space="preserve">. Hiernaux (2015) destaca que ya </w:t>
      </w:r>
      <w:r w:rsidRPr="00347C1A">
        <w:t xml:space="preserve">era ejercido </w:t>
      </w:r>
      <w:r w:rsidR="0036213B">
        <w:t xml:space="preserve">para estancias largas </w:t>
      </w:r>
      <w:r w:rsidRPr="00347C1A">
        <w:t xml:space="preserve">en el siglo XIX, </w:t>
      </w:r>
      <w:r w:rsidR="0036213B">
        <w:t>sobre</w:t>
      </w:r>
      <w:r w:rsidRPr="00347C1A">
        <w:t xml:space="preserve"> áreas rurales, frentes marítimos o zonas de montaña</w:t>
      </w:r>
      <w:r w:rsidR="0036213B">
        <w:t xml:space="preserve">. </w:t>
      </w:r>
      <w:bookmarkEnd w:id="2"/>
      <w:r w:rsidR="00436DE5" w:rsidRPr="00436DE5">
        <w:t>Según autores como García Andreu (2005) y Aledo y Nogués-Pedregal (2019), el término turismo residencial se acuña en España por primera vez en la década de los setenta, en alusión a la venta masiva de suelo a extranjeros. Nace con espíritu crítico, o la intención de denunciar la transformación de territorios, principalmente costeros, promovida por empresas constructoras y agentes inmobiliarios.</w:t>
      </w:r>
      <w:r w:rsidR="00CB15B7">
        <w:t xml:space="preserve"> </w:t>
      </w:r>
      <w:r w:rsidR="00436DE5" w:rsidRPr="00436DE5">
        <w:t>Hiernaux añade que “El desarrollo exponencial del turismo residencial también debe ser asociado con las estrategias neoliberales de reactivar la acumulación de capital mediante el impulso a la construcción” (2015</w:t>
      </w:r>
      <w:r w:rsidR="00436DE5">
        <w:t xml:space="preserve">, p. </w:t>
      </w:r>
      <w:r w:rsidR="00436DE5" w:rsidRPr="00436DE5">
        <w:t xml:space="preserve">608). </w:t>
      </w:r>
      <w:r w:rsidR="00436DE5" w:rsidRPr="00436DE5">
        <w:lastRenderedPageBreak/>
        <w:t>Más allá de estos señalamientos, desde un punto de vista centrado en los sujetos, también se reconoce que, en ocasiones, “los turistas residenciales lideran procesos de defensa del territorio, protección ambiental y revitalización cultural” (Aledo y Nogués-Pedregal, 2019</w:t>
      </w:r>
      <w:r w:rsidR="00436DE5">
        <w:t xml:space="preserve">, p. </w:t>
      </w:r>
      <w:r w:rsidR="00436DE5" w:rsidRPr="00436DE5">
        <w:t>130). En el caso del sudeste bonaerense, el trabajo de campo llevado adelante en la localidad de Chapadmalal comprueba varios de estos accionares (Gordziejczuk</w:t>
      </w:r>
      <w:r w:rsidR="00EF4534">
        <w:t>,</w:t>
      </w:r>
      <w:r w:rsidR="00436DE5" w:rsidRPr="00436DE5">
        <w:t xml:space="preserve"> Ares</w:t>
      </w:r>
      <w:r w:rsidR="00EF4534">
        <w:t xml:space="preserve"> y López</w:t>
      </w:r>
      <w:r w:rsidR="00436DE5" w:rsidRPr="00436DE5">
        <w:t>, 202</w:t>
      </w:r>
      <w:r w:rsidR="00436DE5">
        <w:t>4</w:t>
      </w:r>
      <w:r w:rsidR="00436DE5" w:rsidRPr="00436DE5">
        <w:t>).</w:t>
      </w:r>
    </w:p>
    <w:p w14:paraId="607928AA" w14:textId="0F150802" w:rsidR="00436DE5" w:rsidRDefault="00436DE5" w:rsidP="00887FF5">
      <w:pPr>
        <w:pStyle w:val="5TextocomnIIGG"/>
        <w:spacing w:after="120"/>
        <w:ind w:firstLine="567"/>
      </w:pPr>
      <w:r w:rsidRPr="00436DE5">
        <w:t xml:space="preserve">Partiendo de la vivienda como denominador común, García Andreu (2005) alude a tres realidades: vivienda propia (conocida como segunda residencia), prestada por familiares o amigos y alquilada. Dicha cualidad compartida es la que otorga relevancia a los censos de viviendas como operativos estadísticos y fuentes de </w:t>
      </w:r>
      <w:r>
        <w:t>datos</w:t>
      </w:r>
      <w:r w:rsidRPr="00436DE5">
        <w:t xml:space="preserve"> necesarios para la producción del conocimiento relativo a este fenómeno. A su vez, el autor precitado aclara que la vivienda no es menos turística que otras formas de alojamiento, tanto como el establecimiento comercial que brinda hospedaje no es únicamente para uso turístico, tal como se ejemplificó en la introducción. “(…) la naturaleza de la infraestructura, y en especial el alojamiento por ser nuestro objetivo, no le proporciona el significado turístico, sino que es la situación la que se lo otorga” (2005</w:t>
      </w:r>
      <w:r>
        <w:t xml:space="preserve">, p. </w:t>
      </w:r>
      <w:r w:rsidRPr="00436DE5">
        <w:t xml:space="preserve">60). </w:t>
      </w:r>
    </w:p>
    <w:p w14:paraId="6D2C1F25" w14:textId="6FC1E9F9" w:rsidR="00436DE5" w:rsidRDefault="00436DE5" w:rsidP="00887FF5">
      <w:pPr>
        <w:pStyle w:val="5TextocomnIIGG"/>
        <w:spacing w:after="120"/>
        <w:ind w:firstLine="567"/>
      </w:pPr>
      <w:r w:rsidRPr="00436DE5">
        <w:t>El fenómeno de la segunda residencia adquiere trascendencia social y académica a mediados del siglo XX (Hiernaux, 2006), cuando “(…) el ocio y el tiempo libre comienzan a ser importantes, al mismo tiempo que las condiciones de vida se deterioran en las ciudades” (Díaz Hernández y Domínguez Mújica, 2015</w:t>
      </w:r>
      <w:r>
        <w:t xml:space="preserve">, p. </w:t>
      </w:r>
      <w:r w:rsidRPr="00436DE5">
        <w:t>548). En base a los recién citados autores, se puede decir que, con el tiempo, se establecieron principalmente tres grupos. Por un lado, las casas ubicadas en proximidades al lugar de residencia habitual y que suelen ser el destino de las escapadas de fin de semana, feriados y días festivos, por otro, los departamentos localizados en frentes urbanos costeros, y finalmente, las viviendas radicadas en pueblos o pequeñas localidades asociadas al origen familiar y lo hereditario.</w:t>
      </w:r>
    </w:p>
    <w:p w14:paraId="0D9B9917" w14:textId="250921B0" w:rsidR="00C83318" w:rsidRDefault="00C83318" w:rsidP="00887FF5">
      <w:pPr>
        <w:pStyle w:val="5TextocomnIIGG"/>
        <w:spacing w:after="120"/>
        <w:ind w:firstLine="567"/>
      </w:pPr>
      <w:r w:rsidRPr="00C83318">
        <w:t>Respecto al alquiler de viviendas para uso turístico, lo más sobresaliente en los últimos años fue la consolidación de un nuevo actor social turistificador e interviniente en la intermediación entre oferta y demanda turística, representado por plataformas digitales como Airbnb y Booking. Diaz Parra y Sequera (2021) indican que la proliferación de esta alternativa de alojamiento se asocia más a un extractivismo urbano y rentismo inmobiliario que a una práctica cercana a los principios de una economía colaborativa, tal como se planteaba en sus orígenes. El conocimiento sobre el impacto territorial que en América Latina genera este tipo de plataformas es aún incipiente. No obstante, la posibilidad de contar con datos provenientes del sitio web Inside Airbnb permitió a Lerena Rongvaux (2022) explorar la dinámica del alquiler temporario y la mercantilización de la vivienda en la Ciudad Autónoma de Buenos Aires, hasta ahora el único punto de la Argentina sobre el que dicho sitio difunde información.</w:t>
      </w:r>
    </w:p>
    <w:p w14:paraId="3903FD83" w14:textId="704E6E96" w:rsidR="00C83318" w:rsidRDefault="00C83318" w:rsidP="00887FF5">
      <w:pPr>
        <w:pStyle w:val="5TextocomnIIGG"/>
        <w:spacing w:after="120"/>
        <w:ind w:firstLine="567"/>
      </w:pPr>
      <w:r w:rsidRPr="00C83318">
        <w:t xml:space="preserve">En relación </w:t>
      </w:r>
      <w:r w:rsidR="003702B5" w:rsidRPr="003702B5">
        <w:t>a la hotelería convencional</w:t>
      </w:r>
      <w:r w:rsidR="003702B5">
        <w:t xml:space="preserve"> y la </w:t>
      </w:r>
      <w:r w:rsidRPr="00C83318">
        <w:t xml:space="preserve">turistificación </w:t>
      </w:r>
      <w:r w:rsidR="003702B5">
        <w:t>contemporánea</w:t>
      </w:r>
      <w:r w:rsidRPr="00C83318">
        <w:t>, Calle Vaquero (2019) subraya que las opciones de alojamiento en residencias compiten cada vez más con el sector hotelero. La figura del hotel dejó de ser un protagonista indiscutible de la escena turística (García Andreu, 2005), y tras ello se encuentran factores no solo económicos, sino también políticos y culturales.</w:t>
      </w:r>
    </w:p>
    <w:p w14:paraId="52C65764" w14:textId="07494B8A" w:rsidR="00C83318" w:rsidRDefault="00C83318" w:rsidP="00887FF5">
      <w:pPr>
        <w:pStyle w:val="5TextocomnIIGG"/>
        <w:spacing w:after="120"/>
        <w:ind w:firstLine="567"/>
      </w:pPr>
      <w:r w:rsidRPr="00C83318">
        <w:t>Finalmente, respecto al turismo serviciado se aclara que abarca “todos aquellos establecimientos que se dedican profesional y habitualmente a proporcionar alojamiento a las personas, mediante precio, con o sin servicios de carácter complementario” (Mestres Soler, 1999, c</w:t>
      </w:r>
      <w:r>
        <w:t>omo se citó en</w:t>
      </w:r>
      <w:r w:rsidRPr="00C83318">
        <w:t xml:space="preserve"> Naradowski,</w:t>
      </w:r>
      <w:r>
        <w:t xml:space="preserve"> </w:t>
      </w:r>
      <w:r w:rsidRPr="002615AF">
        <w:t>Remes Lenicov</w:t>
      </w:r>
      <w:r>
        <w:t xml:space="preserve"> y</w:t>
      </w:r>
      <w:r w:rsidRPr="002615AF">
        <w:t xml:space="preserve"> Mallamace</w:t>
      </w:r>
      <w:r>
        <w:t>,</w:t>
      </w:r>
      <w:r w:rsidRPr="00C83318">
        <w:t xml:space="preserve"> 2014</w:t>
      </w:r>
      <w:r>
        <w:t xml:space="preserve">, p. </w:t>
      </w:r>
      <w:r w:rsidRPr="00C83318">
        <w:t xml:space="preserve">873). En la actualidad, variables como categoría, dimensiones, localización, funcionamiento independiente o bajo franquicia y servicios incluidos configuran una oferta diversa y compleja de analizar. La multiplicidad de formas que adquirió con el paso del tiempo este tipo de establecimientos guarda relación con la evolución misma del turismo y el empeño del sector privado por adecuar </w:t>
      </w:r>
      <w:r w:rsidRPr="00C83318">
        <w:lastRenderedPageBreak/>
        <w:t>su oferta y satisfacer una demanda cada vez más específica en términos de calidad de atención. “Argentina acompaña esta tendencia fundamentalmente en estos últimos años, con el desarrollo de una oferta de alojamientos muy diversificada” (</w:t>
      </w:r>
      <w:r>
        <w:t>Secretaría de Turismo de la Nación [</w:t>
      </w:r>
      <w:r w:rsidR="0036213B">
        <w:t xml:space="preserve">SECTUR], </w:t>
      </w:r>
      <w:r w:rsidRPr="00C83318">
        <w:t>2008</w:t>
      </w:r>
      <w:r w:rsidR="0036213B">
        <w:t xml:space="preserve">, p. </w:t>
      </w:r>
      <w:r w:rsidRPr="00C83318">
        <w:t xml:space="preserve">11). No obstante, el Instituto Nacional de Estadística y Censos (INDEC) clasifica entre establecimientos hoteleros y parahoteleros. Mientras que los primeros son aquellos categorizados como hoteles de </w:t>
      </w:r>
      <w:r w:rsidR="0036213B">
        <w:t>1</w:t>
      </w:r>
      <w:r w:rsidRPr="00C83318">
        <w:t xml:space="preserve"> a </w:t>
      </w:r>
      <w:r w:rsidR="0036213B">
        <w:t>5</w:t>
      </w:r>
      <w:r w:rsidRPr="00C83318">
        <w:t xml:space="preserve"> estrellas, apart hoteles y hoteles boutique, el segundo tipo engloba a hoteles sindicales, albergues, cabañas, bungalows, hospedajes, bed &amp; breakfasts, hosterías y hostels, entre otras opciones (INDEC, 2020). La turistificación está profundamente ligada al sector hotelero y parahotelero, puesto que este alude a un actor clave en la transformación y adaptación de los territorios al turismo. El crecimiento de la demanda turística incentiva nuevas construcciones, ampliaciones y modernizaciones de los equipamientos ya existentes, cambios en la dinámica de barrios turísticos y mayor nivel competencia y especialización entre los lugares de destino.</w:t>
      </w:r>
    </w:p>
    <w:p w14:paraId="0D231EB1" w14:textId="77777777" w:rsidR="00887FF5" w:rsidRDefault="00887FF5" w:rsidP="002E47F3">
      <w:pPr>
        <w:pStyle w:val="4TtulosepgrafesIIGG"/>
        <w:spacing w:after="120"/>
      </w:pPr>
    </w:p>
    <w:p w14:paraId="716531C6" w14:textId="1CEEDFEF" w:rsidR="00026DAC" w:rsidRPr="00026DAC" w:rsidRDefault="00026DAC" w:rsidP="002E47F3">
      <w:pPr>
        <w:pStyle w:val="4TtulosepgrafesIIGG"/>
        <w:spacing w:after="120"/>
      </w:pPr>
      <w:r w:rsidRPr="00026DAC">
        <w:t>2. M</w:t>
      </w:r>
      <w:r w:rsidR="00EB67E4">
        <w:t xml:space="preserve">ateriales y </w:t>
      </w:r>
      <w:r w:rsidR="00325DC9">
        <w:t>m</w:t>
      </w:r>
      <w:r w:rsidR="00325DC9" w:rsidRPr="00026DAC">
        <w:t>étodo</w:t>
      </w:r>
      <w:r w:rsidR="00325DC9">
        <w:t>s</w:t>
      </w:r>
    </w:p>
    <w:p w14:paraId="58FA8539" w14:textId="77777777" w:rsidR="00307A10" w:rsidRDefault="00307A10" w:rsidP="00307A10">
      <w:pPr>
        <w:pStyle w:val="5TextocomnIIGG"/>
        <w:spacing w:after="120"/>
        <w:ind w:firstLine="567"/>
      </w:pPr>
      <w:r w:rsidRPr="00307A10">
        <w:t>A continuación, se presentan las fuentes de datos halladas para dar respuesta a</w:t>
      </w:r>
      <w:r>
        <w:t>l</w:t>
      </w:r>
      <w:r w:rsidRPr="00307A10">
        <w:t xml:space="preserve"> objetivo planteado. En base a las nociones de turismo residenciado y serviciado, estas serán utilizadas para revelar cambios y continuidades en la estructura territorial y distribución espacial del alojamiento en el sudeste de la Provincia de Buenos Aires.</w:t>
      </w:r>
    </w:p>
    <w:p w14:paraId="1DD5C535" w14:textId="77777777" w:rsidR="00307A10" w:rsidRDefault="00307A10" w:rsidP="00307A10">
      <w:pPr>
        <w:pStyle w:val="4TtulosepgrafesIIGG"/>
        <w:spacing w:after="120"/>
      </w:pPr>
    </w:p>
    <w:p w14:paraId="166A6321" w14:textId="797369B8" w:rsidR="00307A10" w:rsidRPr="000C7894" w:rsidRDefault="00307A10" w:rsidP="00307A10">
      <w:pPr>
        <w:pStyle w:val="4TtulosepgrafesIIGG"/>
        <w:spacing w:after="120"/>
      </w:pPr>
      <w:r>
        <w:t>2</w:t>
      </w:r>
      <w:r w:rsidRPr="00026DAC">
        <w:t>.1. F</w:t>
      </w:r>
      <w:r>
        <w:t>uente relativa al turismo residenciado</w:t>
      </w:r>
    </w:p>
    <w:p w14:paraId="1BAC7FD3" w14:textId="0E72B186" w:rsidR="00026DAC" w:rsidRDefault="00307A10" w:rsidP="00307A10">
      <w:pPr>
        <w:pStyle w:val="5TextocomnIIGG"/>
        <w:spacing w:after="120"/>
        <w:ind w:firstLine="567"/>
      </w:pPr>
      <w:r w:rsidRPr="00307A10">
        <w:t>Tal como especifica Lucero (2022), los Censos Nacionales de Población, Hogares y Viviendas (CNPHyV) son operativos universales, simultáneos y periódicos que tienen la finalidad de conocer la cantidad, características sociodemográficas y distribución espacial de la población, y de otras unidades de cuenta u observación que se fueron añadiendo a lo largo del siglo XX, como son la vivienda y la familia (reemplazada a partir del siglo XXI por el concepto de hogar).</w:t>
      </w:r>
      <w:r>
        <w:t xml:space="preserve"> C</w:t>
      </w:r>
      <w:r w:rsidRPr="00307A10">
        <w:t>on el objetivo de focalizar el planteo de políticas públicas, la organización de estos relevamientos comprende la clasificación entre viviendas particulares y viviendas colectivas o institucionales. Específicamente, a la vivienda particular se la define como aquella “destinada a alojar personas que viven bajo un régimen de tipo familiar, sean parientes o no</w:t>
      </w:r>
      <w:r>
        <w:t xml:space="preserve"> [, pudiendo]</w:t>
      </w:r>
      <w:r w:rsidRPr="00307A10">
        <w:t xml:space="preserve"> haber sido construidas con fines habitacionales o estar adaptadas para alojar personas” (INDEC, 2023</w:t>
      </w:r>
      <w:r>
        <w:t xml:space="preserve">, p. </w:t>
      </w:r>
      <w:r w:rsidRPr="00307A10">
        <w:t>95). Para el registro y la clasificación de las viviendas particulares, se suele establecer una categoría censal u opción de respuesta que guarda relación con el turismo residenciado. Pese a esta afirmación, “(…) la cuantificación de las plazas de alojamiento de carácter inmobiliario ligado, en principio a la actividad turística, resulta difícil” (García Andreu, 2005</w:t>
      </w:r>
      <w:r>
        <w:t xml:space="preserve">, p. </w:t>
      </w:r>
      <w:r w:rsidRPr="00307A10">
        <w:t>56).</w:t>
      </w:r>
    </w:p>
    <w:p w14:paraId="6928BCE6" w14:textId="1BA1430F" w:rsidR="00307A10" w:rsidRDefault="00307A10" w:rsidP="00307A10">
      <w:pPr>
        <w:pStyle w:val="5TextocomnIIGG"/>
        <w:spacing w:after="120"/>
        <w:ind w:firstLine="567"/>
      </w:pPr>
      <w:r w:rsidRPr="00307A10">
        <w:t>La Tabla 1 es el resultado del seguimiento realizado a través de</w:t>
      </w:r>
      <w:r>
        <w:t xml:space="preserve"> </w:t>
      </w:r>
      <w:r w:rsidRPr="00307A10">
        <w:t xml:space="preserve">documentos oficiales correspondientes a los censos de 1991, 2001, 2010 y 2022. El motivo por el cual se parte del operativo correspondiente a la década del noventa es que fue el primero en el cual se instauraron categorías de desocupación de la vivienda. En dicha tabla se pueden apreciar cambios y continuidades vinculadas a la variable denominada generalmente como </w:t>
      </w:r>
      <w:r w:rsidRPr="00307A10">
        <w:rPr>
          <w:i/>
          <w:iCs/>
        </w:rPr>
        <w:t>condición de ocupación de la vivienda</w:t>
      </w:r>
      <w:r w:rsidRPr="00307A10">
        <w:t xml:space="preserve"> y que, en parte, remiten a la historia del ocio, tiempo libre y turismo. De forma ininterrumpida, estos aspectos se sostienen como una preocupación y ocupación del INDEC, aunque en los sucesivos censos se plasman modificaciones terminológicas que parecen ir a destiempo de los cambios sociales, del mismo modo que Lucero (2022) reveló para el caso de otras variables no necesariamente vinculadas a la vivienda.</w:t>
      </w:r>
    </w:p>
    <w:p w14:paraId="7FA19A2B" w14:textId="77777777" w:rsidR="00F90F49" w:rsidRDefault="00F90F49" w:rsidP="00307A10">
      <w:pPr>
        <w:pStyle w:val="5TextocomnIIGG"/>
        <w:spacing w:after="120"/>
        <w:ind w:firstLine="567"/>
      </w:pPr>
    </w:p>
    <w:p w14:paraId="266C5947" w14:textId="1A5177B8" w:rsidR="00307A10" w:rsidRPr="00F90F49" w:rsidRDefault="00307A10" w:rsidP="00307A10">
      <w:pPr>
        <w:pStyle w:val="7FigurasytablasencabezadoIIGG"/>
        <w:rPr>
          <w:b/>
          <w:bCs/>
        </w:rPr>
      </w:pPr>
      <w:r w:rsidRPr="00F90F49">
        <w:rPr>
          <w:b/>
          <w:bCs/>
        </w:rPr>
        <w:lastRenderedPageBreak/>
        <w:t>Tabla 1. Evolución de la categoría censal afín al turismo residenciado*</w:t>
      </w:r>
    </w:p>
    <w:tbl>
      <w:tblPr>
        <w:tblStyle w:val="Tablaconcuadrcula"/>
        <w:tblW w:w="5000" w:type="pct"/>
        <w:jc w:val="center"/>
        <w:tblLook w:val="04A0" w:firstRow="1" w:lastRow="0" w:firstColumn="1" w:lastColumn="0" w:noHBand="0" w:noVBand="1"/>
      </w:tblPr>
      <w:tblGrid>
        <w:gridCol w:w="843"/>
        <w:gridCol w:w="1556"/>
        <w:gridCol w:w="1991"/>
        <w:gridCol w:w="4670"/>
      </w:tblGrid>
      <w:tr w:rsidR="00307A10" w:rsidRPr="00C540A0" w14:paraId="2AFAADB0" w14:textId="77B66AAB" w:rsidTr="00030B00">
        <w:trPr>
          <w:jc w:val="center"/>
        </w:trPr>
        <w:tc>
          <w:tcPr>
            <w:tcW w:w="465" w:type="pct"/>
          </w:tcPr>
          <w:p w14:paraId="25A9B6D6" w14:textId="6662D56C" w:rsidR="00307A10" w:rsidRPr="00D821B0" w:rsidRDefault="00307A10" w:rsidP="00F2695C">
            <w:pPr>
              <w:pStyle w:val="5TextocomnIIGG"/>
              <w:spacing w:after="120"/>
              <w:jc w:val="center"/>
              <w:rPr>
                <w:b/>
              </w:rPr>
            </w:pPr>
            <w:r>
              <w:rPr>
                <w:b/>
              </w:rPr>
              <w:t>Censo</w:t>
            </w:r>
          </w:p>
        </w:tc>
        <w:tc>
          <w:tcPr>
            <w:tcW w:w="859" w:type="pct"/>
          </w:tcPr>
          <w:p w14:paraId="7AD7F280" w14:textId="7753CFD5" w:rsidR="00307A10" w:rsidRPr="00D821B0" w:rsidRDefault="00307A10" w:rsidP="00F2695C">
            <w:pPr>
              <w:pStyle w:val="5TextocomnIIGG"/>
              <w:spacing w:after="120"/>
              <w:jc w:val="center"/>
              <w:rPr>
                <w:b/>
              </w:rPr>
            </w:pPr>
            <w:r>
              <w:rPr>
                <w:b/>
              </w:rPr>
              <w:t>Variable</w:t>
            </w:r>
          </w:p>
        </w:tc>
        <w:tc>
          <w:tcPr>
            <w:tcW w:w="1099" w:type="pct"/>
          </w:tcPr>
          <w:p w14:paraId="497F12A2" w14:textId="3B78BED2" w:rsidR="00307A10" w:rsidRPr="00D821B0" w:rsidRDefault="00307A10" w:rsidP="00F2695C">
            <w:pPr>
              <w:pStyle w:val="5TextocomnIIGG"/>
              <w:spacing w:after="120"/>
              <w:jc w:val="center"/>
              <w:rPr>
                <w:b/>
              </w:rPr>
            </w:pPr>
            <w:r>
              <w:rPr>
                <w:b/>
              </w:rPr>
              <w:t xml:space="preserve">Categoría/opción </w:t>
            </w:r>
          </w:p>
        </w:tc>
        <w:tc>
          <w:tcPr>
            <w:tcW w:w="2577" w:type="pct"/>
          </w:tcPr>
          <w:p w14:paraId="2C270FE5" w14:textId="15EDA7F0" w:rsidR="00307A10" w:rsidRPr="00D821B0" w:rsidRDefault="00307A10" w:rsidP="00F2695C">
            <w:pPr>
              <w:pStyle w:val="5TextocomnIIGG"/>
              <w:spacing w:after="120"/>
              <w:jc w:val="center"/>
              <w:rPr>
                <w:b/>
              </w:rPr>
            </w:pPr>
            <w:r>
              <w:rPr>
                <w:b/>
              </w:rPr>
              <w:t>Definición</w:t>
            </w:r>
          </w:p>
        </w:tc>
      </w:tr>
      <w:tr w:rsidR="00030B00" w:rsidRPr="00C540A0" w14:paraId="616B66D5" w14:textId="71997BB6" w:rsidTr="00030B00">
        <w:trPr>
          <w:jc w:val="center"/>
        </w:trPr>
        <w:tc>
          <w:tcPr>
            <w:tcW w:w="465" w:type="pct"/>
          </w:tcPr>
          <w:p w14:paraId="6DE614CC" w14:textId="1F2EE1F3" w:rsidR="00030B00" w:rsidRPr="00C540A0" w:rsidRDefault="00030B00" w:rsidP="00030B00">
            <w:pPr>
              <w:pStyle w:val="5TextocomnIIGG"/>
              <w:spacing w:after="120"/>
            </w:pPr>
            <w:r>
              <w:t>1991</w:t>
            </w:r>
          </w:p>
        </w:tc>
        <w:tc>
          <w:tcPr>
            <w:tcW w:w="859" w:type="pct"/>
          </w:tcPr>
          <w:p w14:paraId="2EB8CA79" w14:textId="1FBA223D" w:rsidR="00030B00" w:rsidRPr="00C540A0" w:rsidRDefault="00030B00" w:rsidP="00030B00">
            <w:pPr>
              <w:pStyle w:val="5TextocomnIIGG"/>
              <w:spacing w:after="120"/>
            </w:pPr>
            <w:r>
              <w:t>Condición de ocupación de la vivienda (desocupada).</w:t>
            </w:r>
          </w:p>
        </w:tc>
        <w:tc>
          <w:tcPr>
            <w:tcW w:w="1099" w:type="pct"/>
          </w:tcPr>
          <w:p w14:paraId="023C613F" w14:textId="59BD1B77" w:rsidR="00030B00" w:rsidRPr="00C540A0" w:rsidRDefault="00030B00" w:rsidP="00030B00">
            <w:pPr>
              <w:pStyle w:val="5TextocomnIIGG"/>
              <w:spacing w:after="120"/>
            </w:pPr>
            <w:r w:rsidRPr="00030B00">
              <w:t>La vivienda se usa para veraneo o fin de semana</w:t>
            </w:r>
            <w:r>
              <w:t>.</w:t>
            </w:r>
          </w:p>
        </w:tc>
        <w:tc>
          <w:tcPr>
            <w:tcW w:w="2577" w:type="pct"/>
          </w:tcPr>
          <w:p w14:paraId="282BE5D0" w14:textId="139EA10C" w:rsidR="00030B00" w:rsidRPr="00C540A0" w:rsidRDefault="00030B00" w:rsidP="00030B00">
            <w:pPr>
              <w:pStyle w:val="5TextocomnIIGG"/>
              <w:spacing w:after="120"/>
            </w:pPr>
            <w:r w:rsidRPr="00030B00">
              <w:t>Vivienda particular utilizada en períodos de descanso, tanto de fin de semana como por vacaciones. Por ejemplo: casa-quinta, viviendas en country clubs o en zona de veraneo (INDEC, 1994</w:t>
            </w:r>
            <w:r>
              <w:t xml:space="preserve">, p. </w:t>
            </w:r>
            <w:r w:rsidRPr="00030B00">
              <w:t>19).</w:t>
            </w:r>
          </w:p>
        </w:tc>
      </w:tr>
      <w:tr w:rsidR="00030B00" w:rsidRPr="00C540A0" w14:paraId="119C7CDE" w14:textId="371C173B" w:rsidTr="00030B00">
        <w:trPr>
          <w:jc w:val="center"/>
        </w:trPr>
        <w:tc>
          <w:tcPr>
            <w:tcW w:w="465" w:type="pct"/>
          </w:tcPr>
          <w:p w14:paraId="7054D504" w14:textId="18E2165E" w:rsidR="00030B00" w:rsidRPr="00C540A0" w:rsidRDefault="00030B00" w:rsidP="00030B00">
            <w:pPr>
              <w:pStyle w:val="5TextocomnIIGG"/>
              <w:spacing w:after="120"/>
            </w:pPr>
            <w:r>
              <w:t>2001</w:t>
            </w:r>
          </w:p>
        </w:tc>
        <w:tc>
          <w:tcPr>
            <w:tcW w:w="859" w:type="pct"/>
          </w:tcPr>
          <w:p w14:paraId="017CF0EB" w14:textId="42C040F6" w:rsidR="00030B00" w:rsidRPr="00AD746C" w:rsidRDefault="00030B00" w:rsidP="00030B00">
            <w:pPr>
              <w:pStyle w:val="5TextocomnIIGG"/>
              <w:spacing w:after="120"/>
            </w:pPr>
            <w:r w:rsidRPr="00AD746C">
              <w:t>Motivo de no realización de la entrevista.</w:t>
            </w:r>
          </w:p>
        </w:tc>
        <w:tc>
          <w:tcPr>
            <w:tcW w:w="1099" w:type="pct"/>
          </w:tcPr>
          <w:p w14:paraId="31332197" w14:textId="46D38BDB" w:rsidR="00030B00" w:rsidRPr="00AD746C" w:rsidRDefault="00030B00" w:rsidP="00030B00">
            <w:pPr>
              <w:pStyle w:val="5TextocomnIIGG"/>
              <w:spacing w:after="120"/>
            </w:pPr>
            <w:r w:rsidRPr="00AD746C">
              <w:t>La vivienda se usa para vacaciones o fin de semana.</w:t>
            </w:r>
          </w:p>
        </w:tc>
        <w:tc>
          <w:tcPr>
            <w:tcW w:w="2577" w:type="pct"/>
          </w:tcPr>
          <w:p w14:paraId="4BB414E4" w14:textId="79B8E7F6" w:rsidR="00030B00" w:rsidRPr="00AD746C" w:rsidRDefault="00030B00" w:rsidP="00030B00">
            <w:pPr>
              <w:pStyle w:val="5TextocomnIIGG"/>
              <w:spacing w:after="120"/>
            </w:pPr>
            <w:r w:rsidRPr="00AD746C">
              <w:t>Vivienda construida originalmente para que habiten personas que en el momento del censo, no está habitada por las mismas y se utiliza en períodos de descanso, tanto de fin de semana como por vacaciones. Por ejemplo: casa quinta, viviendas en country, en clubes, en zonas de vacaciones (INDEC, s/d, p. 3).</w:t>
            </w:r>
            <w:r w:rsidRPr="00AD746C">
              <w:tab/>
            </w:r>
          </w:p>
        </w:tc>
      </w:tr>
      <w:tr w:rsidR="00030B00" w:rsidRPr="00C540A0" w14:paraId="781558AA" w14:textId="56923C3A" w:rsidTr="00030B00">
        <w:trPr>
          <w:jc w:val="center"/>
        </w:trPr>
        <w:tc>
          <w:tcPr>
            <w:tcW w:w="465" w:type="pct"/>
          </w:tcPr>
          <w:p w14:paraId="3B6F1BEA" w14:textId="57BB463E" w:rsidR="00030B00" w:rsidRPr="00C540A0" w:rsidRDefault="00030B00" w:rsidP="00030B00">
            <w:pPr>
              <w:pStyle w:val="5TextocomnIIGG"/>
              <w:spacing w:after="120"/>
            </w:pPr>
            <w:r>
              <w:t>2010</w:t>
            </w:r>
          </w:p>
        </w:tc>
        <w:tc>
          <w:tcPr>
            <w:tcW w:w="859" w:type="pct"/>
          </w:tcPr>
          <w:p w14:paraId="308EB83D" w14:textId="6488ECF0" w:rsidR="00030B00" w:rsidRPr="00AD746C" w:rsidRDefault="00030B00" w:rsidP="00030B00">
            <w:pPr>
              <w:pStyle w:val="5TextocomnIIGG"/>
              <w:spacing w:after="120"/>
            </w:pPr>
            <w:r w:rsidRPr="00AD746C">
              <w:t>Condición de ocupación de la vivienda (desocupada).</w:t>
            </w:r>
          </w:p>
        </w:tc>
        <w:tc>
          <w:tcPr>
            <w:tcW w:w="1099" w:type="pct"/>
          </w:tcPr>
          <w:p w14:paraId="6E3EBE3F" w14:textId="3CA9326A" w:rsidR="00030B00" w:rsidRPr="00AD746C" w:rsidRDefault="00030B00" w:rsidP="00030B00">
            <w:pPr>
              <w:pStyle w:val="5TextocomnIIGG"/>
              <w:spacing w:after="120"/>
            </w:pPr>
            <w:r w:rsidRPr="00AD746C">
              <w:t>La vivienda se usa para vacaciones, fin de semana u otro uso temporal.</w:t>
            </w:r>
          </w:p>
        </w:tc>
        <w:tc>
          <w:tcPr>
            <w:tcW w:w="2577" w:type="pct"/>
          </w:tcPr>
          <w:p w14:paraId="431D6F43" w14:textId="046DB18D" w:rsidR="00030B00" w:rsidRPr="00AD746C" w:rsidRDefault="00030B00" w:rsidP="00030B00">
            <w:pPr>
              <w:pStyle w:val="5TextocomnIIGG"/>
              <w:spacing w:after="120"/>
            </w:pPr>
            <w:r w:rsidRPr="00AD746C">
              <w:t>Vivienda construida originalmente para que habiten personas, pero que la noche de referencia del Censo no tuvo personas que pasaran la noche, y que se utiliza en períodos de descanso (fin de semana, vacaciones) o en otro uso temporario (alquiler a extranjeros, viajes de trabajo). Por ejemplo: casa quinta, viviendas en country, en clubes, en zonas de veraneo o vacaciones de invierno (INDEC, 2017, p. 4).</w:t>
            </w:r>
          </w:p>
        </w:tc>
      </w:tr>
      <w:tr w:rsidR="00030B00" w:rsidRPr="00C540A0" w14:paraId="51A1F3C1" w14:textId="5B423049" w:rsidTr="00030B00">
        <w:trPr>
          <w:jc w:val="center"/>
        </w:trPr>
        <w:tc>
          <w:tcPr>
            <w:tcW w:w="465" w:type="pct"/>
          </w:tcPr>
          <w:p w14:paraId="65F7739B" w14:textId="46F6E09D" w:rsidR="00030B00" w:rsidRPr="00C540A0" w:rsidRDefault="00030B00" w:rsidP="00030B00">
            <w:pPr>
              <w:pStyle w:val="5TextocomnIIGG"/>
              <w:spacing w:after="120"/>
            </w:pPr>
            <w:r>
              <w:t>2022</w:t>
            </w:r>
          </w:p>
        </w:tc>
        <w:tc>
          <w:tcPr>
            <w:tcW w:w="859" w:type="pct"/>
          </w:tcPr>
          <w:p w14:paraId="611AF944" w14:textId="73F6AFA4" w:rsidR="00030B00" w:rsidRPr="00AD746C" w:rsidRDefault="00030B00" w:rsidP="00030B00">
            <w:pPr>
              <w:pStyle w:val="5TextocomnIIGG"/>
              <w:spacing w:after="120"/>
            </w:pPr>
            <w:r w:rsidRPr="00AD746C">
              <w:t>Condición de ocupación de la vivienda (desocupada).</w:t>
            </w:r>
          </w:p>
        </w:tc>
        <w:tc>
          <w:tcPr>
            <w:tcW w:w="1099" w:type="pct"/>
          </w:tcPr>
          <w:p w14:paraId="23A00EDE" w14:textId="41FFEEE4" w:rsidR="00030B00" w:rsidRPr="00AD746C" w:rsidRDefault="00030B00" w:rsidP="00030B00">
            <w:pPr>
              <w:pStyle w:val="5TextocomnIIGG"/>
              <w:spacing w:after="120"/>
            </w:pPr>
            <w:r w:rsidRPr="00AD746C">
              <w:t>La vivienda se usa para vacaciones, fin de semana, como segunda residencia u otro uso temporal.</w:t>
            </w:r>
          </w:p>
          <w:p w14:paraId="62D99E7C" w14:textId="66BD20F0" w:rsidR="00030B00" w:rsidRPr="00AD746C" w:rsidRDefault="00030B00" w:rsidP="00030B00">
            <w:pPr>
              <w:pStyle w:val="5TextocomnIIGG"/>
              <w:spacing w:after="120"/>
            </w:pPr>
          </w:p>
        </w:tc>
        <w:tc>
          <w:tcPr>
            <w:tcW w:w="2577" w:type="pct"/>
          </w:tcPr>
          <w:p w14:paraId="15433D49" w14:textId="379B2880" w:rsidR="00030B00" w:rsidRPr="00AD746C" w:rsidRDefault="00030B00" w:rsidP="00030B00">
            <w:pPr>
              <w:pStyle w:val="5TextocomnIIGG"/>
              <w:spacing w:after="120"/>
            </w:pPr>
            <w:r w:rsidRPr="00AD746C">
              <w:t>Vivienda construida originalmente para que habiten personas pero que se utiliza en períodos de descanso (fin de semana, vacaciones) o bien para otro uso temporario (por ejemplo, alquiler temporal a extranjeros, viajes de trabajo) y en la que, al momento del Censo, no viven personas. Por ejemplo: casa quinta, viviendas en barrios privados, en clubes, en zonas de veraneo o utilizadas para vacaciones de invierno (INDEC, 2024, p. 11).</w:t>
            </w:r>
          </w:p>
        </w:tc>
      </w:tr>
    </w:tbl>
    <w:p w14:paraId="4D1124DB" w14:textId="4E2F68F8" w:rsidR="00307A10" w:rsidRPr="00026DAC" w:rsidRDefault="00307A10" w:rsidP="00307A10">
      <w:pPr>
        <w:pStyle w:val="9FigurasytablasleyendaIIGG"/>
        <w:spacing w:after="120"/>
      </w:pPr>
      <w:r w:rsidRPr="00026DAC">
        <w:t xml:space="preserve">* </w:t>
      </w:r>
      <w:r>
        <w:t>L</w:t>
      </w:r>
      <w:r w:rsidR="00030B00">
        <w:t xml:space="preserve">os cambios señalados en negrita están a cargo del autor. </w:t>
      </w:r>
    </w:p>
    <w:p w14:paraId="25BFB50F" w14:textId="40C3A4D4" w:rsidR="00307A10" w:rsidRDefault="00ED1839" w:rsidP="00307A10">
      <w:pPr>
        <w:pStyle w:val="8FigurasyTablasFuenteyoelaboracin"/>
        <w:spacing w:after="120"/>
      </w:pPr>
      <w:r>
        <w:t xml:space="preserve">Fuente: </w:t>
      </w:r>
      <w:r w:rsidR="009C778E" w:rsidRPr="009C778E">
        <w:t xml:space="preserve">INDEC </w:t>
      </w:r>
      <w:r w:rsidR="009C778E">
        <w:t>(</w:t>
      </w:r>
      <w:r w:rsidR="009C778E" w:rsidRPr="009C778E">
        <w:t>1994, s/d, 2017 y 2024</w:t>
      </w:r>
      <w:r w:rsidR="009C778E">
        <w:t xml:space="preserve">). </w:t>
      </w:r>
      <w:r w:rsidR="00307A10" w:rsidRPr="00735CD9">
        <w:t>Elaboración</w:t>
      </w:r>
      <w:r w:rsidR="00307A10" w:rsidRPr="00026DAC">
        <w:t xml:space="preserve"> propia</w:t>
      </w:r>
    </w:p>
    <w:p w14:paraId="6722BDCC" w14:textId="27A9DAEF" w:rsidR="00307A10" w:rsidRDefault="00201BFC" w:rsidP="00307A10">
      <w:pPr>
        <w:pStyle w:val="5TextocomnIIGG"/>
        <w:spacing w:after="120"/>
        <w:ind w:firstLine="567"/>
      </w:pPr>
      <w:r w:rsidRPr="00201BFC">
        <w:t>Pese a que la noción de vacaciones se extiende socialmente en Argentina durante la década del cuarenta del siglo XX por medio del proceso de sanción del derecho a las vacaciones pagas y el contexto de democratización del bienestar (Pastoriza, 2011), cuatro décadas después, durante la ronda censal de los años noventa, el organismo estatal optó por incorporar en la categoría censal la expresión veraneo</w:t>
      </w:r>
      <w:r>
        <w:t>. Esta</w:t>
      </w:r>
      <w:r w:rsidRPr="00201BFC">
        <w:t xml:space="preserve"> se vincula a “un turismo masificado, banal e incluso alienador para la clase trabajadora” (Obrador, Crang y Travlou</w:t>
      </w:r>
      <w:r>
        <w:t>,</w:t>
      </w:r>
      <w:r w:rsidRPr="00201BFC">
        <w:t xml:space="preserve"> 2009, </w:t>
      </w:r>
      <w:r w:rsidRPr="00E01DC9">
        <w:t>como se citó en</w:t>
      </w:r>
      <w:r w:rsidRPr="00201BFC">
        <w:t xml:space="preserve"> Domínguez </w:t>
      </w:r>
      <w:r w:rsidRPr="00201BFC">
        <w:rPr>
          <w:i/>
          <w:iCs/>
        </w:rPr>
        <w:t>et al.</w:t>
      </w:r>
      <w:r w:rsidRPr="00201BFC">
        <w:t>, 2016</w:t>
      </w:r>
      <w:r>
        <w:t xml:space="preserve">, p. </w:t>
      </w:r>
      <w:r w:rsidRPr="00201BFC">
        <w:t>136), y ya no era la única forma de turismo existente en Argentina.</w:t>
      </w:r>
    </w:p>
    <w:p w14:paraId="5783F4BD" w14:textId="1E55D972" w:rsidR="00201BFC" w:rsidRDefault="00201BFC" w:rsidP="00F05BFD">
      <w:pPr>
        <w:pStyle w:val="5TextocomnIIGG"/>
        <w:spacing w:after="120"/>
        <w:ind w:firstLine="567"/>
      </w:pPr>
      <w:r w:rsidRPr="00201BFC">
        <w:t xml:space="preserve">Asimismo, la referencia explícita al concepto de segunda residencia se manifiesta recién en el censo del año 2022, estando alejado del período señalado en el apartado anterior como origen del fenómeno. Con anterioridad a este operativo, </w:t>
      </w:r>
      <w:r w:rsidR="00F05BFD">
        <w:t xml:space="preserve">García </w:t>
      </w:r>
      <w:r w:rsidRPr="00201BFC">
        <w:t>declaraba que</w:t>
      </w:r>
      <w:r w:rsidR="00F05BFD">
        <w:t xml:space="preserve"> “</w:t>
      </w:r>
      <w:r w:rsidRPr="00201BFC">
        <w:t xml:space="preserve">A diferencia de </w:t>
      </w:r>
      <w:r w:rsidRPr="00201BFC">
        <w:lastRenderedPageBreak/>
        <w:t xml:space="preserve">la mayor parte de los países desarrollados, </w:t>
      </w:r>
      <w:r w:rsidR="00F05BFD">
        <w:t>(…)</w:t>
      </w:r>
      <w:r w:rsidRPr="00201BFC">
        <w:t>, en los censos oficiales argentinos es realmente difícil estimar la cantidad de viviendas que se encuentran clasificadas como “segundas residencias”</w:t>
      </w:r>
      <w:r w:rsidR="00F05BFD">
        <w:t>” (</w:t>
      </w:r>
      <w:r w:rsidRPr="00201BFC">
        <w:t>2018</w:t>
      </w:r>
      <w:r>
        <w:t xml:space="preserve">, p. </w:t>
      </w:r>
      <w:r w:rsidRPr="00201BFC">
        <w:t>246).</w:t>
      </w:r>
    </w:p>
    <w:p w14:paraId="469623A9" w14:textId="0F9D3557" w:rsidR="000B5530" w:rsidRDefault="000B5530" w:rsidP="000B5530">
      <w:pPr>
        <w:pStyle w:val="5TextocomnIIGG"/>
        <w:spacing w:after="120"/>
        <w:ind w:firstLine="567"/>
      </w:pPr>
      <w:r w:rsidRPr="000B5530">
        <w:t>La extensión cada vez mayor de la categoría censal y de su correspondiente definición conlleva a reflexionar sobre la progresiva complejidad que representa precisar la realidad social y la turistificación de la vida cotidiana como proceso distintivo de la contemporaneidad (Lanfant, 1995, como se citó en Hiernaux, 2000). No por nada se añade en 2010 una terminación general como</w:t>
      </w:r>
      <w:r>
        <w:t>:</w:t>
      </w:r>
      <w:r w:rsidRPr="000B5530">
        <w:t xml:space="preserve"> </w:t>
      </w:r>
      <w:r w:rsidRPr="000B5530">
        <w:rPr>
          <w:i/>
          <w:iCs/>
        </w:rPr>
        <w:t>u otro uso temporal</w:t>
      </w:r>
      <w:r w:rsidRPr="000B5530">
        <w:t>. A su vez, cambios en los ejemplos incluidos en las definiciones institucionales, como el viraje de country a barrio privado y la separación entre vacaciones de verano e invierno, denotan el esfuerzo del INDEC por refinar y abarcar las distintas realidades posibles, aunque al mismo tiempo parecen poseer cierto sesgo metropolitano.</w:t>
      </w:r>
    </w:p>
    <w:p w14:paraId="596B8021" w14:textId="0A761D13" w:rsidR="000B5530" w:rsidRPr="00201BFC" w:rsidRDefault="000B5530" w:rsidP="000B5530">
      <w:pPr>
        <w:pStyle w:val="5TextocomnIIGG"/>
        <w:spacing w:after="120"/>
        <w:ind w:firstLine="567"/>
      </w:pPr>
      <w:r w:rsidRPr="000B5530">
        <w:t xml:space="preserve">Más allá de estos y otros debates que inspira la Tabla 1, en términos operativos, el mecanismo que indica el INDEC a los censistas para definir esta cualidad de la vivienda es la averiguación con los vecinos inmediatos. Esto conduce a recapacitar sobre el grado de subjetividad que recubre al dato. Precisamente, en uno de los documentos que evalúa la calidad de los datos correspondientes al censo de 1991 (INDEC, 1997) se hace referencia a esta variable como una de las que presenta mayores niveles de error, producto de la no respuesta o la marca múltiple asentada por los censistas. Ese informe refiere a la existencia de casos en los cuales se consignó más de una causa de desocupación, citando como ejemplo las categorías </w:t>
      </w:r>
      <w:r w:rsidRPr="000B5530">
        <w:rPr>
          <w:i/>
          <w:iCs/>
        </w:rPr>
        <w:t>se usa para veraneo o fin de semana</w:t>
      </w:r>
      <w:r w:rsidRPr="000B5530">
        <w:t xml:space="preserve"> y </w:t>
      </w:r>
      <w:r w:rsidRPr="000B5530">
        <w:rPr>
          <w:i/>
          <w:iCs/>
        </w:rPr>
        <w:t>está en alquiler o venta</w:t>
      </w:r>
      <w:r w:rsidRPr="000B5530">
        <w:t xml:space="preserve">. Casualmente, los </w:t>
      </w:r>
      <w:r>
        <w:t>municipios</w:t>
      </w:r>
      <w:r w:rsidRPr="000B5530">
        <w:t xml:space="preserve"> que se ubican por fuera del Área Metropolitana de Buenos Aires, rotulados por el INDEC como </w:t>
      </w:r>
      <w:r w:rsidRPr="00583841">
        <w:rPr>
          <w:i/>
          <w:iCs/>
        </w:rPr>
        <w:t>Resto de la provincia</w:t>
      </w:r>
      <w:r w:rsidRPr="000B5530">
        <w:t xml:space="preserve"> (entre ellos se encuentran los que integran el sudeste bonaerense), son señalados como aquellos que registran mayor frecuencia de esta clase de invalidez. Debido a ello, en el mismo documento el INDEC reconocía que, a futuro, esta variable requiere mayor atención, en vistas de evitar problemas conceptuales y operacionales que puedan afectar la validez de los datos. A pesar de estos señalamientos, “en la mayoría de los casos los valores tienden a ubicarse por debajo de los umbrales de tolerancia establecidos por Argentina y que respetan en general las normas internacionales” (INDEC, 1997</w:t>
      </w:r>
      <w:r>
        <w:t xml:space="preserve">, p. </w:t>
      </w:r>
      <w:r w:rsidRPr="000B5530">
        <w:t xml:space="preserve">21). Debido a que en censos posteriores se revela la continuidad de esta problemática, queda en evidencia la complejidad que representa relevar la condición de ocupación de la vivienda en un territorio </w:t>
      </w:r>
      <w:r>
        <w:t xml:space="preserve">muy </w:t>
      </w:r>
      <w:r w:rsidRPr="000B5530">
        <w:t>poblado y heterogéneo como la Provincia de Buenos Aires. Si bien el análisis en profundidad de este asunto escapa al objetivo del presente trabajo, amerita a futuro mayor reflexión.</w:t>
      </w:r>
    </w:p>
    <w:p w14:paraId="637CFD90" w14:textId="77777777" w:rsidR="00201BFC" w:rsidRDefault="00201BFC" w:rsidP="00307A10">
      <w:pPr>
        <w:pStyle w:val="5TextocomnIIGG"/>
        <w:spacing w:after="120"/>
        <w:ind w:firstLine="567"/>
      </w:pPr>
    </w:p>
    <w:p w14:paraId="4D4A096B" w14:textId="678CB307" w:rsidR="00583841" w:rsidRPr="000C7894" w:rsidRDefault="00583841" w:rsidP="00583841">
      <w:pPr>
        <w:pStyle w:val="4TtulosepgrafesIIGG"/>
        <w:spacing w:after="120"/>
      </w:pPr>
      <w:r>
        <w:t>2</w:t>
      </w:r>
      <w:r w:rsidRPr="00026DAC">
        <w:t>.</w:t>
      </w:r>
      <w:r>
        <w:t>2</w:t>
      </w:r>
      <w:r w:rsidRPr="00026DAC">
        <w:t>. F</w:t>
      </w:r>
      <w:r>
        <w:t>uente</w:t>
      </w:r>
      <w:r w:rsidR="003B25F8">
        <w:t>s</w:t>
      </w:r>
      <w:r>
        <w:t xml:space="preserve"> relativa</w:t>
      </w:r>
      <w:r w:rsidR="006222C8">
        <w:t>s</w:t>
      </w:r>
      <w:r>
        <w:t xml:space="preserve"> al turismo </w:t>
      </w:r>
      <w:r w:rsidR="006222C8">
        <w:t>servi</w:t>
      </w:r>
      <w:r>
        <w:t>ciado</w:t>
      </w:r>
    </w:p>
    <w:p w14:paraId="71213C57" w14:textId="5CB10FFB" w:rsidR="00201BFC" w:rsidRDefault="006222C8" w:rsidP="00307A10">
      <w:pPr>
        <w:pStyle w:val="5TextocomnIIGG"/>
        <w:spacing w:after="120"/>
        <w:ind w:firstLine="567"/>
      </w:pPr>
      <w:r w:rsidRPr="006222C8">
        <w:t>Como ya se dijo, en los CNPHyV se distingue entre vivienda particular y colectiva o institucional. Respecto a estas últimas, la definición del último censo de Argentina detalla que son:</w:t>
      </w:r>
    </w:p>
    <w:p w14:paraId="521CD210" w14:textId="3BE1D49D" w:rsidR="006222C8" w:rsidRDefault="006222C8" w:rsidP="006222C8">
      <w:pPr>
        <w:pStyle w:val="5TextocomnIIGG"/>
        <w:spacing w:after="120"/>
        <w:ind w:left="720"/>
      </w:pPr>
      <w:r w:rsidRPr="006222C8">
        <w:t>viviendas de alojamiento construidas o adaptadas para albergar personas de un modo permanente o temporario, sujetas a reglamentos de convivencia y comportamiento que se plasman en normativas específicas y reconocidas por la sociedad en general, de carácter administrativo, militar, religioso, de salud, de privación de la libertad, de trabajo, de educación, servicios, etc., y que al momento del Censo estén ocupadas por al menos una persona que resida allí la mayor parte de la semana. Se excluyen las viviendas colectivas que estén deshabitadas al momento del Censo (INDEC, 2024</w:t>
      </w:r>
      <w:r>
        <w:t>, p.</w:t>
      </w:r>
      <w:r w:rsidRPr="006222C8">
        <w:t>5).</w:t>
      </w:r>
    </w:p>
    <w:p w14:paraId="46D7BE4A" w14:textId="39A7843C" w:rsidR="006222C8" w:rsidRDefault="006222C8" w:rsidP="006222C8">
      <w:pPr>
        <w:pStyle w:val="5TextocomnIIGG"/>
        <w:spacing w:after="120"/>
        <w:ind w:firstLine="567"/>
      </w:pPr>
      <w:r w:rsidRPr="006222C8">
        <w:t xml:space="preserve">Para que en la siguiente sección se haga una correcta interpretación de la información, retener las últimas líneas de la cita anterior es fundamental, puesto que develan una </w:t>
      </w:r>
      <w:r w:rsidRPr="006222C8">
        <w:lastRenderedPageBreak/>
        <w:t xml:space="preserve">característica sin precedente en la historia de los censos </w:t>
      </w:r>
      <w:r>
        <w:t>argentinos</w:t>
      </w:r>
      <w:r w:rsidRPr="006222C8">
        <w:t xml:space="preserve">. Se hace referencia a la implementación de un censo de derecho, es decir, un conteo de personas que considera el lugar de residencia habitual, y no a un censo de hecho, o un recuento de la población basado en una noche de referencia o un momento preestablecido, que era lo tradicional en los censos </w:t>
      </w:r>
      <w:r>
        <w:t>nacionales</w:t>
      </w:r>
      <w:r w:rsidRPr="006222C8">
        <w:t>. Mientras que las viviendas particulares se censan haya o no población residiendo en ellas, en el caso de las viviendas colectivas, el último censo incluyó solamente a las que representaron para alguien su lugar de residencia habitual. Vale explicar que el operativo de viviendas colectivas se basa en registros administrativos que actualiza el INDEC y que, generalmente, implica recorridos y contactos con las autoridades de cada institución previos al feriado nacional declarado por el día del censo.</w:t>
      </w:r>
    </w:p>
    <w:p w14:paraId="1DBC7518" w14:textId="55D79D25" w:rsidR="006222C8" w:rsidRDefault="006222C8" w:rsidP="006222C8">
      <w:pPr>
        <w:pStyle w:val="5TextocomnIIGG"/>
        <w:spacing w:after="120"/>
        <w:ind w:firstLine="567"/>
      </w:pPr>
      <w:r w:rsidRPr="006222C8">
        <w:t xml:space="preserve">Al igual que en el caso anterior, entre las categorías censales que derivan de la variable nombrada </w:t>
      </w:r>
      <w:r>
        <w:t xml:space="preserve">como </w:t>
      </w:r>
      <w:r w:rsidRPr="006222C8">
        <w:rPr>
          <w:i/>
          <w:iCs/>
        </w:rPr>
        <w:t>tipo de vivienda colectiva</w:t>
      </w:r>
      <w:r w:rsidRPr="006222C8">
        <w:t xml:space="preserve"> se encuentra una opción de respuesta que remite al turismo serviciado, y cuya expresión se fue modificando con el transcurrir del tiempo. Mientras que en 1991 se utilizó simplemente el término </w:t>
      </w:r>
      <w:r w:rsidRPr="006222C8">
        <w:rPr>
          <w:i/>
          <w:iCs/>
        </w:rPr>
        <w:t>hotel</w:t>
      </w:r>
      <w:r w:rsidRPr="006222C8">
        <w:t xml:space="preserve"> y en 2001 a dicho vocablo se le incorporó la adjetivación </w:t>
      </w:r>
      <w:r w:rsidRPr="006222C8">
        <w:rPr>
          <w:i/>
          <w:iCs/>
        </w:rPr>
        <w:t>turístico</w:t>
      </w:r>
      <w:r w:rsidRPr="006222C8">
        <w:t xml:space="preserve">; en 2010 y 2022 se mantuvo esa locución, aunque en el último caso se confeccionó una categoría compuesta, anteponiendo el término </w:t>
      </w:r>
      <w:r w:rsidRPr="006222C8">
        <w:rPr>
          <w:i/>
          <w:iCs/>
        </w:rPr>
        <w:t>alojamiento turístico</w:t>
      </w:r>
      <w:r w:rsidRPr="006222C8">
        <w:t>. Esta última decisión del INDEC pone de manifiesto que no todos los establecimientos que ofrecen servicio de hospedaje son estrictamente hoteles, aunque</w:t>
      </w:r>
      <w:r>
        <w:t xml:space="preserve"> (</w:t>
      </w:r>
      <w:r w:rsidRPr="006222C8">
        <w:t>una vez más</w:t>
      </w:r>
      <w:r>
        <w:t>)</w:t>
      </w:r>
      <w:r w:rsidRPr="006222C8">
        <w:t xml:space="preserve"> parece ejemplificarse un aprendizaje tardío si se tiene en cuenta que marcos legales como la Ley Nacional de Turismo N° 25.997, sancionada en 2004, ya distingue entre hoteles y otros tipos de alojamiento. Pese a los cambios mencionados, la definición de esta categoría censal elaborada por el organismo estatal no sufrió alteraciones, más allá de algunos ejemplos. La siguiente cita es la versión correspondiente al último censo:</w:t>
      </w:r>
    </w:p>
    <w:p w14:paraId="2BAAB47F" w14:textId="18ADD0E2" w:rsidR="006222C8" w:rsidRDefault="006222C8" w:rsidP="006222C8">
      <w:pPr>
        <w:pStyle w:val="5TextocomnIIGG"/>
        <w:spacing w:after="120"/>
        <w:ind w:left="720"/>
      </w:pPr>
      <w:r w:rsidRPr="006222C8">
        <w:t>vivienda colectiva que aloja en forma transitoria huéspedes que siguen un régimen especial caracterizado por el pago diario, semanal o quincenal del importe del alojamiento en cuartos amoblados. Generalmente están encuadrados bajo la legislación vigente para este tipo de establecimientos, que se exhibe en lugares visibles</w:t>
      </w:r>
      <w:r w:rsidR="00555AB8">
        <w:t xml:space="preserve"> </w:t>
      </w:r>
      <w:r w:rsidRPr="006222C8">
        <w:t>(INDEC, 2024</w:t>
      </w:r>
      <w:r w:rsidR="00261A68">
        <w:t xml:space="preserve">, p. </w:t>
      </w:r>
      <w:r w:rsidRPr="006222C8">
        <w:t>7).</w:t>
      </w:r>
    </w:p>
    <w:p w14:paraId="18881827" w14:textId="3FAE87BC" w:rsidR="00261A68" w:rsidRDefault="00261A68" w:rsidP="00261A68">
      <w:pPr>
        <w:pStyle w:val="5TextocomnIIGG"/>
        <w:spacing w:after="120"/>
        <w:ind w:firstLine="567"/>
      </w:pPr>
      <w:r w:rsidRPr="00261A68">
        <w:t xml:space="preserve">La segunda fuente a destacar es el Censo Nacional Agropecuario (CNA). Estos </w:t>
      </w:r>
      <w:r>
        <w:t>relevamientos</w:t>
      </w:r>
      <w:r w:rsidRPr="00261A68">
        <w:t xml:space="preserve"> particulares forman parte de la infraestructura estadística del INDEC y se encargan de informar sobre los cambios que se producen en el sector agropecuario, estableciendo una base de datos georreferenciada necesaria para la implementación de programas y políticas públicas, el fortalecimiento de la competitividad del sector y el mejoramiento del conocimiento sobre las actividades agropecuarias desarrolladas en el país. En este caso, la unidad de cuenta es la explotación agropecuaria (EAP</w:t>
      </w:r>
      <w:r>
        <w:t xml:space="preserve">), entendida como </w:t>
      </w:r>
      <w:r w:rsidRPr="00F1678F">
        <w:t xml:space="preserve">unidad de producción </w:t>
      </w:r>
      <w:r w:rsidRPr="00261A68">
        <w:t>agrícola, pecuari</w:t>
      </w:r>
      <w:r w:rsidR="00794809">
        <w:t>a</w:t>
      </w:r>
      <w:r w:rsidRPr="00261A68">
        <w:t xml:space="preserve"> o forestal </w:t>
      </w:r>
      <w:r w:rsidRPr="00F1678F">
        <w:t>no menor de 500 m</w:t>
      </w:r>
      <w:r w:rsidRPr="00F1678F">
        <w:rPr>
          <w:vertAlign w:val="superscript"/>
        </w:rPr>
        <w:t>2</w:t>
      </w:r>
      <w:r>
        <w:t xml:space="preserve">, </w:t>
      </w:r>
      <w:r w:rsidRPr="00F1678F">
        <w:t>ubicada dentro de una misma provincia</w:t>
      </w:r>
      <w:r>
        <w:t xml:space="preserve">, </w:t>
      </w:r>
      <w:r w:rsidR="00794809">
        <w:t xml:space="preserve">y que está </w:t>
      </w:r>
      <w:r>
        <w:t>organizada bajo</w:t>
      </w:r>
      <w:r w:rsidRPr="00F1678F">
        <w:t xml:space="preserve"> un único tipo jurídico</w:t>
      </w:r>
      <w:r>
        <w:t xml:space="preserve"> y</w:t>
      </w:r>
      <w:r w:rsidR="00794809">
        <w:t xml:space="preserve"> algún medio de producción en común entre todas sus parcelas (INDEC, 2018). </w:t>
      </w:r>
    </w:p>
    <w:p w14:paraId="732D2FEB" w14:textId="05016D8B" w:rsidR="00794809" w:rsidRDefault="00794809" w:rsidP="00261A68">
      <w:pPr>
        <w:pStyle w:val="5TextocomnIIGG"/>
        <w:spacing w:after="120"/>
        <w:ind w:firstLine="567"/>
      </w:pPr>
      <w:r w:rsidRPr="00794809">
        <w:t>El avance de la turistificación sobre territorios rurales y periurbanos, causados no solo por una demanda creciente de contacto con lo rural, las raíces culturales y el verde, sino también por una oferta heterogénea impulsada por el Estado, comunidades locales y productores agropecuarios con distintos niveles de capitalización, condujo a que el turismo y la prestación de otros servicios sean objeto de relevamiento censal. Específicamente, como resultado de los operativos de 2002 y 2018</w:t>
      </w:r>
      <w:r w:rsidR="007C565C">
        <w:rPr>
          <w:rStyle w:val="Refdenotaalpie"/>
        </w:rPr>
        <w:footnoteReference w:id="2"/>
      </w:r>
      <w:r w:rsidRPr="00794809">
        <w:t xml:space="preserve">, se difundieron cifras sobre cantidad de EAPs con hospedaje por partido/departamento, entre otras variables que, si bien no refieren a la dimensión alojamiento, </w:t>
      </w:r>
      <w:r w:rsidRPr="00794809">
        <w:lastRenderedPageBreak/>
        <w:t>ya fueron objeto de análisis tanto a escala nacional como regional (Gordziejczuk y Mikkelsen, 2023a y b).</w:t>
      </w:r>
    </w:p>
    <w:p w14:paraId="0C30A01C" w14:textId="77777777" w:rsidR="007C565C" w:rsidRDefault="007C565C" w:rsidP="007C565C">
      <w:pPr>
        <w:pStyle w:val="5TextocomnIIGG"/>
        <w:spacing w:after="120"/>
        <w:ind w:firstLine="567"/>
      </w:pPr>
      <w:r>
        <w:t xml:space="preserve">La tercera fuente de datos identificada es </w:t>
      </w:r>
      <w:r w:rsidRPr="00096306">
        <w:t>la Encuesta de Ocupación Hotelera (</w:t>
      </w:r>
      <w:r>
        <w:t>EOH)</w:t>
      </w:r>
      <w:r w:rsidRPr="000331DF">
        <w:t xml:space="preserve">. </w:t>
      </w:r>
      <w:r w:rsidRPr="00762CF5">
        <w:t>Est</w:t>
      </w:r>
      <w:r>
        <w:t>e</w:t>
      </w:r>
      <w:r w:rsidRPr="00762CF5">
        <w:t xml:space="preserve"> es un operativo estadístico llevado adelante por el INDEC y el </w:t>
      </w:r>
      <w:r>
        <w:t>Á</w:t>
      </w:r>
      <w:r w:rsidRPr="00762CF5">
        <w:t>rea de Turismo de Nación. Como toda encuesta, los datos se relevan a partir de una muestra, en este caso de establecimientos hoteleros y parahoteleros radicados en</w:t>
      </w:r>
      <w:r>
        <w:t xml:space="preserve"> 49</w:t>
      </w:r>
      <w:r w:rsidRPr="00762CF5">
        <w:t xml:space="preserve"> </w:t>
      </w:r>
      <w:r>
        <w:t xml:space="preserve">destinos turísticos </w:t>
      </w:r>
      <w:r w:rsidRPr="00762CF5">
        <w:t xml:space="preserve">que reúnen </w:t>
      </w:r>
      <w:r>
        <w:t>a</w:t>
      </w:r>
      <w:r w:rsidRPr="00762CF5">
        <w:t>l 80% de las plazas</w:t>
      </w:r>
      <w:r>
        <w:t xml:space="preserve"> disponibles</w:t>
      </w:r>
      <w:r>
        <w:rPr>
          <w:rStyle w:val="Refdenotaalpie"/>
        </w:rPr>
        <w:footnoteReference w:id="3"/>
      </w:r>
      <w:r w:rsidRPr="00762CF5">
        <w:t xml:space="preserve"> en cada una de las regiones que constituyen el Plan Federal Estratégico de Turismo Sustentable. En base a este último, la </w:t>
      </w:r>
      <w:r>
        <w:t>Provincia de Buenos</w:t>
      </w:r>
      <w:r w:rsidRPr="00762CF5">
        <w:t xml:space="preserve"> Aires conforma una región en sí misma, y cuatro de los cinco centros urbanos que participan del relevamiento se encuentran dentro del sudeste bonaerense: Mar del Plata, Pinamar, Tandil y Villa Gesell; quedando por fuera de este análisis Bahía Blanca,</w:t>
      </w:r>
      <w:r>
        <w:t xml:space="preserve"> </w:t>
      </w:r>
      <w:r w:rsidRPr="00762CF5">
        <w:t>ubica</w:t>
      </w:r>
      <w:r>
        <w:t xml:space="preserve">da </w:t>
      </w:r>
      <w:r w:rsidRPr="00762CF5">
        <w:t>en el sudoeste</w:t>
      </w:r>
      <w:r>
        <w:t xml:space="preserve"> provincial</w:t>
      </w:r>
      <w:r w:rsidRPr="00762CF5">
        <w:t xml:space="preserve">. </w:t>
      </w:r>
    </w:p>
    <w:p w14:paraId="5CCB874A" w14:textId="60A745E1" w:rsidR="007C565C" w:rsidRDefault="007C565C" w:rsidP="007C565C">
      <w:pPr>
        <w:pStyle w:val="5TextocomnIIGG"/>
        <w:spacing w:after="120"/>
        <w:ind w:firstLine="567"/>
      </w:pPr>
      <w:r w:rsidRPr="00DA4E00">
        <w:t>Con una periodicidad mensual, desde</w:t>
      </w:r>
      <w:r>
        <w:t xml:space="preserve"> el</w:t>
      </w:r>
      <w:r w:rsidRPr="00DA4E00">
        <w:t xml:space="preserve"> inicio </w:t>
      </w:r>
      <w:r>
        <w:t xml:space="preserve">de su relevamiento </w:t>
      </w:r>
      <w:r w:rsidRPr="00DA4E00">
        <w:t xml:space="preserve">en 2004 se </w:t>
      </w:r>
      <w:r>
        <w:t>fueron</w:t>
      </w:r>
      <w:r w:rsidRPr="00DA4E00">
        <w:t xml:space="preserve"> ampliando tanto las localidades como los indicadores que integran la encuesta, aunque también vale destacar que, apenas</w:t>
      </w:r>
      <w:r>
        <w:t xml:space="preserve"> </w:t>
      </w:r>
      <w:r w:rsidRPr="00DA4E00">
        <w:t xml:space="preserve">emprendido el relevamiento, un indicador sensible como el número de personal ocupado en establecimientos hoteleros y parahoteleros se </w:t>
      </w:r>
      <w:r>
        <w:t>dejó</w:t>
      </w:r>
      <w:r w:rsidRPr="00DA4E00">
        <w:t xml:space="preserve"> de difundir. </w:t>
      </w:r>
      <w:r>
        <w:t>Para u</w:t>
      </w:r>
      <w:r w:rsidRPr="00A96CC1">
        <w:t xml:space="preserve">na explicación </w:t>
      </w:r>
      <w:r>
        <w:t>más específica</w:t>
      </w:r>
      <w:r w:rsidRPr="00A96CC1">
        <w:t xml:space="preserve"> </w:t>
      </w:r>
      <w:r>
        <w:t>sobre esta fuente</w:t>
      </w:r>
      <w:r w:rsidRPr="00A96CC1">
        <w:t xml:space="preserve"> puede ser</w:t>
      </w:r>
      <w:r>
        <w:t xml:space="preserve"> </w:t>
      </w:r>
      <w:r w:rsidRPr="00A96CC1">
        <w:t>consultad</w:t>
      </w:r>
      <w:r>
        <w:t xml:space="preserve">o el documento metodológico del INDEC (2020). </w:t>
      </w:r>
    </w:p>
    <w:p w14:paraId="33D76644" w14:textId="77777777" w:rsidR="002A56C2" w:rsidRDefault="007C565C" w:rsidP="002A56C2">
      <w:pPr>
        <w:pStyle w:val="5TextocomnIIGG"/>
        <w:spacing w:after="120"/>
        <w:ind w:firstLine="567"/>
      </w:pPr>
      <w:r w:rsidRPr="007C565C">
        <w:t>Al igual que en los casos anteriores, en la próxima sección se tienen en cuenta indicadores que aluden estrictamente al equipamiento que ofrece alojamiento y que, a su vez, se sostienen a lo largo de los más de 20 años de implementación que lleva la encuesta. Se hace referencia al número de establecimientos. Si bien existen otros indicadores que se mantienen desde 2004 hasta la actualidad, como por ejemplo la duración de la estadía promedio y los porcentajes de ocupación de habitaciones y plazas, aquí no se consideran porque exceden el análisis más allá del objetivo propuesto y ponen en juego otra dimensión sumamente importante para el estudio de la turistificación, como es la demanda turística, la cual amerita su propio abordaje.</w:t>
      </w:r>
    </w:p>
    <w:p w14:paraId="34896430" w14:textId="77777777" w:rsidR="002A56C2" w:rsidRDefault="002A56C2" w:rsidP="002A56C2">
      <w:pPr>
        <w:pStyle w:val="5TextocomnIIGG"/>
        <w:spacing w:after="120"/>
        <w:ind w:firstLine="567"/>
      </w:pPr>
      <w:r w:rsidRPr="000331DF">
        <w:t xml:space="preserve">La cuarta y última fuente </w:t>
      </w:r>
      <w:r>
        <w:t xml:space="preserve">estadística </w:t>
      </w:r>
      <w:r w:rsidRPr="000331DF">
        <w:t xml:space="preserve">a </w:t>
      </w:r>
      <w:r>
        <w:t>mencion</w:t>
      </w:r>
      <w:r w:rsidRPr="000331DF">
        <w:t xml:space="preserve">ar </w:t>
      </w:r>
      <w:r w:rsidRPr="00096306">
        <w:t>es el Padrón Único Nacional de Alojamiento (PUNA), que está a cargo de la Dirección</w:t>
      </w:r>
      <w:r w:rsidRPr="003315A9">
        <w:t xml:space="preserve"> Nacional de Mercados y Estadística</w:t>
      </w:r>
      <w:r>
        <w:t xml:space="preserve"> (DNMyE), perteneciente al Área de Turismo de Nación. Se trata de una base que contiene </w:t>
      </w:r>
      <w:r w:rsidRPr="003315A9">
        <w:t>información aportada</w:t>
      </w:r>
      <w:r>
        <w:t>, en primer lugar,</w:t>
      </w:r>
      <w:r w:rsidRPr="003315A9">
        <w:t xml:space="preserve"> por los organismos provinciales y municipales de turismo a través de </w:t>
      </w:r>
      <w:r>
        <w:t>los</w:t>
      </w:r>
      <w:r w:rsidRPr="003315A9">
        <w:t xml:space="preserve"> registros administrativos</w:t>
      </w:r>
      <w:r>
        <w:t xml:space="preserve"> y las instancias de fiscalización</w:t>
      </w:r>
      <w:r w:rsidRPr="003315A9">
        <w:t xml:space="preserve"> </w:t>
      </w:r>
      <w:r>
        <w:t xml:space="preserve">que resultan de los procesos de habilitación de servicios de alojamiento </w:t>
      </w:r>
      <w:r w:rsidRPr="003315A9">
        <w:t>y</w:t>
      </w:r>
      <w:r>
        <w:t>, en segundo lugar,</w:t>
      </w:r>
      <w:r w:rsidRPr="003315A9">
        <w:t xml:space="preserve"> por el INDE</w:t>
      </w:r>
      <w:r>
        <w:t>C, puesto que también incluye a</w:t>
      </w:r>
      <w:r w:rsidRPr="003315A9">
        <w:t xml:space="preserve">l marco poblacional de </w:t>
      </w:r>
      <w:r>
        <w:t xml:space="preserve">la </w:t>
      </w:r>
      <w:r w:rsidRPr="003315A9">
        <w:t>EOH</w:t>
      </w:r>
      <w:r>
        <w:t xml:space="preserve">, entre otras fuentes secundarias. Los </w:t>
      </w:r>
      <w:r w:rsidRPr="00B95723">
        <w:t>datos</w:t>
      </w:r>
      <w:r>
        <w:t xml:space="preserve"> </w:t>
      </w:r>
      <w:r w:rsidRPr="00B95723">
        <w:t>se actualizan con una frecuencia anual y</w:t>
      </w:r>
      <w:r>
        <w:t xml:space="preserve"> </w:t>
      </w:r>
      <w:r w:rsidRPr="00B95723">
        <w:t>se</w:t>
      </w:r>
      <w:r>
        <w:t xml:space="preserve"> </w:t>
      </w:r>
      <w:r w:rsidRPr="00B95723">
        <w:t xml:space="preserve">encuentran </w:t>
      </w:r>
      <w:r>
        <w:t>disponibles para el período</w:t>
      </w:r>
      <w:r w:rsidRPr="00B95723">
        <w:t xml:space="preserve"> 2014</w:t>
      </w:r>
      <w:r>
        <w:t>-</w:t>
      </w:r>
      <w:r w:rsidRPr="006F6D9D">
        <w:t xml:space="preserve">2024. </w:t>
      </w:r>
    </w:p>
    <w:p w14:paraId="1DA824F7" w14:textId="5F86C6DB" w:rsidR="002A56C2" w:rsidRDefault="002A56C2" w:rsidP="002A56C2">
      <w:pPr>
        <w:pStyle w:val="5TextocomnIIGG"/>
        <w:spacing w:after="120"/>
        <w:ind w:firstLine="567"/>
      </w:pPr>
      <w:r>
        <w:t xml:space="preserve">En el sitio web del </w:t>
      </w:r>
      <w:r w:rsidRPr="00306820">
        <w:t xml:space="preserve">Sistema </w:t>
      </w:r>
      <w:r>
        <w:t>d</w:t>
      </w:r>
      <w:r w:rsidRPr="00306820">
        <w:t xml:space="preserve">e Información Turística </w:t>
      </w:r>
      <w:r>
        <w:t>d</w:t>
      </w:r>
      <w:r w:rsidRPr="00306820">
        <w:t xml:space="preserve">e </w:t>
      </w:r>
      <w:r>
        <w:t>l</w:t>
      </w:r>
      <w:r w:rsidRPr="00306820">
        <w:t xml:space="preserve">a Argentina </w:t>
      </w:r>
      <w:r>
        <w:t xml:space="preserve">(SINTA) se halla </w:t>
      </w:r>
      <w:r w:rsidRPr="00306820">
        <w:t xml:space="preserve">el acceso a </w:t>
      </w:r>
      <w:r>
        <w:t xml:space="preserve">los </w:t>
      </w:r>
      <w:r w:rsidRPr="00306820">
        <w:t xml:space="preserve">datos </w:t>
      </w:r>
      <w:r>
        <w:t xml:space="preserve">del PUNA </w:t>
      </w:r>
      <w:r w:rsidRPr="00306820">
        <w:t xml:space="preserve">mediante </w:t>
      </w:r>
      <w:r>
        <w:t>un</w:t>
      </w:r>
      <w:r w:rsidRPr="00306820">
        <w:t xml:space="preserve"> tablero interactivo</w:t>
      </w:r>
      <w:r>
        <w:rPr>
          <w:rStyle w:val="Refdenotaalpie"/>
        </w:rPr>
        <w:footnoteReference w:id="4"/>
      </w:r>
      <w:r>
        <w:t>.</w:t>
      </w:r>
      <w:r w:rsidRPr="00306820">
        <w:t xml:space="preserve"> </w:t>
      </w:r>
      <w:r>
        <w:t xml:space="preserve">Además de poder conocer el stock de establecimientos por año y según región, provincia, departamento/partido, localidad y tipo de alojamiento (hotelero, parahotelero u otro), también se detalla el total de plazas, habitaciones y unidades, es decir, </w:t>
      </w:r>
      <w:r w:rsidRPr="003A2786">
        <w:t xml:space="preserve">departamentos, cabañas o </w:t>
      </w:r>
      <w:r w:rsidRPr="003A2786">
        <w:rPr>
          <w:i/>
          <w:iCs/>
          <w:u w:val="single"/>
        </w:rPr>
        <w:t>bungalows</w:t>
      </w:r>
      <w:r w:rsidRPr="003A2786">
        <w:rPr>
          <w:i/>
          <w:iCs/>
        </w:rPr>
        <w:t xml:space="preserve"> </w:t>
      </w:r>
      <w:r w:rsidRPr="003A2786">
        <w:t>ofrecidos bajo una misma entidad comercial</w:t>
      </w:r>
      <w:r>
        <w:t xml:space="preserve">. </w:t>
      </w:r>
    </w:p>
    <w:p w14:paraId="7F989B7E" w14:textId="77777777" w:rsidR="002A56C2" w:rsidRDefault="002A56C2" w:rsidP="002A56C2">
      <w:pPr>
        <w:pStyle w:val="5TextocomnIIGG"/>
        <w:spacing w:after="120"/>
        <w:ind w:firstLine="567"/>
      </w:pPr>
    </w:p>
    <w:p w14:paraId="4F62C675" w14:textId="77777777" w:rsidR="00177542" w:rsidRPr="00DA4E00" w:rsidRDefault="00177542" w:rsidP="002A56C2">
      <w:pPr>
        <w:pStyle w:val="5TextocomnIIGG"/>
        <w:spacing w:after="120"/>
        <w:ind w:firstLine="567"/>
      </w:pPr>
    </w:p>
    <w:p w14:paraId="1C922451" w14:textId="6E06BB8B" w:rsidR="002A56C2" w:rsidRPr="000C7894" w:rsidRDefault="002A56C2" w:rsidP="002A56C2">
      <w:pPr>
        <w:pStyle w:val="4TtulosepgrafesIIGG"/>
        <w:spacing w:after="120"/>
      </w:pPr>
      <w:r>
        <w:lastRenderedPageBreak/>
        <w:t>2</w:t>
      </w:r>
      <w:r w:rsidRPr="00026DAC">
        <w:t>.</w:t>
      </w:r>
      <w:r>
        <w:t>3</w:t>
      </w:r>
      <w:r w:rsidRPr="00026DAC">
        <w:t xml:space="preserve">. </w:t>
      </w:r>
      <w:r w:rsidRPr="002A56C2">
        <w:t>Sobre la aplicación de las fuentes</w:t>
      </w:r>
    </w:p>
    <w:p w14:paraId="65006FBD" w14:textId="08D4F2AA" w:rsidR="007C565C" w:rsidRDefault="005C1383" w:rsidP="007C565C">
      <w:pPr>
        <w:pStyle w:val="5TextocomnIIGG"/>
        <w:spacing w:after="120"/>
        <w:ind w:firstLine="567"/>
      </w:pPr>
      <w:r w:rsidRPr="005C1383">
        <w:t xml:space="preserve">La Tabla 2 recupera las </w:t>
      </w:r>
      <w:r>
        <w:t>5</w:t>
      </w:r>
      <w:r w:rsidRPr="005C1383">
        <w:t xml:space="preserve"> fuentes estadísticas presentadas, añadiendo información sobre los indicadores que se incluyen entre los resultados, junto con sus máximos niveles de desagregación espacial. En el caso de los CNPHyV, para el universo de viviendas particulares, la unidad espacial más pequeña sobre la cual se difunden datos son los radios censales</w:t>
      </w:r>
      <w:r>
        <w:t xml:space="preserve">, espacios territoriales que </w:t>
      </w:r>
      <w:r w:rsidRPr="00765D5D">
        <w:t>tiene</w:t>
      </w:r>
      <w:r>
        <w:t>n</w:t>
      </w:r>
      <w:r w:rsidRPr="00765D5D">
        <w:t xml:space="preserve"> una determinada cantidad de viviendas a relevar</w:t>
      </w:r>
      <w:r>
        <w:t xml:space="preserve"> y</w:t>
      </w:r>
      <w:r w:rsidRPr="00765D5D">
        <w:t xml:space="preserve"> se clasifican en urbanos</w:t>
      </w:r>
      <w:r>
        <w:t xml:space="preserve"> (</w:t>
      </w:r>
      <w:r w:rsidRPr="00765D5D">
        <w:t>300 viviendas</w:t>
      </w:r>
      <w:r>
        <w:t xml:space="preserve"> aproximadamente)</w:t>
      </w:r>
      <w:r w:rsidRPr="00765D5D">
        <w:t>, rurales</w:t>
      </w:r>
      <w:r>
        <w:t xml:space="preserve"> (</w:t>
      </w:r>
      <w:r w:rsidRPr="00765D5D">
        <w:t>donde las viviendas se distribuyen en campo abierto en forma diseminada</w:t>
      </w:r>
      <w:r>
        <w:t>)</w:t>
      </w:r>
      <w:r w:rsidRPr="00765D5D">
        <w:t xml:space="preserve"> y rurales mixtos</w:t>
      </w:r>
      <w:r>
        <w:t xml:space="preserve"> (</w:t>
      </w:r>
      <w:r w:rsidRPr="00765D5D">
        <w:t>con población en campo abierto y agrupada en pequeños poblados o bordes amanzanados de localidades</w:t>
      </w:r>
      <w:r>
        <w:t>)</w:t>
      </w:r>
      <w:r w:rsidRPr="005C1383">
        <w:t>. Por su parte, para los CNA y el universo de viviendas colectivas de los CNPHyV, la información se divulga, como máximo, a nivel de departamento/partido, en cumplimiento del secreto estadístico. Finalmente, la EOH y el PUNA permiten llegar hasta el nivel de localidad. Respecto al PUNA, se especifica que los datos se presentan geocodificados y homologados con la Base de Asentamientos Humanos de la República Argentina (BAHRA), primera base de datos oficial normalizada de localidades, parajes, entidades y bases antárticas del territorio nacional.</w:t>
      </w:r>
    </w:p>
    <w:p w14:paraId="3E9C2724" w14:textId="77777777" w:rsidR="00F90F49" w:rsidRPr="007C565C" w:rsidRDefault="00F90F49" w:rsidP="007C565C">
      <w:pPr>
        <w:pStyle w:val="5TextocomnIIGG"/>
        <w:spacing w:after="120"/>
        <w:ind w:firstLine="567"/>
      </w:pPr>
    </w:p>
    <w:p w14:paraId="164E9D4B" w14:textId="15AD7F51" w:rsidR="000001BA" w:rsidRPr="00F90F49" w:rsidRDefault="000001BA" w:rsidP="000001BA">
      <w:pPr>
        <w:pStyle w:val="7FigurasytablasencabezadoIIGG"/>
        <w:rPr>
          <w:b/>
          <w:bCs/>
        </w:rPr>
      </w:pPr>
      <w:r w:rsidRPr="00F90F49">
        <w:rPr>
          <w:b/>
          <w:bCs/>
        </w:rPr>
        <w:t>Tabla 2. Características de las fuentes estadísticas oficiales sobre alojamiento</w:t>
      </w:r>
    </w:p>
    <w:tbl>
      <w:tblPr>
        <w:tblStyle w:val="Tablaconcuadrcula"/>
        <w:tblW w:w="5000" w:type="pct"/>
        <w:jc w:val="center"/>
        <w:tblLook w:val="04A0" w:firstRow="1" w:lastRow="0" w:firstColumn="1" w:lastColumn="0" w:noHBand="0" w:noVBand="1"/>
      </w:tblPr>
      <w:tblGrid>
        <w:gridCol w:w="1430"/>
        <w:gridCol w:w="1336"/>
        <w:gridCol w:w="1683"/>
        <w:gridCol w:w="2549"/>
        <w:gridCol w:w="2062"/>
      </w:tblGrid>
      <w:tr w:rsidR="000001BA" w:rsidRPr="00C540A0" w14:paraId="06D9FC72" w14:textId="1FEE6692" w:rsidTr="00DC55DC">
        <w:trPr>
          <w:jc w:val="center"/>
        </w:trPr>
        <w:tc>
          <w:tcPr>
            <w:tcW w:w="789" w:type="pct"/>
            <w:vAlign w:val="center"/>
          </w:tcPr>
          <w:p w14:paraId="60F5119F" w14:textId="5DAD1E10" w:rsidR="000001BA" w:rsidRPr="00D821B0" w:rsidRDefault="000001BA" w:rsidP="000001BA">
            <w:pPr>
              <w:pStyle w:val="5TextocomnIIGG"/>
              <w:spacing w:after="120"/>
              <w:jc w:val="center"/>
              <w:rPr>
                <w:b/>
              </w:rPr>
            </w:pPr>
            <w:r w:rsidRPr="000001BA">
              <w:rPr>
                <w:b/>
              </w:rPr>
              <w:t>Modalidad</w:t>
            </w:r>
          </w:p>
        </w:tc>
        <w:tc>
          <w:tcPr>
            <w:tcW w:w="737" w:type="pct"/>
            <w:vAlign w:val="center"/>
          </w:tcPr>
          <w:p w14:paraId="34B1F6A0" w14:textId="618D5BDB" w:rsidR="000001BA" w:rsidRPr="00D821B0" w:rsidRDefault="000001BA" w:rsidP="000001BA">
            <w:pPr>
              <w:pStyle w:val="5TextocomnIIGG"/>
              <w:spacing w:after="120"/>
              <w:jc w:val="center"/>
              <w:rPr>
                <w:b/>
              </w:rPr>
            </w:pPr>
            <w:r w:rsidRPr="000001BA">
              <w:rPr>
                <w:b/>
              </w:rPr>
              <w:t>Fuente</w:t>
            </w:r>
          </w:p>
        </w:tc>
        <w:tc>
          <w:tcPr>
            <w:tcW w:w="929" w:type="pct"/>
            <w:vAlign w:val="center"/>
          </w:tcPr>
          <w:p w14:paraId="2A4F2740" w14:textId="0D38A4EA" w:rsidR="000001BA" w:rsidRPr="00D821B0" w:rsidRDefault="000001BA" w:rsidP="000001BA">
            <w:pPr>
              <w:pStyle w:val="5TextocomnIIGG"/>
              <w:spacing w:after="120"/>
              <w:jc w:val="center"/>
              <w:rPr>
                <w:b/>
              </w:rPr>
            </w:pPr>
            <w:r w:rsidRPr="000001BA">
              <w:rPr>
                <w:b/>
              </w:rPr>
              <w:t>Temporalidad</w:t>
            </w:r>
          </w:p>
        </w:tc>
        <w:tc>
          <w:tcPr>
            <w:tcW w:w="1407" w:type="pct"/>
            <w:vAlign w:val="center"/>
          </w:tcPr>
          <w:p w14:paraId="39A194E6" w14:textId="22E48A4A" w:rsidR="000001BA" w:rsidRPr="00D821B0" w:rsidRDefault="000001BA" w:rsidP="000001BA">
            <w:pPr>
              <w:pStyle w:val="5TextocomnIIGG"/>
              <w:spacing w:after="120"/>
              <w:jc w:val="center"/>
              <w:rPr>
                <w:b/>
              </w:rPr>
            </w:pPr>
            <w:r w:rsidRPr="000001BA">
              <w:rPr>
                <w:b/>
              </w:rPr>
              <w:t>Indicador representativo del proceso de turistificación</w:t>
            </w:r>
          </w:p>
        </w:tc>
        <w:tc>
          <w:tcPr>
            <w:tcW w:w="1138" w:type="pct"/>
            <w:vAlign w:val="center"/>
          </w:tcPr>
          <w:p w14:paraId="17E1BBEB" w14:textId="3499ECF6" w:rsidR="000001BA" w:rsidRDefault="000001BA" w:rsidP="000001BA">
            <w:pPr>
              <w:pStyle w:val="5TextocomnIIGG"/>
              <w:spacing w:after="120"/>
              <w:jc w:val="center"/>
              <w:rPr>
                <w:b/>
              </w:rPr>
            </w:pPr>
            <w:r w:rsidRPr="000001BA">
              <w:rPr>
                <w:b/>
              </w:rPr>
              <w:t>Máximo nivel de desagregación espacial posible</w:t>
            </w:r>
          </w:p>
        </w:tc>
      </w:tr>
      <w:tr w:rsidR="00DC55DC" w:rsidRPr="00C540A0" w14:paraId="5F98E7D0" w14:textId="49F2E7C9" w:rsidTr="00DC55DC">
        <w:trPr>
          <w:jc w:val="center"/>
        </w:trPr>
        <w:tc>
          <w:tcPr>
            <w:tcW w:w="789" w:type="pct"/>
            <w:vAlign w:val="center"/>
          </w:tcPr>
          <w:p w14:paraId="73B6606D" w14:textId="5719216A" w:rsidR="00DC55DC" w:rsidRPr="00C540A0" w:rsidRDefault="00DC55DC" w:rsidP="00DC55DC">
            <w:pPr>
              <w:pStyle w:val="5TextocomnIIGG"/>
              <w:spacing w:after="120"/>
            </w:pPr>
            <w:r>
              <w:t>Turismo residenciado</w:t>
            </w:r>
          </w:p>
        </w:tc>
        <w:tc>
          <w:tcPr>
            <w:tcW w:w="737" w:type="pct"/>
            <w:vAlign w:val="center"/>
          </w:tcPr>
          <w:p w14:paraId="369E2C96" w14:textId="4282D8F3" w:rsidR="00DC55DC" w:rsidRPr="00C540A0" w:rsidRDefault="00DC55DC" w:rsidP="00DC55DC">
            <w:pPr>
              <w:pStyle w:val="5TextocomnIIGG"/>
              <w:spacing w:after="120"/>
            </w:pPr>
            <w:r w:rsidRPr="000001BA">
              <w:t>CNPHyV particulares</w:t>
            </w:r>
          </w:p>
        </w:tc>
        <w:tc>
          <w:tcPr>
            <w:tcW w:w="929" w:type="pct"/>
            <w:vAlign w:val="center"/>
          </w:tcPr>
          <w:p w14:paraId="6D213B0D" w14:textId="36DD1457" w:rsidR="00DC55DC" w:rsidRPr="00C540A0" w:rsidRDefault="00DC55DC" w:rsidP="00DC55DC">
            <w:pPr>
              <w:pStyle w:val="5TextocomnIIGG"/>
              <w:spacing w:after="120"/>
            </w:pPr>
            <w:r w:rsidRPr="000001BA">
              <w:t>1991, 2001, 2010 y 2022</w:t>
            </w:r>
          </w:p>
        </w:tc>
        <w:tc>
          <w:tcPr>
            <w:tcW w:w="1407" w:type="pct"/>
            <w:vAlign w:val="center"/>
          </w:tcPr>
          <w:p w14:paraId="7891BD5E" w14:textId="33DA5BE0" w:rsidR="00DC55DC" w:rsidRPr="00DC55DC" w:rsidRDefault="00DC55DC" w:rsidP="00DC55DC">
            <w:pPr>
              <w:pStyle w:val="5TextocomnIIGG"/>
              <w:spacing w:after="120"/>
            </w:pPr>
            <w:r w:rsidRPr="00DC55DC">
              <w:t>Porcentaje de viviendas de potencial uso turístico (VPUT)</w:t>
            </w:r>
          </w:p>
          <w:p w14:paraId="2EE34348" w14:textId="5B038142" w:rsidR="00DC55DC" w:rsidRPr="00C540A0" w:rsidRDefault="00DC55DC" w:rsidP="00DC55DC">
            <w:pPr>
              <w:pStyle w:val="5TextocomnIIGG"/>
              <w:spacing w:after="120"/>
            </w:pPr>
            <w:r w:rsidRPr="00DC55DC">
              <w:t>Tasa de crecimiento anual intercensal (TCAI) ‰</w:t>
            </w:r>
          </w:p>
        </w:tc>
        <w:tc>
          <w:tcPr>
            <w:tcW w:w="1138" w:type="pct"/>
            <w:vAlign w:val="center"/>
          </w:tcPr>
          <w:p w14:paraId="06B2D374" w14:textId="4E50734D" w:rsidR="00DC55DC" w:rsidRPr="00030B00" w:rsidRDefault="00DC55DC" w:rsidP="00DC55DC">
            <w:pPr>
              <w:pStyle w:val="5TextocomnIIGG"/>
              <w:spacing w:after="120"/>
            </w:pPr>
            <w:r w:rsidRPr="00DC55DC">
              <w:t>Radio censal (excepto 1991)</w:t>
            </w:r>
          </w:p>
        </w:tc>
      </w:tr>
      <w:tr w:rsidR="00DC55DC" w:rsidRPr="00C540A0" w14:paraId="285EAF08" w14:textId="1566BCEB" w:rsidTr="00DC55DC">
        <w:trPr>
          <w:jc w:val="center"/>
        </w:trPr>
        <w:tc>
          <w:tcPr>
            <w:tcW w:w="789" w:type="pct"/>
            <w:vMerge w:val="restart"/>
            <w:vAlign w:val="center"/>
          </w:tcPr>
          <w:p w14:paraId="0801FB6B" w14:textId="0F98D909" w:rsidR="00DC55DC" w:rsidRPr="00C540A0" w:rsidRDefault="00DC55DC" w:rsidP="00DC55DC">
            <w:pPr>
              <w:pStyle w:val="5TextocomnIIGG"/>
              <w:spacing w:after="120"/>
            </w:pPr>
            <w:r>
              <w:t>Turismo serviciado</w:t>
            </w:r>
          </w:p>
        </w:tc>
        <w:tc>
          <w:tcPr>
            <w:tcW w:w="737" w:type="pct"/>
            <w:vAlign w:val="center"/>
          </w:tcPr>
          <w:p w14:paraId="4F16FE14" w14:textId="30C9AF88" w:rsidR="00DC55DC" w:rsidRPr="000001BA" w:rsidRDefault="00DC55DC" w:rsidP="00DC55DC">
            <w:pPr>
              <w:pStyle w:val="5TextocomnIIGG"/>
              <w:spacing w:after="120"/>
            </w:pPr>
            <w:r w:rsidRPr="000001BA">
              <w:t>CNPHyV colectivas</w:t>
            </w:r>
          </w:p>
        </w:tc>
        <w:tc>
          <w:tcPr>
            <w:tcW w:w="929" w:type="pct"/>
            <w:vAlign w:val="center"/>
          </w:tcPr>
          <w:p w14:paraId="401E26AC" w14:textId="5A621310" w:rsidR="00DC55DC" w:rsidRPr="00C540A0" w:rsidRDefault="00DC55DC" w:rsidP="00DC55DC">
            <w:pPr>
              <w:pStyle w:val="5TextocomnIIGG"/>
              <w:spacing w:after="120"/>
            </w:pPr>
            <w:r w:rsidRPr="000001BA">
              <w:t>1991, 2001, 2010 y 2022</w:t>
            </w:r>
          </w:p>
        </w:tc>
        <w:tc>
          <w:tcPr>
            <w:tcW w:w="1407" w:type="pct"/>
            <w:vAlign w:val="center"/>
          </w:tcPr>
          <w:p w14:paraId="3E513B45" w14:textId="3082957F" w:rsidR="00DC55DC" w:rsidRPr="00DC55DC" w:rsidRDefault="00DC55DC" w:rsidP="00DC55DC">
            <w:pPr>
              <w:pStyle w:val="5TextocomnIIGG"/>
              <w:spacing w:after="120"/>
            </w:pPr>
            <w:r w:rsidRPr="00DC55DC">
              <w:t>Viviendas colectivas censadas como alojamiento turístico sobre el total regional</w:t>
            </w:r>
          </w:p>
          <w:p w14:paraId="5FBE736B" w14:textId="1CADFEC8" w:rsidR="00DC55DC" w:rsidRPr="00C540A0" w:rsidRDefault="00DC55DC" w:rsidP="00DC55DC">
            <w:pPr>
              <w:pStyle w:val="5TextocomnIIGG"/>
              <w:spacing w:after="120"/>
            </w:pPr>
            <w:r w:rsidRPr="00DC55DC">
              <w:t>Tasa de crecimiento anual intercensal (TCAI) ‰</w:t>
            </w:r>
          </w:p>
        </w:tc>
        <w:tc>
          <w:tcPr>
            <w:tcW w:w="1138" w:type="pct"/>
            <w:vAlign w:val="center"/>
          </w:tcPr>
          <w:p w14:paraId="216A4A8E" w14:textId="7F643CA4" w:rsidR="00DC55DC" w:rsidRPr="00030B00" w:rsidRDefault="00DC55DC" w:rsidP="00DC55DC">
            <w:pPr>
              <w:pStyle w:val="5TextocomnIIGG"/>
              <w:spacing w:after="120"/>
            </w:pPr>
            <w:r w:rsidRPr="00DC55DC">
              <w:t xml:space="preserve">Departamento/ Partido </w:t>
            </w:r>
          </w:p>
        </w:tc>
      </w:tr>
      <w:tr w:rsidR="00DC55DC" w:rsidRPr="00C540A0" w14:paraId="65B148DA" w14:textId="05BAF27F" w:rsidTr="00DC55DC">
        <w:trPr>
          <w:jc w:val="center"/>
        </w:trPr>
        <w:tc>
          <w:tcPr>
            <w:tcW w:w="789" w:type="pct"/>
            <w:vMerge/>
          </w:tcPr>
          <w:p w14:paraId="536D939B" w14:textId="32686A0D" w:rsidR="00DC55DC" w:rsidRPr="00C540A0" w:rsidRDefault="00DC55DC" w:rsidP="00DC55DC">
            <w:pPr>
              <w:pStyle w:val="5TextocomnIIGG"/>
              <w:spacing w:after="120"/>
            </w:pPr>
          </w:p>
        </w:tc>
        <w:tc>
          <w:tcPr>
            <w:tcW w:w="737" w:type="pct"/>
            <w:vAlign w:val="center"/>
          </w:tcPr>
          <w:p w14:paraId="2DC48903" w14:textId="445FB24C" w:rsidR="00DC55DC" w:rsidRPr="00C540A0" w:rsidRDefault="00DC55DC" w:rsidP="00DC55DC">
            <w:pPr>
              <w:pStyle w:val="5TextocomnIIGG"/>
              <w:spacing w:after="120"/>
            </w:pPr>
            <w:r w:rsidRPr="000001BA">
              <w:t>CNA</w:t>
            </w:r>
          </w:p>
        </w:tc>
        <w:tc>
          <w:tcPr>
            <w:tcW w:w="929" w:type="pct"/>
            <w:vAlign w:val="center"/>
          </w:tcPr>
          <w:p w14:paraId="67C8FA8D" w14:textId="7F823542" w:rsidR="00DC55DC" w:rsidRPr="00C540A0" w:rsidRDefault="00DC55DC" w:rsidP="00DC55DC">
            <w:pPr>
              <w:pStyle w:val="5TextocomnIIGG"/>
              <w:spacing w:after="120"/>
            </w:pPr>
            <w:r w:rsidRPr="000001BA">
              <w:t>2002 y 2018</w:t>
            </w:r>
          </w:p>
        </w:tc>
        <w:tc>
          <w:tcPr>
            <w:tcW w:w="1407" w:type="pct"/>
            <w:vAlign w:val="center"/>
          </w:tcPr>
          <w:p w14:paraId="50FDE2D6" w14:textId="5A1409BC" w:rsidR="00DC55DC" w:rsidRPr="00DC55DC" w:rsidRDefault="00DC55DC" w:rsidP="00DC55DC">
            <w:pPr>
              <w:pStyle w:val="5TextocomnIIGG"/>
              <w:spacing w:after="120"/>
            </w:pPr>
            <w:r w:rsidRPr="00DC55DC">
              <w:t>Variación porcentual de EAPs con alojamiento</w:t>
            </w:r>
          </w:p>
          <w:p w14:paraId="2440D17C" w14:textId="4DC64B49" w:rsidR="00DC55DC" w:rsidRPr="00C540A0" w:rsidRDefault="00DC55DC" w:rsidP="00DC55DC">
            <w:pPr>
              <w:pStyle w:val="5TextocomnIIGG"/>
              <w:spacing w:after="120"/>
            </w:pPr>
            <w:r w:rsidRPr="00DC55DC">
              <w:t>EAPs con alojamiento sobre el total regional</w:t>
            </w:r>
          </w:p>
        </w:tc>
        <w:tc>
          <w:tcPr>
            <w:tcW w:w="1138" w:type="pct"/>
            <w:vAlign w:val="center"/>
          </w:tcPr>
          <w:p w14:paraId="6FF59B7F" w14:textId="43776074" w:rsidR="00DC55DC" w:rsidRPr="00030B00" w:rsidRDefault="00DC55DC" w:rsidP="00DC55DC">
            <w:pPr>
              <w:pStyle w:val="5TextocomnIIGG"/>
              <w:spacing w:after="120"/>
            </w:pPr>
            <w:r w:rsidRPr="00DC55DC">
              <w:t xml:space="preserve">Departamento/ Partido </w:t>
            </w:r>
          </w:p>
        </w:tc>
      </w:tr>
      <w:tr w:rsidR="00DC55DC" w:rsidRPr="00C540A0" w14:paraId="3728AA0E" w14:textId="3C5B3B2B" w:rsidTr="00DC55DC">
        <w:trPr>
          <w:jc w:val="center"/>
        </w:trPr>
        <w:tc>
          <w:tcPr>
            <w:tcW w:w="789" w:type="pct"/>
            <w:vMerge/>
          </w:tcPr>
          <w:p w14:paraId="5D44C5FC" w14:textId="36D06052" w:rsidR="00DC55DC" w:rsidRPr="00C540A0" w:rsidRDefault="00DC55DC" w:rsidP="00DC55DC">
            <w:pPr>
              <w:pStyle w:val="5TextocomnIIGG"/>
              <w:spacing w:after="120"/>
            </w:pPr>
          </w:p>
        </w:tc>
        <w:tc>
          <w:tcPr>
            <w:tcW w:w="737" w:type="pct"/>
            <w:vAlign w:val="center"/>
          </w:tcPr>
          <w:p w14:paraId="326C38E1" w14:textId="2647E8CD" w:rsidR="00DC55DC" w:rsidRPr="00C540A0" w:rsidRDefault="00DC55DC" w:rsidP="00DC55DC">
            <w:pPr>
              <w:pStyle w:val="5TextocomnIIGG"/>
              <w:spacing w:after="120"/>
            </w:pPr>
            <w:r w:rsidRPr="000001BA">
              <w:t>EOH</w:t>
            </w:r>
          </w:p>
        </w:tc>
        <w:tc>
          <w:tcPr>
            <w:tcW w:w="929" w:type="pct"/>
            <w:vAlign w:val="center"/>
          </w:tcPr>
          <w:p w14:paraId="2462F84D" w14:textId="41422D1F" w:rsidR="00DC55DC" w:rsidRPr="00C540A0" w:rsidRDefault="00DC55DC" w:rsidP="00DC55DC">
            <w:pPr>
              <w:pStyle w:val="5TextocomnIIGG"/>
              <w:spacing w:after="120"/>
            </w:pPr>
            <w:r w:rsidRPr="000001BA">
              <w:t>2004 a 2024</w:t>
            </w:r>
          </w:p>
        </w:tc>
        <w:tc>
          <w:tcPr>
            <w:tcW w:w="1407" w:type="pct"/>
            <w:vAlign w:val="center"/>
          </w:tcPr>
          <w:p w14:paraId="03DC5800" w14:textId="4B430F21" w:rsidR="00DC55DC" w:rsidRPr="00C540A0" w:rsidRDefault="00DC55DC" w:rsidP="00DC55DC">
            <w:pPr>
              <w:pStyle w:val="5TextocomnIIGG"/>
              <w:spacing w:after="120"/>
            </w:pPr>
            <w:r w:rsidRPr="00DC55DC">
              <w:t>Promedio anual y mensual de alojamientos</w:t>
            </w:r>
          </w:p>
        </w:tc>
        <w:tc>
          <w:tcPr>
            <w:tcW w:w="1138" w:type="pct"/>
            <w:vAlign w:val="center"/>
          </w:tcPr>
          <w:p w14:paraId="12F9A6FB" w14:textId="6208C120" w:rsidR="00DC55DC" w:rsidRPr="00030B00" w:rsidRDefault="00DC55DC" w:rsidP="00DC55DC">
            <w:pPr>
              <w:pStyle w:val="5TextocomnIIGG"/>
              <w:spacing w:after="120"/>
            </w:pPr>
            <w:r w:rsidRPr="00DC55DC">
              <w:t>Localidad</w:t>
            </w:r>
          </w:p>
        </w:tc>
      </w:tr>
      <w:tr w:rsidR="00DC55DC" w:rsidRPr="00C540A0" w14:paraId="424D3765" w14:textId="77777777" w:rsidTr="00DC55DC">
        <w:trPr>
          <w:jc w:val="center"/>
        </w:trPr>
        <w:tc>
          <w:tcPr>
            <w:tcW w:w="789" w:type="pct"/>
            <w:vMerge/>
          </w:tcPr>
          <w:p w14:paraId="11CFB57E" w14:textId="77777777" w:rsidR="00DC55DC" w:rsidRPr="00C540A0" w:rsidRDefault="00DC55DC" w:rsidP="00DC55DC">
            <w:pPr>
              <w:pStyle w:val="5TextocomnIIGG"/>
              <w:spacing w:after="120"/>
            </w:pPr>
          </w:p>
        </w:tc>
        <w:tc>
          <w:tcPr>
            <w:tcW w:w="737" w:type="pct"/>
            <w:vAlign w:val="center"/>
          </w:tcPr>
          <w:p w14:paraId="68724BFB" w14:textId="2FBAB61F" w:rsidR="00DC55DC" w:rsidRPr="00C540A0" w:rsidRDefault="00DC55DC" w:rsidP="00DC55DC">
            <w:pPr>
              <w:pStyle w:val="5TextocomnIIGG"/>
              <w:spacing w:after="120"/>
            </w:pPr>
            <w:r w:rsidRPr="000001BA">
              <w:t>PUNA</w:t>
            </w:r>
          </w:p>
        </w:tc>
        <w:tc>
          <w:tcPr>
            <w:tcW w:w="929" w:type="pct"/>
            <w:vAlign w:val="center"/>
          </w:tcPr>
          <w:p w14:paraId="03D9D8A5" w14:textId="22C9D9C0" w:rsidR="00DC55DC" w:rsidRPr="00C540A0" w:rsidRDefault="00DC55DC" w:rsidP="00DC55DC">
            <w:pPr>
              <w:pStyle w:val="5TextocomnIIGG"/>
              <w:spacing w:after="120"/>
            </w:pPr>
            <w:r w:rsidRPr="000001BA">
              <w:t>2014 a 2024</w:t>
            </w:r>
          </w:p>
        </w:tc>
        <w:tc>
          <w:tcPr>
            <w:tcW w:w="1407" w:type="pct"/>
            <w:vAlign w:val="center"/>
          </w:tcPr>
          <w:p w14:paraId="5758DA1A" w14:textId="66A83622" w:rsidR="00DC55DC" w:rsidRPr="00C540A0" w:rsidRDefault="00DC55DC" w:rsidP="00DC55DC">
            <w:pPr>
              <w:pStyle w:val="5TextocomnIIGG"/>
              <w:spacing w:after="120"/>
            </w:pPr>
            <w:r w:rsidRPr="00DC55DC">
              <w:t xml:space="preserve">Variación porcentual del total de alojamientos </w:t>
            </w:r>
            <w:r w:rsidRPr="00DC55DC">
              <w:lastRenderedPageBreak/>
              <w:t>(hoteleros y parahoteleros)</w:t>
            </w:r>
          </w:p>
        </w:tc>
        <w:tc>
          <w:tcPr>
            <w:tcW w:w="1138" w:type="pct"/>
            <w:vAlign w:val="center"/>
          </w:tcPr>
          <w:p w14:paraId="06B3FF13" w14:textId="2EF721EC" w:rsidR="00DC55DC" w:rsidRPr="00030B00" w:rsidRDefault="00DC55DC" w:rsidP="00DC55DC">
            <w:pPr>
              <w:pStyle w:val="5TextocomnIIGG"/>
              <w:spacing w:after="120"/>
            </w:pPr>
            <w:r w:rsidRPr="00DC55DC">
              <w:lastRenderedPageBreak/>
              <w:t xml:space="preserve">Localidad </w:t>
            </w:r>
          </w:p>
        </w:tc>
      </w:tr>
    </w:tbl>
    <w:p w14:paraId="4E2865BD" w14:textId="736984E5" w:rsidR="000001BA" w:rsidRDefault="000001BA" w:rsidP="000001BA">
      <w:pPr>
        <w:pStyle w:val="8FigurasyTablasFuenteyoelaboracin"/>
        <w:spacing w:after="120"/>
      </w:pPr>
      <w:r w:rsidRPr="00735CD9">
        <w:t>Elaboración</w:t>
      </w:r>
      <w:r w:rsidRPr="00026DAC">
        <w:t xml:space="preserve"> propia</w:t>
      </w:r>
    </w:p>
    <w:p w14:paraId="55B7E4DD" w14:textId="4B4B7B14" w:rsidR="007C565C" w:rsidRDefault="00DC55DC" w:rsidP="00261A68">
      <w:pPr>
        <w:pStyle w:val="5TextocomnIIGG"/>
        <w:spacing w:after="120"/>
        <w:ind w:firstLine="567"/>
      </w:pPr>
      <w:r w:rsidRPr="00DC55DC">
        <w:t xml:space="preserve">En relación a la primera fuente, la forma de sobrellevar la dificultad que supone, en términos operativos, trabajar con una categoría censal que, relevamiento tras relevamiento, cambia de denominación consiste en utilizar una expresión generalizada como la de viviendas de potencial uso turístico (VPUT). Si bien esta decisión metodológica se sostiene en </w:t>
      </w:r>
      <w:r w:rsidR="00EF4534">
        <w:t xml:space="preserve">la </w:t>
      </w:r>
      <w:r w:rsidR="00EF4534" w:rsidRPr="00DC55DC">
        <w:t>recomendación</w:t>
      </w:r>
      <w:r w:rsidRPr="00DC55DC">
        <w:t xml:space="preserve"> d</w:t>
      </w:r>
      <w:r w:rsidR="00EF4534">
        <w:t>e</w:t>
      </w:r>
      <w:r w:rsidRPr="00DC55DC">
        <w:t xml:space="preserve"> Cortina</w:t>
      </w:r>
      <w:r>
        <w:t xml:space="preserve">, </w:t>
      </w:r>
      <w:r w:rsidRPr="00DC55DC">
        <w:t>Martínez</w:t>
      </w:r>
      <w:r>
        <w:t xml:space="preserve"> y</w:t>
      </w:r>
      <w:r w:rsidRPr="00DC55DC">
        <w:t xml:space="preserve"> Varela (2002), Domínguez </w:t>
      </w:r>
      <w:r w:rsidRPr="00DC55DC">
        <w:rPr>
          <w:i/>
          <w:iCs/>
        </w:rPr>
        <w:t>et al.</w:t>
      </w:r>
      <w:r w:rsidRPr="00DC55DC">
        <w:t xml:space="preserve"> (2016) reconocen que considerar esta locución como base para cuantificar el turismo residenciado encuentra entre sus problemáticas la disponibilidad del dato únicamente cada 10 años.</w:t>
      </w:r>
    </w:p>
    <w:p w14:paraId="7DCF371D" w14:textId="7C5C585C" w:rsidR="00DC55DC" w:rsidRPr="00325DC9" w:rsidRDefault="00DC55DC" w:rsidP="00261A68">
      <w:pPr>
        <w:pStyle w:val="5TextocomnIIGG"/>
        <w:spacing w:after="120"/>
        <w:ind w:firstLine="567"/>
      </w:pPr>
      <w:r w:rsidRPr="00325DC9">
        <w:t>Dependiendo de la naturaleza del dato, los indicadores a los que se apela son tasas de crecimiento anual intercensal (TCAI ‰), calculadas mediante la fórmula exponencial</w:t>
      </w:r>
      <w:r w:rsidR="00325DC9" w:rsidRPr="00325DC9">
        <w:rPr>
          <w:rStyle w:val="Refdenotaalpie"/>
        </w:rPr>
        <w:footnoteReference w:id="5"/>
      </w:r>
      <w:r w:rsidRPr="00325DC9">
        <w:t>, variaciones porcentuales y promedios anuales o mensuales, tanto de viviendas como de establecimientos hoteleros y parahoteleros. Entre los dos primeros cómputos radica una diferencia clave, ya que la variación relativa solo muestra una modificación, o no, respecto de un valor inicial, encubriendo el ritmo en el que se produce el cambio. En el caso de la EOH, la difusión mensual de estadísticas posibilita representar gráficamente la fluctuación interanual, pudiéndose abordar la estacionalidad a partir de una periodización de la serie de datos.</w:t>
      </w:r>
    </w:p>
    <w:p w14:paraId="0DA3C3C6" w14:textId="28308685" w:rsidR="00DC55DC" w:rsidRPr="00325DC9" w:rsidRDefault="00DC55DC" w:rsidP="00261A68">
      <w:pPr>
        <w:pStyle w:val="5TextocomnIIGG"/>
        <w:spacing w:after="120"/>
        <w:ind w:firstLine="567"/>
      </w:pPr>
      <w:r w:rsidRPr="00325DC9">
        <w:t>Para la elaboración de la cartografía temática se hace uso del SIG de acceso libre QGIS y para su análisis e interpretación se recuperan lecturas y aportes procedentes de fuentes bibliográficas e institucionales. Así se pretende integrar lo que Murray y Martínez-Caldentey (2020) definen como posturas ortodoxa y crítica en el estudio del turismo. Mientras que la primera se basa en el empleo de metodologías cuantitativas, la segunda centra su atención sobre causas y contextos, acudiendo para ello a métodos cualitativos. Precisamente, los autores precitados expresan la importancia de fortalecer el estudio a escala regional del turismo y la desigualdad (en este caso, espacial) mediante la combinación del análisis espacial-cuantitativo y los aportes provenientes, por ejemplo, de la Geografía crítica.</w:t>
      </w:r>
    </w:p>
    <w:p w14:paraId="6568A3AD" w14:textId="77777777" w:rsidR="006222C8" w:rsidRPr="00026DAC" w:rsidRDefault="006222C8" w:rsidP="00325DC9">
      <w:pPr>
        <w:pStyle w:val="5TextocomnIIGG"/>
        <w:spacing w:after="120"/>
      </w:pPr>
    </w:p>
    <w:p w14:paraId="43B070DB" w14:textId="7A681BCA" w:rsidR="00026DAC" w:rsidRDefault="00026DAC" w:rsidP="00F90F49">
      <w:pPr>
        <w:pStyle w:val="4TtulosepgrafesIIGG"/>
        <w:numPr>
          <w:ilvl w:val="0"/>
          <w:numId w:val="16"/>
        </w:numPr>
        <w:spacing w:after="120"/>
      </w:pPr>
      <w:r w:rsidRPr="00026DAC">
        <w:t>Resultados</w:t>
      </w:r>
      <w:r w:rsidR="00325DC9">
        <w:t xml:space="preserve"> y discusión</w:t>
      </w:r>
    </w:p>
    <w:p w14:paraId="302AF0E4" w14:textId="77777777" w:rsidR="00F90F49" w:rsidRDefault="00F90F49" w:rsidP="00F90F49">
      <w:pPr>
        <w:pStyle w:val="4TtulosepgrafesIIGG"/>
        <w:spacing w:after="120"/>
        <w:ind w:left="360"/>
      </w:pPr>
    </w:p>
    <w:p w14:paraId="0A2BDD87" w14:textId="6C6E17C8" w:rsidR="00325DC9" w:rsidRPr="00026DAC" w:rsidRDefault="00325DC9" w:rsidP="002E47F3">
      <w:pPr>
        <w:pStyle w:val="4TtulosepgrafesIIGG"/>
        <w:spacing w:after="120"/>
      </w:pPr>
      <w:r>
        <w:t>3</w:t>
      </w:r>
      <w:r w:rsidRPr="00026DAC">
        <w:t xml:space="preserve">.1. </w:t>
      </w:r>
      <w:r>
        <w:t xml:space="preserve">Mapeo </w:t>
      </w:r>
      <w:r w:rsidR="00983C49">
        <w:t xml:space="preserve">y análisis </w:t>
      </w:r>
      <w:r>
        <w:t>del turismo residenciado</w:t>
      </w:r>
    </w:p>
    <w:p w14:paraId="62E66C08" w14:textId="3D9E9C70" w:rsidR="00026DAC" w:rsidRDefault="00325DC9" w:rsidP="00325DC9">
      <w:pPr>
        <w:pStyle w:val="5TextocomnIIGG"/>
        <w:spacing w:after="120"/>
        <w:ind w:firstLine="567"/>
      </w:pPr>
      <w:r w:rsidRPr="00325DC9">
        <w:t xml:space="preserve">Si bien la primacía de Mar del Plata como destino turístico en el marco </w:t>
      </w:r>
      <w:r w:rsidR="00F05BFD">
        <w:t>del sudeste bonaerense</w:t>
      </w:r>
      <w:r w:rsidRPr="00325DC9">
        <w:t xml:space="preserve"> lejos está de considerarse un dato novedoso, en la Tabla 3 se refleja esa diferencia, puesto que General Pueyrredon sobresale frente al resto de los partidos que integran el sudeste bonaerense, no solo en términos demográficos, sino también habitacionales (viviendas particulares y VPUT</w:t>
      </w:r>
      <w:r w:rsidRPr="00040A09">
        <w:t xml:space="preserve">). Los datos relativos también dejan documentada la importancia del turismo en otros destinos del frente marítimo bonaerense que, en diferentes momentos históricos, dieron acogida a sectores sociales que, impulsados por la distinción social y la menor popularidad, se alejaron de Mar del Plata y arribaron a localidades </w:t>
      </w:r>
      <w:r w:rsidR="00040A09" w:rsidRPr="00040A09">
        <w:t>asentadas</w:t>
      </w:r>
      <w:r w:rsidRPr="00040A09">
        <w:t xml:space="preserve"> en partidos como General Alvarado, Mar Chiquita, Pinamar y Villa Gesell (Bertoncello, 2006; Pastoriza, 2011). La relevancia del turismo en la región puede valorarse tomando de parámetro el último censo, el cual reveló que las VPUT representan más de la mitad de las viviendas desocupadas (53,6%) y el 20% del total nacional.  </w:t>
      </w:r>
    </w:p>
    <w:p w14:paraId="31F12C2F" w14:textId="44CB5970" w:rsidR="00983C49" w:rsidRPr="00177542" w:rsidRDefault="00983C49" w:rsidP="00983C49">
      <w:pPr>
        <w:pStyle w:val="7FigurasytablasencabezadoIIGG"/>
        <w:rPr>
          <w:b/>
          <w:bCs/>
        </w:rPr>
      </w:pPr>
      <w:r w:rsidRPr="00177542">
        <w:rPr>
          <w:b/>
          <w:bCs/>
        </w:rPr>
        <w:lastRenderedPageBreak/>
        <w:t>Tabla 3. Partidos del sudeste de la Provincia de Buenos Aires: población, viviendas particulares, viviendas de potencial uso turístico (VPUT) y tasas de crecimiento anual intercensal (TCAI) (‰), 1991, 2001, 2010 y 2022</w:t>
      </w:r>
    </w:p>
    <w:tbl>
      <w:tblPr>
        <w:tblStyle w:val="Tablaconcuadrcula"/>
        <w:tblW w:w="0" w:type="auto"/>
        <w:jc w:val="center"/>
        <w:tblLook w:val="04A0" w:firstRow="1" w:lastRow="0" w:firstColumn="1" w:lastColumn="0" w:noHBand="0" w:noVBand="1"/>
      </w:tblPr>
      <w:tblGrid>
        <w:gridCol w:w="1252"/>
        <w:gridCol w:w="1113"/>
        <w:gridCol w:w="1262"/>
        <w:gridCol w:w="832"/>
        <w:gridCol w:w="608"/>
        <w:gridCol w:w="1112"/>
        <w:gridCol w:w="1243"/>
        <w:gridCol w:w="1030"/>
        <w:gridCol w:w="608"/>
      </w:tblGrid>
      <w:tr w:rsidR="00F326F1" w:rsidRPr="00C540A0" w14:paraId="2E53845D" w14:textId="3318BA1C" w:rsidTr="00F326F1">
        <w:trPr>
          <w:jc w:val="center"/>
        </w:trPr>
        <w:tc>
          <w:tcPr>
            <w:tcW w:w="1261" w:type="dxa"/>
            <w:vMerge w:val="restart"/>
          </w:tcPr>
          <w:p w14:paraId="5AB61198" w14:textId="0EA9D9E3" w:rsidR="00F326F1" w:rsidRPr="00D821B0" w:rsidRDefault="00F326F1" w:rsidP="00926D32">
            <w:pPr>
              <w:pStyle w:val="5TextocomnIIGG"/>
              <w:spacing w:after="120"/>
              <w:jc w:val="center"/>
              <w:rPr>
                <w:b/>
              </w:rPr>
            </w:pPr>
            <w:r>
              <w:rPr>
                <w:b/>
              </w:rPr>
              <w:t>Partido</w:t>
            </w:r>
          </w:p>
        </w:tc>
        <w:tc>
          <w:tcPr>
            <w:tcW w:w="3843" w:type="dxa"/>
            <w:gridSpan w:val="4"/>
          </w:tcPr>
          <w:p w14:paraId="75D76CCD" w14:textId="053EB879" w:rsidR="00F326F1" w:rsidRPr="00D821B0" w:rsidRDefault="00F326F1" w:rsidP="00983C49">
            <w:pPr>
              <w:pStyle w:val="5TextocomnIIGG"/>
              <w:spacing w:after="120"/>
              <w:jc w:val="center"/>
              <w:rPr>
                <w:b/>
              </w:rPr>
            </w:pPr>
            <w:r>
              <w:rPr>
                <w:b/>
              </w:rPr>
              <w:t>15 de mayo de 1991</w:t>
            </w:r>
          </w:p>
        </w:tc>
        <w:tc>
          <w:tcPr>
            <w:tcW w:w="3956" w:type="dxa"/>
            <w:gridSpan w:val="4"/>
          </w:tcPr>
          <w:p w14:paraId="56A89611" w14:textId="1F2D2009" w:rsidR="00F326F1" w:rsidRPr="00D821B0" w:rsidRDefault="00F326F1" w:rsidP="00926D32">
            <w:pPr>
              <w:pStyle w:val="5TextocomnIIGG"/>
              <w:spacing w:after="120"/>
              <w:jc w:val="center"/>
              <w:rPr>
                <w:b/>
              </w:rPr>
            </w:pPr>
            <w:r>
              <w:rPr>
                <w:b/>
              </w:rPr>
              <w:t>17 de noviembre de 2001</w:t>
            </w:r>
          </w:p>
        </w:tc>
      </w:tr>
      <w:tr w:rsidR="00F326F1" w:rsidRPr="00C540A0" w14:paraId="6E6738AF" w14:textId="1C91F879" w:rsidTr="00F326F1">
        <w:trPr>
          <w:jc w:val="center"/>
        </w:trPr>
        <w:tc>
          <w:tcPr>
            <w:tcW w:w="1261" w:type="dxa"/>
            <w:vMerge/>
          </w:tcPr>
          <w:p w14:paraId="5509B515" w14:textId="781E1A2E" w:rsidR="00F326F1" w:rsidRPr="00C540A0" w:rsidRDefault="00F326F1" w:rsidP="00926D32">
            <w:pPr>
              <w:pStyle w:val="5TextocomnIIGG"/>
              <w:spacing w:after="120"/>
            </w:pPr>
          </w:p>
        </w:tc>
        <w:tc>
          <w:tcPr>
            <w:tcW w:w="1121" w:type="dxa"/>
            <w:vMerge w:val="restart"/>
          </w:tcPr>
          <w:p w14:paraId="7074C38A" w14:textId="26C22733" w:rsidR="00F326F1" w:rsidRPr="00944569" w:rsidRDefault="00F326F1" w:rsidP="00944569">
            <w:pPr>
              <w:pStyle w:val="5TextocomnIIGG"/>
              <w:spacing w:after="120"/>
              <w:jc w:val="center"/>
              <w:rPr>
                <w:sz w:val="22"/>
                <w:szCs w:val="22"/>
              </w:rPr>
            </w:pPr>
            <w:r w:rsidRPr="00944569">
              <w:rPr>
                <w:sz w:val="22"/>
                <w:szCs w:val="22"/>
              </w:rPr>
              <w:t>Población</w:t>
            </w:r>
          </w:p>
        </w:tc>
        <w:tc>
          <w:tcPr>
            <w:tcW w:w="1272" w:type="dxa"/>
            <w:vMerge w:val="restart"/>
          </w:tcPr>
          <w:p w14:paraId="4A7E67F7" w14:textId="06499FA8" w:rsidR="00F326F1" w:rsidRPr="00944569" w:rsidRDefault="00F326F1" w:rsidP="00944569">
            <w:pPr>
              <w:pStyle w:val="5TextocomnIIGG"/>
              <w:spacing w:after="120"/>
              <w:jc w:val="center"/>
              <w:rPr>
                <w:sz w:val="22"/>
                <w:szCs w:val="22"/>
              </w:rPr>
            </w:pPr>
            <w:r w:rsidRPr="00944569">
              <w:rPr>
                <w:sz w:val="22"/>
                <w:szCs w:val="22"/>
              </w:rPr>
              <w:t>Viviendas particulares</w:t>
            </w:r>
          </w:p>
        </w:tc>
        <w:tc>
          <w:tcPr>
            <w:tcW w:w="1450" w:type="dxa"/>
            <w:gridSpan w:val="2"/>
          </w:tcPr>
          <w:p w14:paraId="1C49A1D2" w14:textId="5551F3AB" w:rsidR="00F326F1" w:rsidRPr="00944569" w:rsidRDefault="00F326F1" w:rsidP="00944569">
            <w:pPr>
              <w:pStyle w:val="5TextocomnIIGG"/>
              <w:spacing w:after="120"/>
              <w:jc w:val="center"/>
              <w:rPr>
                <w:sz w:val="22"/>
                <w:szCs w:val="22"/>
              </w:rPr>
            </w:pPr>
            <w:r w:rsidRPr="00944569">
              <w:rPr>
                <w:sz w:val="22"/>
                <w:szCs w:val="22"/>
              </w:rPr>
              <w:t>VPUT</w:t>
            </w:r>
          </w:p>
        </w:tc>
        <w:tc>
          <w:tcPr>
            <w:tcW w:w="1121" w:type="dxa"/>
            <w:vMerge w:val="restart"/>
          </w:tcPr>
          <w:p w14:paraId="5860D174" w14:textId="4F0B321D" w:rsidR="00F326F1" w:rsidRPr="00944569" w:rsidRDefault="00F326F1" w:rsidP="00944569">
            <w:pPr>
              <w:pStyle w:val="5TextocomnIIGG"/>
              <w:spacing w:after="120"/>
              <w:jc w:val="center"/>
              <w:rPr>
                <w:sz w:val="22"/>
                <w:szCs w:val="22"/>
              </w:rPr>
            </w:pPr>
            <w:r w:rsidRPr="00944569">
              <w:rPr>
                <w:sz w:val="22"/>
                <w:szCs w:val="22"/>
              </w:rPr>
              <w:t>Población</w:t>
            </w:r>
          </w:p>
        </w:tc>
        <w:tc>
          <w:tcPr>
            <w:tcW w:w="1141" w:type="dxa"/>
            <w:vMerge w:val="restart"/>
          </w:tcPr>
          <w:p w14:paraId="1940C64E" w14:textId="62213F43" w:rsidR="00F326F1" w:rsidRPr="00944569" w:rsidRDefault="00F326F1" w:rsidP="00944569">
            <w:pPr>
              <w:pStyle w:val="5TextocomnIIGG"/>
              <w:spacing w:after="120"/>
              <w:jc w:val="center"/>
              <w:rPr>
                <w:sz w:val="22"/>
                <w:szCs w:val="22"/>
              </w:rPr>
            </w:pPr>
            <w:r w:rsidRPr="00944569">
              <w:rPr>
                <w:sz w:val="22"/>
                <w:szCs w:val="22"/>
              </w:rPr>
              <w:t>Viviendas particulares</w:t>
            </w:r>
          </w:p>
        </w:tc>
        <w:tc>
          <w:tcPr>
            <w:tcW w:w="1694" w:type="dxa"/>
            <w:gridSpan w:val="2"/>
          </w:tcPr>
          <w:p w14:paraId="26F5FBD2" w14:textId="4C63418A" w:rsidR="00F326F1" w:rsidRPr="00944569" w:rsidRDefault="00F326F1" w:rsidP="00944569">
            <w:pPr>
              <w:pStyle w:val="5TextocomnIIGG"/>
              <w:spacing w:after="120"/>
              <w:jc w:val="center"/>
              <w:rPr>
                <w:sz w:val="22"/>
                <w:szCs w:val="22"/>
              </w:rPr>
            </w:pPr>
            <w:r w:rsidRPr="00944569">
              <w:rPr>
                <w:sz w:val="22"/>
                <w:szCs w:val="22"/>
              </w:rPr>
              <w:t>VPUT</w:t>
            </w:r>
          </w:p>
        </w:tc>
      </w:tr>
      <w:tr w:rsidR="00944569" w:rsidRPr="00C540A0" w14:paraId="3B73C599" w14:textId="45CA742A" w:rsidTr="00F326F1">
        <w:trPr>
          <w:jc w:val="center"/>
        </w:trPr>
        <w:tc>
          <w:tcPr>
            <w:tcW w:w="1261" w:type="dxa"/>
            <w:vMerge/>
          </w:tcPr>
          <w:p w14:paraId="08F67622" w14:textId="35DF6094" w:rsidR="00F326F1" w:rsidRPr="00C540A0" w:rsidRDefault="00F326F1" w:rsidP="00926D32">
            <w:pPr>
              <w:pStyle w:val="5TextocomnIIGG"/>
              <w:spacing w:after="120"/>
            </w:pPr>
          </w:p>
        </w:tc>
        <w:tc>
          <w:tcPr>
            <w:tcW w:w="1121" w:type="dxa"/>
            <w:vMerge/>
            <w:tcBorders>
              <w:bottom w:val="single" w:sz="4" w:space="0" w:color="auto"/>
            </w:tcBorders>
          </w:tcPr>
          <w:p w14:paraId="721EA0D5" w14:textId="180009AA" w:rsidR="00F326F1" w:rsidRPr="00944569" w:rsidRDefault="00F326F1" w:rsidP="00944569">
            <w:pPr>
              <w:pStyle w:val="5TextocomnIIGG"/>
              <w:spacing w:after="120"/>
              <w:jc w:val="center"/>
              <w:rPr>
                <w:sz w:val="22"/>
                <w:szCs w:val="22"/>
              </w:rPr>
            </w:pPr>
          </w:p>
        </w:tc>
        <w:tc>
          <w:tcPr>
            <w:tcW w:w="1272" w:type="dxa"/>
            <w:vMerge/>
            <w:tcBorders>
              <w:bottom w:val="single" w:sz="4" w:space="0" w:color="auto"/>
            </w:tcBorders>
          </w:tcPr>
          <w:p w14:paraId="1C0D0B36" w14:textId="39BD2340" w:rsidR="00F326F1" w:rsidRPr="00944569" w:rsidRDefault="00F326F1" w:rsidP="00944569">
            <w:pPr>
              <w:pStyle w:val="5TextocomnIIGG"/>
              <w:spacing w:after="120"/>
              <w:jc w:val="center"/>
              <w:rPr>
                <w:sz w:val="22"/>
                <w:szCs w:val="22"/>
              </w:rPr>
            </w:pPr>
          </w:p>
        </w:tc>
        <w:tc>
          <w:tcPr>
            <w:tcW w:w="838" w:type="dxa"/>
            <w:tcBorders>
              <w:bottom w:val="single" w:sz="4" w:space="0" w:color="auto"/>
            </w:tcBorders>
          </w:tcPr>
          <w:p w14:paraId="5C81BCC6" w14:textId="45154B85" w:rsidR="00F326F1" w:rsidRPr="00944569" w:rsidRDefault="00F326F1" w:rsidP="00944569">
            <w:pPr>
              <w:pStyle w:val="5TextocomnIIGG"/>
              <w:spacing w:after="120"/>
              <w:jc w:val="center"/>
              <w:rPr>
                <w:sz w:val="22"/>
                <w:szCs w:val="22"/>
              </w:rPr>
            </w:pPr>
            <w:r w:rsidRPr="00944569">
              <w:rPr>
                <w:sz w:val="22"/>
                <w:szCs w:val="22"/>
              </w:rPr>
              <w:t>Total</w:t>
            </w:r>
          </w:p>
        </w:tc>
        <w:tc>
          <w:tcPr>
            <w:tcW w:w="612" w:type="dxa"/>
            <w:tcBorders>
              <w:bottom w:val="single" w:sz="4" w:space="0" w:color="auto"/>
            </w:tcBorders>
          </w:tcPr>
          <w:p w14:paraId="3C497616" w14:textId="321A1047" w:rsidR="00F326F1" w:rsidRPr="00944569" w:rsidRDefault="00F326F1" w:rsidP="00944569">
            <w:pPr>
              <w:pStyle w:val="5TextocomnIIGG"/>
              <w:spacing w:after="120"/>
              <w:jc w:val="center"/>
              <w:rPr>
                <w:sz w:val="22"/>
                <w:szCs w:val="22"/>
              </w:rPr>
            </w:pPr>
            <w:r w:rsidRPr="00944569">
              <w:rPr>
                <w:sz w:val="22"/>
                <w:szCs w:val="22"/>
              </w:rPr>
              <w:t>%</w:t>
            </w:r>
          </w:p>
        </w:tc>
        <w:tc>
          <w:tcPr>
            <w:tcW w:w="1121" w:type="dxa"/>
            <w:vMerge/>
            <w:tcBorders>
              <w:bottom w:val="single" w:sz="4" w:space="0" w:color="auto"/>
            </w:tcBorders>
          </w:tcPr>
          <w:p w14:paraId="41FE574D" w14:textId="77777777" w:rsidR="00F326F1" w:rsidRPr="00944569" w:rsidRDefault="00F326F1" w:rsidP="00944569">
            <w:pPr>
              <w:pStyle w:val="5TextocomnIIGG"/>
              <w:spacing w:after="120"/>
              <w:jc w:val="center"/>
              <w:rPr>
                <w:sz w:val="22"/>
                <w:szCs w:val="22"/>
              </w:rPr>
            </w:pPr>
          </w:p>
        </w:tc>
        <w:tc>
          <w:tcPr>
            <w:tcW w:w="1141" w:type="dxa"/>
            <w:vMerge/>
            <w:tcBorders>
              <w:bottom w:val="single" w:sz="4" w:space="0" w:color="auto"/>
            </w:tcBorders>
          </w:tcPr>
          <w:p w14:paraId="70E61431" w14:textId="77777777" w:rsidR="00F326F1" w:rsidRPr="00944569" w:rsidRDefault="00F326F1" w:rsidP="00944569">
            <w:pPr>
              <w:pStyle w:val="5TextocomnIIGG"/>
              <w:spacing w:after="120"/>
              <w:jc w:val="center"/>
              <w:rPr>
                <w:sz w:val="22"/>
                <w:szCs w:val="22"/>
              </w:rPr>
            </w:pPr>
          </w:p>
        </w:tc>
        <w:tc>
          <w:tcPr>
            <w:tcW w:w="1082" w:type="dxa"/>
            <w:tcBorders>
              <w:bottom w:val="single" w:sz="4" w:space="0" w:color="auto"/>
            </w:tcBorders>
          </w:tcPr>
          <w:p w14:paraId="326F4377" w14:textId="6437E420" w:rsidR="00F326F1" w:rsidRPr="00944569" w:rsidRDefault="00F326F1" w:rsidP="00944569">
            <w:pPr>
              <w:pStyle w:val="5TextocomnIIGG"/>
              <w:spacing w:after="120"/>
              <w:jc w:val="center"/>
              <w:rPr>
                <w:sz w:val="22"/>
                <w:szCs w:val="22"/>
              </w:rPr>
            </w:pPr>
            <w:r w:rsidRPr="00944569">
              <w:rPr>
                <w:sz w:val="22"/>
                <w:szCs w:val="22"/>
              </w:rPr>
              <w:t>Total</w:t>
            </w:r>
          </w:p>
        </w:tc>
        <w:tc>
          <w:tcPr>
            <w:tcW w:w="612" w:type="dxa"/>
            <w:tcBorders>
              <w:bottom w:val="single" w:sz="4" w:space="0" w:color="auto"/>
            </w:tcBorders>
          </w:tcPr>
          <w:p w14:paraId="02D7570A" w14:textId="2CEF51C1" w:rsidR="00F326F1" w:rsidRPr="00944569" w:rsidRDefault="00F326F1" w:rsidP="00944569">
            <w:pPr>
              <w:pStyle w:val="5TextocomnIIGG"/>
              <w:spacing w:after="120"/>
              <w:jc w:val="center"/>
              <w:rPr>
                <w:sz w:val="22"/>
                <w:szCs w:val="22"/>
              </w:rPr>
            </w:pPr>
            <w:r w:rsidRPr="00944569">
              <w:rPr>
                <w:sz w:val="22"/>
                <w:szCs w:val="22"/>
              </w:rPr>
              <w:t>%</w:t>
            </w:r>
          </w:p>
        </w:tc>
      </w:tr>
      <w:tr w:rsidR="00944569" w:rsidRPr="00C540A0" w14:paraId="41797A27" w14:textId="1A32BDB4" w:rsidTr="00F326F1">
        <w:trPr>
          <w:jc w:val="center"/>
        </w:trPr>
        <w:tc>
          <w:tcPr>
            <w:tcW w:w="1261" w:type="dxa"/>
          </w:tcPr>
          <w:p w14:paraId="63705426" w14:textId="54AF9205" w:rsidR="00F326F1" w:rsidRPr="00F326F1" w:rsidRDefault="00F326F1" w:rsidP="00F326F1">
            <w:pPr>
              <w:pStyle w:val="5TextocomnIIGG"/>
              <w:spacing w:after="120"/>
              <w:rPr>
                <w:sz w:val="22"/>
                <w:szCs w:val="22"/>
              </w:rPr>
            </w:pPr>
            <w:r w:rsidRPr="00F326F1">
              <w:rPr>
                <w:sz w:val="22"/>
                <w:szCs w:val="22"/>
              </w:rPr>
              <w:t>Ayacucho</w:t>
            </w:r>
          </w:p>
        </w:tc>
        <w:tc>
          <w:tcPr>
            <w:tcW w:w="1121" w:type="dxa"/>
            <w:tcBorders>
              <w:top w:val="single" w:sz="4" w:space="0" w:color="auto"/>
              <w:left w:val="single" w:sz="4" w:space="0" w:color="auto"/>
              <w:bottom w:val="single" w:sz="4" w:space="0" w:color="auto"/>
              <w:right w:val="single" w:sz="4" w:space="0" w:color="auto"/>
            </w:tcBorders>
            <w:vAlign w:val="bottom"/>
          </w:tcPr>
          <w:p w14:paraId="67592047" w14:textId="47DC75CC" w:rsidR="00F326F1" w:rsidRPr="00F326F1" w:rsidRDefault="00F326F1" w:rsidP="00F326F1">
            <w:pPr>
              <w:pStyle w:val="5TextocomnIIGG"/>
              <w:spacing w:after="120"/>
              <w:jc w:val="right"/>
              <w:rPr>
                <w:sz w:val="22"/>
                <w:szCs w:val="22"/>
              </w:rPr>
            </w:pPr>
            <w:r w:rsidRPr="00F326F1">
              <w:rPr>
                <w:sz w:val="22"/>
                <w:szCs w:val="22"/>
              </w:rPr>
              <w:t>19.634</w:t>
            </w:r>
          </w:p>
        </w:tc>
        <w:tc>
          <w:tcPr>
            <w:tcW w:w="1272" w:type="dxa"/>
            <w:tcBorders>
              <w:top w:val="single" w:sz="4" w:space="0" w:color="auto"/>
              <w:left w:val="single" w:sz="4" w:space="0" w:color="auto"/>
              <w:bottom w:val="single" w:sz="4" w:space="0" w:color="auto"/>
              <w:right w:val="single" w:sz="4" w:space="0" w:color="auto"/>
            </w:tcBorders>
            <w:vAlign w:val="bottom"/>
          </w:tcPr>
          <w:p w14:paraId="613821E7" w14:textId="6F9FFCE8" w:rsidR="00F326F1" w:rsidRPr="00F326F1" w:rsidRDefault="00F326F1" w:rsidP="00F326F1">
            <w:pPr>
              <w:pStyle w:val="5TextocomnIIGG"/>
              <w:spacing w:after="120"/>
              <w:jc w:val="right"/>
              <w:rPr>
                <w:sz w:val="22"/>
                <w:szCs w:val="22"/>
              </w:rPr>
            </w:pPr>
            <w:r w:rsidRPr="00F326F1">
              <w:rPr>
                <w:sz w:val="22"/>
                <w:szCs w:val="22"/>
              </w:rPr>
              <w:t>7.286</w:t>
            </w:r>
          </w:p>
        </w:tc>
        <w:tc>
          <w:tcPr>
            <w:tcW w:w="838" w:type="dxa"/>
            <w:tcBorders>
              <w:top w:val="single" w:sz="4" w:space="0" w:color="auto"/>
              <w:left w:val="single" w:sz="4" w:space="0" w:color="auto"/>
              <w:bottom w:val="single" w:sz="4" w:space="0" w:color="auto"/>
              <w:right w:val="single" w:sz="4" w:space="0" w:color="auto"/>
            </w:tcBorders>
            <w:vAlign w:val="bottom"/>
          </w:tcPr>
          <w:p w14:paraId="79C9444B" w14:textId="67B63C67" w:rsidR="00F326F1" w:rsidRPr="00F326F1" w:rsidRDefault="00F326F1" w:rsidP="00F326F1">
            <w:pPr>
              <w:pStyle w:val="5TextocomnIIGG"/>
              <w:spacing w:after="120"/>
              <w:jc w:val="right"/>
              <w:rPr>
                <w:sz w:val="22"/>
                <w:szCs w:val="22"/>
              </w:rPr>
            </w:pPr>
            <w:r w:rsidRPr="00F326F1">
              <w:rPr>
                <w:sz w:val="22"/>
                <w:szCs w:val="22"/>
              </w:rPr>
              <w:t>178</w:t>
            </w:r>
          </w:p>
        </w:tc>
        <w:tc>
          <w:tcPr>
            <w:tcW w:w="612" w:type="dxa"/>
            <w:tcBorders>
              <w:top w:val="single" w:sz="4" w:space="0" w:color="auto"/>
              <w:left w:val="single" w:sz="4" w:space="0" w:color="auto"/>
              <w:bottom w:val="single" w:sz="4" w:space="0" w:color="auto"/>
              <w:right w:val="single" w:sz="4" w:space="0" w:color="auto"/>
            </w:tcBorders>
            <w:vAlign w:val="bottom"/>
          </w:tcPr>
          <w:p w14:paraId="71DAEDF8" w14:textId="55381974" w:rsidR="00F326F1" w:rsidRPr="00F326F1" w:rsidRDefault="00F326F1" w:rsidP="00F326F1">
            <w:pPr>
              <w:pStyle w:val="5TextocomnIIGG"/>
              <w:spacing w:after="120"/>
              <w:jc w:val="right"/>
              <w:rPr>
                <w:sz w:val="22"/>
                <w:szCs w:val="22"/>
              </w:rPr>
            </w:pPr>
            <w:r w:rsidRPr="00F326F1">
              <w:rPr>
                <w:sz w:val="22"/>
                <w:szCs w:val="22"/>
              </w:rPr>
              <w:t>2,4</w:t>
            </w:r>
          </w:p>
        </w:tc>
        <w:tc>
          <w:tcPr>
            <w:tcW w:w="1121" w:type="dxa"/>
            <w:tcBorders>
              <w:top w:val="single" w:sz="4" w:space="0" w:color="auto"/>
              <w:left w:val="single" w:sz="4" w:space="0" w:color="auto"/>
              <w:bottom w:val="single" w:sz="4" w:space="0" w:color="auto"/>
              <w:right w:val="single" w:sz="4" w:space="0" w:color="auto"/>
            </w:tcBorders>
            <w:vAlign w:val="bottom"/>
          </w:tcPr>
          <w:p w14:paraId="105F91FB" w14:textId="22A0416B" w:rsidR="00F326F1" w:rsidRPr="00F326F1" w:rsidRDefault="00F326F1" w:rsidP="00F326F1">
            <w:pPr>
              <w:pStyle w:val="5TextocomnIIGG"/>
              <w:spacing w:after="120"/>
              <w:jc w:val="right"/>
              <w:rPr>
                <w:sz w:val="22"/>
                <w:szCs w:val="22"/>
              </w:rPr>
            </w:pPr>
            <w:r w:rsidRPr="00F326F1">
              <w:rPr>
                <w:sz w:val="22"/>
                <w:szCs w:val="22"/>
              </w:rPr>
              <w:t>19.669</w:t>
            </w:r>
          </w:p>
        </w:tc>
        <w:tc>
          <w:tcPr>
            <w:tcW w:w="1141" w:type="dxa"/>
            <w:tcBorders>
              <w:top w:val="single" w:sz="4" w:space="0" w:color="auto"/>
              <w:left w:val="single" w:sz="4" w:space="0" w:color="auto"/>
              <w:bottom w:val="single" w:sz="4" w:space="0" w:color="auto"/>
              <w:right w:val="single" w:sz="4" w:space="0" w:color="auto"/>
            </w:tcBorders>
            <w:vAlign w:val="bottom"/>
          </w:tcPr>
          <w:p w14:paraId="5FA9350C" w14:textId="78FA5B11" w:rsidR="00F326F1" w:rsidRPr="00F326F1" w:rsidRDefault="00F326F1" w:rsidP="00F326F1">
            <w:pPr>
              <w:pStyle w:val="5TextocomnIIGG"/>
              <w:spacing w:after="120"/>
              <w:jc w:val="right"/>
              <w:rPr>
                <w:sz w:val="22"/>
                <w:szCs w:val="22"/>
              </w:rPr>
            </w:pPr>
            <w:r w:rsidRPr="00F326F1">
              <w:rPr>
                <w:sz w:val="22"/>
                <w:szCs w:val="22"/>
              </w:rPr>
              <w:t>7.796</w:t>
            </w:r>
          </w:p>
        </w:tc>
        <w:tc>
          <w:tcPr>
            <w:tcW w:w="1082" w:type="dxa"/>
            <w:tcBorders>
              <w:top w:val="single" w:sz="4" w:space="0" w:color="auto"/>
              <w:left w:val="single" w:sz="4" w:space="0" w:color="auto"/>
              <w:bottom w:val="single" w:sz="4" w:space="0" w:color="auto"/>
              <w:right w:val="single" w:sz="4" w:space="0" w:color="auto"/>
            </w:tcBorders>
            <w:vAlign w:val="bottom"/>
          </w:tcPr>
          <w:p w14:paraId="3F0186B4" w14:textId="37849A08" w:rsidR="00F326F1" w:rsidRPr="00F326F1" w:rsidRDefault="00F326F1" w:rsidP="00F326F1">
            <w:pPr>
              <w:pStyle w:val="5TextocomnIIGG"/>
              <w:spacing w:after="120"/>
              <w:jc w:val="right"/>
              <w:rPr>
                <w:sz w:val="22"/>
                <w:szCs w:val="22"/>
              </w:rPr>
            </w:pPr>
            <w:r w:rsidRPr="00F326F1">
              <w:rPr>
                <w:sz w:val="22"/>
                <w:szCs w:val="22"/>
              </w:rPr>
              <w:t>215</w:t>
            </w:r>
          </w:p>
        </w:tc>
        <w:tc>
          <w:tcPr>
            <w:tcW w:w="612" w:type="dxa"/>
            <w:tcBorders>
              <w:top w:val="single" w:sz="4" w:space="0" w:color="auto"/>
              <w:left w:val="single" w:sz="4" w:space="0" w:color="auto"/>
              <w:bottom w:val="single" w:sz="4" w:space="0" w:color="auto"/>
              <w:right w:val="single" w:sz="4" w:space="0" w:color="auto"/>
            </w:tcBorders>
            <w:vAlign w:val="bottom"/>
          </w:tcPr>
          <w:p w14:paraId="27A4562C" w14:textId="7515EC4F" w:rsidR="00F326F1" w:rsidRPr="00F326F1" w:rsidRDefault="00F326F1" w:rsidP="00F326F1">
            <w:pPr>
              <w:pStyle w:val="5TextocomnIIGG"/>
              <w:spacing w:after="120"/>
              <w:jc w:val="right"/>
              <w:rPr>
                <w:sz w:val="22"/>
                <w:szCs w:val="22"/>
              </w:rPr>
            </w:pPr>
            <w:r w:rsidRPr="00F326F1">
              <w:rPr>
                <w:sz w:val="22"/>
                <w:szCs w:val="22"/>
              </w:rPr>
              <w:t>2,8</w:t>
            </w:r>
          </w:p>
        </w:tc>
      </w:tr>
      <w:tr w:rsidR="00944569" w:rsidRPr="00C540A0" w14:paraId="78F62184" w14:textId="668A8DCE" w:rsidTr="00F326F1">
        <w:trPr>
          <w:jc w:val="center"/>
        </w:trPr>
        <w:tc>
          <w:tcPr>
            <w:tcW w:w="1261" w:type="dxa"/>
          </w:tcPr>
          <w:p w14:paraId="6C4FFED6" w14:textId="27F962BD" w:rsidR="00F326F1" w:rsidRPr="00F326F1" w:rsidRDefault="00F326F1" w:rsidP="00F326F1">
            <w:pPr>
              <w:pStyle w:val="5TextocomnIIGG"/>
              <w:spacing w:after="120"/>
              <w:rPr>
                <w:sz w:val="22"/>
                <w:szCs w:val="22"/>
              </w:rPr>
            </w:pPr>
            <w:r w:rsidRPr="00F326F1">
              <w:rPr>
                <w:sz w:val="22"/>
                <w:szCs w:val="22"/>
              </w:rPr>
              <w:t>Balcarce</w:t>
            </w:r>
          </w:p>
        </w:tc>
        <w:tc>
          <w:tcPr>
            <w:tcW w:w="1121" w:type="dxa"/>
            <w:tcBorders>
              <w:top w:val="single" w:sz="4" w:space="0" w:color="auto"/>
              <w:left w:val="single" w:sz="4" w:space="0" w:color="auto"/>
              <w:bottom w:val="single" w:sz="4" w:space="0" w:color="auto"/>
              <w:right w:val="single" w:sz="4" w:space="0" w:color="auto"/>
            </w:tcBorders>
            <w:vAlign w:val="bottom"/>
          </w:tcPr>
          <w:p w14:paraId="53F03B52" w14:textId="64354F67" w:rsidR="00F326F1" w:rsidRPr="00F326F1" w:rsidRDefault="00F326F1" w:rsidP="00F326F1">
            <w:pPr>
              <w:pStyle w:val="5TextocomnIIGG"/>
              <w:spacing w:after="120"/>
              <w:jc w:val="right"/>
              <w:rPr>
                <w:sz w:val="22"/>
                <w:szCs w:val="22"/>
              </w:rPr>
            </w:pPr>
            <w:r w:rsidRPr="00F326F1">
              <w:rPr>
                <w:sz w:val="22"/>
                <w:szCs w:val="22"/>
              </w:rPr>
              <w:t>41.194</w:t>
            </w:r>
          </w:p>
        </w:tc>
        <w:tc>
          <w:tcPr>
            <w:tcW w:w="1272" w:type="dxa"/>
            <w:tcBorders>
              <w:top w:val="single" w:sz="4" w:space="0" w:color="auto"/>
              <w:left w:val="single" w:sz="4" w:space="0" w:color="auto"/>
              <w:bottom w:val="single" w:sz="4" w:space="0" w:color="auto"/>
              <w:right w:val="single" w:sz="4" w:space="0" w:color="auto"/>
            </w:tcBorders>
            <w:vAlign w:val="bottom"/>
          </w:tcPr>
          <w:p w14:paraId="4220A210" w14:textId="6C342192" w:rsidR="00F326F1" w:rsidRPr="00F326F1" w:rsidRDefault="00F326F1" w:rsidP="00F326F1">
            <w:pPr>
              <w:pStyle w:val="5TextocomnIIGG"/>
              <w:spacing w:after="120"/>
              <w:jc w:val="right"/>
              <w:rPr>
                <w:sz w:val="22"/>
                <w:szCs w:val="22"/>
              </w:rPr>
            </w:pPr>
            <w:r w:rsidRPr="00F326F1">
              <w:rPr>
                <w:sz w:val="22"/>
                <w:szCs w:val="22"/>
              </w:rPr>
              <w:t>13.965</w:t>
            </w:r>
          </w:p>
        </w:tc>
        <w:tc>
          <w:tcPr>
            <w:tcW w:w="838" w:type="dxa"/>
            <w:tcBorders>
              <w:top w:val="single" w:sz="4" w:space="0" w:color="auto"/>
              <w:left w:val="single" w:sz="4" w:space="0" w:color="auto"/>
              <w:bottom w:val="single" w:sz="4" w:space="0" w:color="auto"/>
              <w:right w:val="single" w:sz="4" w:space="0" w:color="auto"/>
            </w:tcBorders>
            <w:vAlign w:val="bottom"/>
          </w:tcPr>
          <w:p w14:paraId="7B157E79" w14:textId="26F8C13F" w:rsidR="00F326F1" w:rsidRPr="00F326F1" w:rsidRDefault="00F326F1" w:rsidP="00F326F1">
            <w:pPr>
              <w:pStyle w:val="5TextocomnIIGG"/>
              <w:spacing w:after="120"/>
              <w:jc w:val="right"/>
              <w:rPr>
                <w:sz w:val="22"/>
                <w:szCs w:val="22"/>
              </w:rPr>
            </w:pPr>
            <w:r w:rsidRPr="00F326F1">
              <w:rPr>
                <w:sz w:val="22"/>
                <w:szCs w:val="22"/>
              </w:rPr>
              <w:t>193</w:t>
            </w:r>
          </w:p>
        </w:tc>
        <w:tc>
          <w:tcPr>
            <w:tcW w:w="612" w:type="dxa"/>
            <w:tcBorders>
              <w:top w:val="single" w:sz="4" w:space="0" w:color="auto"/>
              <w:left w:val="single" w:sz="4" w:space="0" w:color="auto"/>
              <w:bottom w:val="single" w:sz="4" w:space="0" w:color="auto"/>
              <w:right w:val="single" w:sz="4" w:space="0" w:color="auto"/>
            </w:tcBorders>
            <w:vAlign w:val="bottom"/>
          </w:tcPr>
          <w:p w14:paraId="4711704A" w14:textId="301A543F" w:rsidR="00F326F1" w:rsidRPr="00F326F1" w:rsidRDefault="00F326F1" w:rsidP="00F326F1">
            <w:pPr>
              <w:pStyle w:val="5TextocomnIIGG"/>
              <w:spacing w:after="120"/>
              <w:jc w:val="right"/>
              <w:rPr>
                <w:sz w:val="22"/>
                <w:szCs w:val="22"/>
              </w:rPr>
            </w:pPr>
            <w:r w:rsidRPr="00F326F1">
              <w:rPr>
                <w:sz w:val="22"/>
                <w:szCs w:val="22"/>
              </w:rPr>
              <w:t>1,4</w:t>
            </w:r>
          </w:p>
        </w:tc>
        <w:tc>
          <w:tcPr>
            <w:tcW w:w="1121" w:type="dxa"/>
            <w:tcBorders>
              <w:top w:val="single" w:sz="4" w:space="0" w:color="auto"/>
              <w:left w:val="single" w:sz="4" w:space="0" w:color="auto"/>
              <w:bottom w:val="single" w:sz="4" w:space="0" w:color="auto"/>
              <w:right w:val="single" w:sz="4" w:space="0" w:color="auto"/>
            </w:tcBorders>
            <w:vAlign w:val="bottom"/>
          </w:tcPr>
          <w:p w14:paraId="0DBBFE8D" w14:textId="651796DF" w:rsidR="00F326F1" w:rsidRPr="00F326F1" w:rsidRDefault="00F326F1" w:rsidP="00F326F1">
            <w:pPr>
              <w:pStyle w:val="5TextocomnIIGG"/>
              <w:spacing w:after="120"/>
              <w:jc w:val="right"/>
              <w:rPr>
                <w:sz w:val="22"/>
                <w:szCs w:val="22"/>
              </w:rPr>
            </w:pPr>
            <w:r w:rsidRPr="00F326F1">
              <w:rPr>
                <w:sz w:val="22"/>
                <w:szCs w:val="22"/>
              </w:rPr>
              <w:t>42.039</w:t>
            </w:r>
          </w:p>
        </w:tc>
        <w:tc>
          <w:tcPr>
            <w:tcW w:w="1141" w:type="dxa"/>
            <w:tcBorders>
              <w:top w:val="single" w:sz="4" w:space="0" w:color="auto"/>
              <w:left w:val="single" w:sz="4" w:space="0" w:color="auto"/>
              <w:bottom w:val="single" w:sz="4" w:space="0" w:color="auto"/>
              <w:right w:val="single" w:sz="4" w:space="0" w:color="auto"/>
            </w:tcBorders>
            <w:vAlign w:val="bottom"/>
          </w:tcPr>
          <w:p w14:paraId="330E52C6" w14:textId="5503D2BC" w:rsidR="00F326F1" w:rsidRPr="00F326F1" w:rsidRDefault="00F326F1" w:rsidP="00F326F1">
            <w:pPr>
              <w:pStyle w:val="5TextocomnIIGG"/>
              <w:spacing w:after="120"/>
              <w:jc w:val="right"/>
              <w:rPr>
                <w:sz w:val="22"/>
                <w:szCs w:val="22"/>
              </w:rPr>
            </w:pPr>
            <w:r w:rsidRPr="00F326F1">
              <w:rPr>
                <w:sz w:val="22"/>
                <w:szCs w:val="22"/>
              </w:rPr>
              <w:t>15.684</w:t>
            </w:r>
          </w:p>
        </w:tc>
        <w:tc>
          <w:tcPr>
            <w:tcW w:w="1082" w:type="dxa"/>
            <w:tcBorders>
              <w:top w:val="single" w:sz="4" w:space="0" w:color="auto"/>
              <w:left w:val="single" w:sz="4" w:space="0" w:color="auto"/>
              <w:bottom w:val="single" w:sz="4" w:space="0" w:color="auto"/>
              <w:right w:val="single" w:sz="4" w:space="0" w:color="auto"/>
            </w:tcBorders>
            <w:vAlign w:val="bottom"/>
          </w:tcPr>
          <w:p w14:paraId="70B82BDE" w14:textId="0EB85B74" w:rsidR="00F326F1" w:rsidRPr="00F326F1" w:rsidRDefault="00F326F1" w:rsidP="00F326F1">
            <w:pPr>
              <w:pStyle w:val="5TextocomnIIGG"/>
              <w:spacing w:after="120"/>
              <w:jc w:val="right"/>
              <w:rPr>
                <w:sz w:val="22"/>
                <w:szCs w:val="22"/>
              </w:rPr>
            </w:pPr>
            <w:r w:rsidRPr="00F326F1">
              <w:rPr>
                <w:sz w:val="22"/>
                <w:szCs w:val="22"/>
              </w:rPr>
              <w:t>278</w:t>
            </w:r>
          </w:p>
        </w:tc>
        <w:tc>
          <w:tcPr>
            <w:tcW w:w="612" w:type="dxa"/>
            <w:tcBorders>
              <w:top w:val="single" w:sz="4" w:space="0" w:color="auto"/>
              <w:left w:val="single" w:sz="4" w:space="0" w:color="auto"/>
              <w:bottom w:val="single" w:sz="4" w:space="0" w:color="auto"/>
              <w:right w:val="single" w:sz="4" w:space="0" w:color="auto"/>
            </w:tcBorders>
            <w:vAlign w:val="bottom"/>
          </w:tcPr>
          <w:p w14:paraId="6C6EFE09" w14:textId="51992CDC" w:rsidR="00F326F1" w:rsidRPr="00F326F1" w:rsidRDefault="00F326F1" w:rsidP="00F326F1">
            <w:pPr>
              <w:pStyle w:val="5TextocomnIIGG"/>
              <w:spacing w:after="120"/>
              <w:jc w:val="right"/>
              <w:rPr>
                <w:sz w:val="22"/>
                <w:szCs w:val="22"/>
              </w:rPr>
            </w:pPr>
            <w:r w:rsidRPr="00F326F1">
              <w:rPr>
                <w:sz w:val="22"/>
                <w:szCs w:val="22"/>
              </w:rPr>
              <w:t>1,8</w:t>
            </w:r>
          </w:p>
        </w:tc>
      </w:tr>
      <w:tr w:rsidR="00944569" w:rsidRPr="00C540A0" w14:paraId="286597BC" w14:textId="77777777" w:rsidTr="00F326F1">
        <w:trPr>
          <w:jc w:val="center"/>
        </w:trPr>
        <w:tc>
          <w:tcPr>
            <w:tcW w:w="1261" w:type="dxa"/>
          </w:tcPr>
          <w:p w14:paraId="76C89286" w14:textId="4A5D05DE" w:rsidR="00F326F1" w:rsidRPr="00F326F1" w:rsidRDefault="00F326F1" w:rsidP="00F326F1">
            <w:pPr>
              <w:pStyle w:val="5TextocomnIIGG"/>
              <w:spacing w:after="120"/>
              <w:rPr>
                <w:sz w:val="22"/>
                <w:szCs w:val="22"/>
              </w:rPr>
            </w:pPr>
            <w:r w:rsidRPr="00F326F1">
              <w:rPr>
                <w:sz w:val="22"/>
                <w:szCs w:val="22"/>
              </w:rPr>
              <w:t>Gral. Alvarado</w:t>
            </w:r>
          </w:p>
        </w:tc>
        <w:tc>
          <w:tcPr>
            <w:tcW w:w="1121" w:type="dxa"/>
            <w:tcBorders>
              <w:top w:val="single" w:sz="4" w:space="0" w:color="auto"/>
              <w:left w:val="single" w:sz="4" w:space="0" w:color="auto"/>
              <w:bottom w:val="single" w:sz="4" w:space="0" w:color="auto"/>
              <w:right w:val="single" w:sz="4" w:space="0" w:color="auto"/>
            </w:tcBorders>
            <w:vAlign w:val="bottom"/>
          </w:tcPr>
          <w:p w14:paraId="07AA23FB" w14:textId="7D1EBDDD" w:rsidR="00F326F1" w:rsidRPr="00F326F1" w:rsidRDefault="00F326F1" w:rsidP="00F326F1">
            <w:pPr>
              <w:pStyle w:val="5TextocomnIIGG"/>
              <w:spacing w:after="120"/>
              <w:jc w:val="right"/>
              <w:rPr>
                <w:sz w:val="22"/>
                <w:szCs w:val="22"/>
              </w:rPr>
            </w:pPr>
            <w:r w:rsidRPr="00F326F1">
              <w:rPr>
                <w:sz w:val="22"/>
                <w:szCs w:val="22"/>
              </w:rPr>
              <w:t>30.385</w:t>
            </w:r>
          </w:p>
        </w:tc>
        <w:tc>
          <w:tcPr>
            <w:tcW w:w="1272" w:type="dxa"/>
            <w:tcBorders>
              <w:top w:val="single" w:sz="4" w:space="0" w:color="auto"/>
              <w:left w:val="single" w:sz="4" w:space="0" w:color="auto"/>
              <w:bottom w:val="single" w:sz="4" w:space="0" w:color="auto"/>
              <w:right w:val="single" w:sz="4" w:space="0" w:color="auto"/>
            </w:tcBorders>
            <w:vAlign w:val="bottom"/>
          </w:tcPr>
          <w:p w14:paraId="25330D0E" w14:textId="1F66C458" w:rsidR="00F326F1" w:rsidRPr="00F326F1" w:rsidRDefault="00F326F1" w:rsidP="00F326F1">
            <w:pPr>
              <w:pStyle w:val="5TextocomnIIGG"/>
              <w:spacing w:after="120"/>
              <w:jc w:val="right"/>
              <w:rPr>
                <w:sz w:val="22"/>
                <w:szCs w:val="22"/>
              </w:rPr>
            </w:pPr>
            <w:r w:rsidRPr="00F326F1">
              <w:rPr>
                <w:sz w:val="22"/>
                <w:szCs w:val="22"/>
              </w:rPr>
              <w:t>21.363</w:t>
            </w:r>
          </w:p>
        </w:tc>
        <w:tc>
          <w:tcPr>
            <w:tcW w:w="838" w:type="dxa"/>
            <w:tcBorders>
              <w:top w:val="single" w:sz="4" w:space="0" w:color="auto"/>
              <w:left w:val="single" w:sz="4" w:space="0" w:color="auto"/>
              <w:bottom w:val="single" w:sz="4" w:space="0" w:color="auto"/>
              <w:right w:val="single" w:sz="4" w:space="0" w:color="auto"/>
            </w:tcBorders>
            <w:vAlign w:val="bottom"/>
          </w:tcPr>
          <w:p w14:paraId="3288A6C2" w14:textId="44871D97" w:rsidR="00F326F1" w:rsidRPr="00F326F1" w:rsidRDefault="00F326F1" w:rsidP="00F326F1">
            <w:pPr>
              <w:pStyle w:val="5TextocomnIIGG"/>
              <w:spacing w:after="120"/>
              <w:jc w:val="right"/>
              <w:rPr>
                <w:sz w:val="22"/>
                <w:szCs w:val="22"/>
              </w:rPr>
            </w:pPr>
            <w:r w:rsidRPr="00F326F1">
              <w:rPr>
                <w:sz w:val="22"/>
                <w:szCs w:val="22"/>
              </w:rPr>
              <w:t>8.296</w:t>
            </w:r>
          </w:p>
        </w:tc>
        <w:tc>
          <w:tcPr>
            <w:tcW w:w="612" w:type="dxa"/>
            <w:tcBorders>
              <w:top w:val="single" w:sz="4" w:space="0" w:color="auto"/>
              <w:left w:val="single" w:sz="4" w:space="0" w:color="auto"/>
              <w:bottom w:val="single" w:sz="4" w:space="0" w:color="auto"/>
              <w:right w:val="single" w:sz="4" w:space="0" w:color="auto"/>
            </w:tcBorders>
            <w:vAlign w:val="bottom"/>
          </w:tcPr>
          <w:p w14:paraId="3F721DB1" w14:textId="0E86F77C" w:rsidR="00F326F1" w:rsidRPr="00F326F1" w:rsidRDefault="00F326F1" w:rsidP="00F326F1">
            <w:pPr>
              <w:pStyle w:val="5TextocomnIIGG"/>
              <w:spacing w:after="120"/>
              <w:jc w:val="right"/>
              <w:rPr>
                <w:sz w:val="22"/>
                <w:szCs w:val="22"/>
              </w:rPr>
            </w:pPr>
            <w:r w:rsidRPr="00F326F1">
              <w:rPr>
                <w:sz w:val="22"/>
                <w:szCs w:val="22"/>
              </w:rPr>
              <w:t>38,8</w:t>
            </w:r>
          </w:p>
        </w:tc>
        <w:tc>
          <w:tcPr>
            <w:tcW w:w="1121" w:type="dxa"/>
            <w:tcBorders>
              <w:top w:val="single" w:sz="4" w:space="0" w:color="auto"/>
              <w:left w:val="single" w:sz="4" w:space="0" w:color="auto"/>
              <w:bottom w:val="single" w:sz="4" w:space="0" w:color="auto"/>
              <w:right w:val="single" w:sz="4" w:space="0" w:color="auto"/>
            </w:tcBorders>
            <w:vAlign w:val="bottom"/>
          </w:tcPr>
          <w:p w14:paraId="17E9F881" w14:textId="7C5AC4D7" w:rsidR="00F326F1" w:rsidRPr="00F326F1" w:rsidRDefault="00F326F1" w:rsidP="00F326F1">
            <w:pPr>
              <w:pStyle w:val="5TextocomnIIGG"/>
              <w:spacing w:after="120"/>
              <w:jc w:val="right"/>
              <w:rPr>
                <w:sz w:val="22"/>
                <w:szCs w:val="22"/>
              </w:rPr>
            </w:pPr>
            <w:r w:rsidRPr="00F326F1">
              <w:rPr>
                <w:sz w:val="22"/>
                <w:szCs w:val="22"/>
              </w:rPr>
              <w:t>34.391</w:t>
            </w:r>
          </w:p>
        </w:tc>
        <w:tc>
          <w:tcPr>
            <w:tcW w:w="1141" w:type="dxa"/>
            <w:tcBorders>
              <w:top w:val="single" w:sz="4" w:space="0" w:color="auto"/>
              <w:left w:val="single" w:sz="4" w:space="0" w:color="auto"/>
              <w:bottom w:val="single" w:sz="4" w:space="0" w:color="auto"/>
              <w:right w:val="single" w:sz="4" w:space="0" w:color="auto"/>
            </w:tcBorders>
            <w:vAlign w:val="bottom"/>
          </w:tcPr>
          <w:p w14:paraId="05EF213E" w14:textId="413E72E7" w:rsidR="00F326F1" w:rsidRPr="00F326F1" w:rsidRDefault="00F326F1" w:rsidP="00F326F1">
            <w:pPr>
              <w:pStyle w:val="5TextocomnIIGG"/>
              <w:spacing w:after="120"/>
              <w:jc w:val="right"/>
              <w:rPr>
                <w:sz w:val="22"/>
                <w:szCs w:val="22"/>
              </w:rPr>
            </w:pPr>
            <w:r w:rsidRPr="00F326F1">
              <w:rPr>
                <w:sz w:val="22"/>
                <w:szCs w:val="22"/>
              </w:rPr>
              <w:t>22.922</w:t>
            </w:r>
          </w:p>
        </w:tc>
        <w:tc>
          <w:tcPr>
            <w:tcW w:w="1082" w:type="dxa"/>
            <w:tcBorders>
              <w:top w:val="single" w:sz="4" w:space="0" w:color="auto"/>
              <w:left w:val="single" w:sz="4" w:space="0" w:color="auto"/>
              <w:bottom w:val="single" w:sz="4" w:space="0" w:color="auto"/>
              <w:right w:val="single" w:sz="4" w:space="0" w:color="auto"/>
            </w:tcBorders>
            <w:vAlign w:val="bottom"/>
          </w:tcPr>
          <w:p w14:paraId="41DAF9BA" w14:textId="13CAD911" w:rsidR="00F326F1" w:rsidRPr="00F326F1" w:rsidRDefault="00F326F1" w:rsidP="00F326F1">
            <w:pPr>
              <w:pStyle w:val="5TextocomnIIGG"/>
              <w:spacing w:after="120"/>
              <w:jc w:val="right"/>
              <w:rPr>
                <w:sz w:val="22"/>
                <w:szCs w:val="22"/>
              </w:rPr>
            </w:pPr>
            <w:r w:rsidRPr="00F326F1">
              <w:rPr>
                <w:sz w:val="22"/>
                <w:szCs w:val="22"/>
              </w:rPr>
              <w:t>8.979</w:t>
            </w:r>
          </w:p>
        </w:tc>
        <w:tc>
          <w:tcPr>
            <w:tcW w:w="612" w:type="dxa"/>
            <w:tcBorders>
              <w:top w:val="single" w:sz="4" w:space="0" w:color="auto"/>
              <w:left w:val="single" w:sz="4" w:space="0" w:color="auto"/>
              <w:bottom w:val="single" w:sz="4" w:space="0" w:color="auto"/>
              <w:right w:val="single" w:sz="4" w:space="0" w:color="auto"/>
            </w:tcBorders>
            <w:vAlign w:val="bottom"/>
          </w:tcPr>
          <w:p w14:paraId="08AB22E0" w14:textId="67F63026" w:rsidR="00F326F1" w:rsidRPr="00F326F1" w:rsidRDefault="00F326F1" w:rsidP="00F326F1">
            <w:pPr>
              <w:pStyle w:val="5TextocomnIIGG"/>
              <w:spacing w:after="120"/>
              <w:jc w:val="right"/>
              <w:rPr>
                <w:sz w:val="22"/>
                <w:szCs w:val="22"/>
              </w:rPr>
            </w:pPr>
            <w:r w:rsidRPr="00F326F1">
              <w:rPr>
                <w:sz w:val="22"/>
                <w:szCs w:val="22"/>
              </w:rPr>
              <w:t>39,2</w:t>
            </w:r>
          </w:p>
        </w:tc>
      </w:tr>
      <w:tr w:rsidR="00944569" w:rsidRPr="00C540A0" w14:paraId="32BE854D" w14:textId="77777777" w:rsidTr="00F326F1">
        <w:trPr>
          <w:jc w:val="center"/>
        </w:trPr>
        <w:tc>
          <w:tcPr>
            <w:tcW w:w="1261" w:type="dxa"/>
          </w:tcPr>
          <w:p w14:paraId="42FD1B78" w14:textId="50DCEC60" w:rsidR="00F326F1" w:rsidRPr="00F326F1" w:rsidRDefault="00F326F1" w:rsidP="00F326F1">
            <w:pPr>
              <w:pStyle w:val="5TextocomnIIGG"/>
              <w:spacing w:after="120"/>
              <w:rPr>
                <w:sz w:val="22"/>
                <w:szCs w:val="22"/>
              </w:rPr>
            </w:pPr>
            <w:r w:rsidRPr="00F326F1">
              <w:rPr>
                <w:sz w:val="22"/>
                <w:szCs w:val="22"/>
              </w:rPr>
              <w:t>Gral.  Madariaga</w:t>
            </w:r>
          </w:p>
        </w:tc>
        <w:tc>
          <w:tcPr>
            <w:tcW w:w="1121" w:type="dxa"/>
            <w:tcBorders>
              <w:top w:val="single" w:sz="4" w:space="0" w:color="auto"/>
              <w:left w:val="single" w:sz="4" w:space="0" w:color="auto"/>
              <w:bottom w:val="single" w:sz="4" w:space="0" w:color="auto"/>
              <w:right w:val="single" w:sz="4" w:space="0" w:color="auto"/>
            </w:tcBorders>
            <w:vAlign w:val="bottom"/>
          </w:tcPr>
          <w:p w14:paraId="0313AA95" w14:textId="6AD10A6A" w:rsidR="00F326F1" w:rsidRPr="00F326F1" w:rsidRDefault="00F326F1" w:rsidP="00F326F1">
            <w:pPr>
              <w:pStyle w:val="5TextocomnIIGG"/>
              <w:spacing w:after="120"/>
              <w:jc w:val="right"/>
              <w:rPr>
                <w:sz w:val="22"/>
                <w:szCs w:val="22"/>
              </w:rPr>
            </w:pPr>
            <w:r w:rsidRPr="00F326F1">
              <w:rPr>
                <w:sz w:val="22"/>
                <w:szCs w:val="22"/>
              </w:rPr>
              <w:t>16.923</w:t>
            </w:r>
          </w:p>
        </w:tc>
        <w:tc>
          <w:tcPr>
            <w:tcW w:w="1272" w:type="dxa"/>
            <w:tcBorders>
              <w:top w:val="single" w:sz="4" w:space="0" w:color="auto"/>
              <w:left w:val="single" w:sz="4" w:space="0" w:color="auto"/>
              <w:bottom w:val="single" w:sz="4" w:space="0" w:color="auto"/>
              <w:right w:val="single" w:sz="4" w:space="0" w:color="auto"/>
            </w:tcBorders>
            <w:vAlign w:val="bottom"/>
          </w:tcPr>
          <w:p w14:paraId="2483BD65" w14:textId="70897173" w:rsidR="00F326F1" w:rsidRPr="00F326F1" w:rsidRDefault="00F326F1" w:rsidP="00F326F1">
            <w:pPr>
              <w:pStyle w:val="5TextocomnIIGG"/>
              <w:spacing w:after="120"/>
              <w:jc w:val="right"/>
              <w:rPr>
                <w:sz w:val="22"/>
                <w:szCs w:val="22"/>
              </w:rPr>
            </w:pPr>
            <w:r w:rsidRPr="00F326F1">
              <w:rPr>
                <w:sz w:val="22"/>
                <w:szCs w:val="22"/>
              </w:rPr>
              <w:t>5.929</w:t>
            </w:r>
          </w:p>
        </w:tc>
        <w:tc>
          <w:tcPr>
            <w:tcW w:w="838" w:type="dxa"/>
            <w:tcBorders>
              <w:top w:val="single" w:sz="4" w:space="0" w:color="auto"/>
              <w:left w:val="single" w:sz="4" w:space="0" w:color="auto"/>
              <w:bottom w:val="single" w:sz="4" w:space="0" w:color="auto"/>
              <w:right w:val="single" w:sz="4" w:space="0" w:color="auto"/>
            </w:tcBorders>
            <w:vAlign w:val="bottom"/>
          </w:tcPr>
          <w:p w14:paraId="6D05860F" w14:textId="63D24D2C" w:rsidR="00F326F1" w:rsidRPr="00F326F1" w:rsidRDefault="00F326F1" w:rsidP="00F326F1">
            <w:pPr>
              <w:pStyle w:val="5TextocomnIIGG"/>
              <w:spacing w:after="120"/>
              <w:jc w:val="right"/>
              <w:rPr>
                <w:sz w:val="22"/>
                <w:szCs w:val="22"/>
              </w:rPr>
            </w:pPr>
            <w:r w:rsidRPr="00F326F1">
              <w:rPr>
                <w:sz w:val="22"/>
                <w:szCs w:val="22"/>
              </w:rPr>
              <w:t>73</w:t>
            </w:r>
          </w:p>
        </w:tc>
        <w:tc>
          <w:tcPr>
            <w:tcW w:w="612" w:type="dxa"/>
            <w:tcBorders>
              <w:top w:val="single" w:sz="4" w:space="0" w:color="auto"/>
              <w:left w:val="single" w:sz="4" w:space="0" w:color="auto"/>
              <w:bottom w:val="single" w:sz="4" w:space="0" w:color="auto"/>
              <w:right w:val="single" w:sz="4" w:space="0" w:color="auto"/>
            </w:tcBorders>
            <w:vAlign w:val="bottom"/>
          </w:tcPr>
          <w:p w14:paraId="07F4F167" w14:textId="15E78FB1" w:rsidR="00F326F1" w:rsidRPr="00F326F1" w:rsidRDefault="00F326F1" w:rsidP="00F326F1">
            <w:pPr>
              <w:pStyle w:val="5TextocomnIIGG"/>
              <w:spacing w:after="120"/>
              <w:jc w:val="right"/>
              <w:rPr>
                <w:sz w:val="22"/>
                <w:szCs w:val="22"/>
              </w:rPr>
            </w:pPr>
            <w:r w:rsidRPr="00F326F1">
              <w:rPr>
                <w:sz w:val="22"/>
                <w:szCs w:val="22"/>
              </w:rPr>
              <w:t>1,2</w:t>
            </w:r>
          </w:p>
        </w:tc>
        <w:tc>
          <w:tcPr>
            <w:tcW w:w="1121" w:type="dxa"/>
            <w:tcBorders>
              <w:top w:val="single" w:sz="4" w:space="0" w:color="auto"/>
              <w:left w:val="single" w:sz="4" w:space="0" w:color="auto"/>
              <w:bottom w:val="single" w:sz="4" w:space="0" w:color="auto"/>
              <w:right w:val="single" w:sz="4" w:space="0" w:color="auto"/>
            </w:tcBorders>
            <w:vAlign w:val="bottom"/>
          </w:tcPr>
          <w:p w14:paraId="5ADDAAF2" w14:textId="6AA20CE0" w:rsidR="00F326F1" w:rsidRPr="00F326F1" w:rsidRDefault="00F326F1" w:rsidP="00F326F1">
            <w:pPr>
              <w:pStyle w:val="5TextocomnIIGG"/>
              <w:spacing w:after="120"/>
              <w:jc w:val="right"/>
              <w:rPr>
                <w:sz w:val="22"/>
                <w:szCs w:val="22"/>
              </w:rPr>
            </w:pPr>
            <w:r w:rsidRPr="00F326F1">
              <w:rPr>
                <w:sz w:val="22"/>
                <w:szCs w:val="22"/>
              </w:rPr>
              <w:t>18.286</w:t>
            </w:r>
          </w:p>
        </w:tc>
        <w:tc>
          <w:tcPr>
            <w:tcW w:w="1141" w:type="dxa"/>
            <w:tcBorders>
              <w:top w:val="single" w:sz="4" w:space="0" w:color="auto"/>
              <w:left w:val="single" w:sz="4" w:space="0" w:color="auto"/>
              <w:bottom w:val="single" w:sz="4" w:space="0" w:color="auto"/>
              <w:right w:val="single" w:sz="4" w:space="0" w:color="auto"/>
            </w:tcBorders>
            <w:vAlign w:val="bottom"/>
          </w:tcPr>
          <w:p w14:paraId="04F3FE67" w14:textId="65D4DCDE" w:rsidR="00F326F1" w:rsidRPr="00F326F1" w:rsidRDefault="00F326F1" w:rsidP="00F326F1">
            <w:pPr>
              <w:pStyle w:val="5TextocomnIIGG"/>
              <w:spacing w:after="120"/>
              <w:jc w:val="right"/>
              <w:rPr>
                <w:sz w:val="22"/>
                <w:szCs w:val="22"/>
              </w:rPr>
            </w:pPr>
            <w:r w:rsidRPr="00F326F1">
              <w:rPr>
                <w:sz w:val="22"/>
                <w:szCs w:val="22"/>
              </w:rPr>
              <w:t>6.628</w:t>
            </w:r>
          </w:p>
        </w:tc>
        <w:tc>
          <w:tcPr>
            <w:tcW w:w="1082" w:type="dxa"/>
            <w:tcBorders>
              <w:top w:val="single" w:sz="4" w:space="0" w:color="auto"/>
              <w:left w:val="single" w:sz="4" w:space="0" w:color="auto"/>
              <w:bottom w:val="single" w:sz="4" w:space="0" w:color="auto"/>
              <w:right w:val="single" w:sz="4" w:space="0" w:color="auto"/>
            </w:tcBorders>
            <w:vAlign w:val="bottom"/>
          </w:tcPr>
          <w:p w14:paraId="1F736BE5" w14:textId="322A1547" w:rsidR="00F326F1" w:rsidRPr="00F326F1" w:rsidRDefault="00F326F1" w:rsidP="00F326F1">
            <w:pPr>
              <w:pStyle w:val="5TextocomnIIGG"/>
              <w:spacing w:after="120"/>
              <w:jc w:val="right"/>
              <w:rPr>
                <w:sz w:val="22"/>
                <w:szCs w:val="22"/>
              </w:rPr>
            </w:pPr>
            <w:r w:rsidRPr="00F326F1">
              <w:rPr>
                <w:sz w:val="22"/>
                <w:szCs w:val="22"/>
              </w:rPr>
              <w:t>128</w:t>
            </w:r>
          </w:p>
        </w:tc>
        <w:tc>
          <w:tcPr>
            <w:tcW w:w="612" w:type="dxa"/>
            <w:tcBorders>
              <w:top w:val="single" w:sz="4" w:space="0" w:color="auto"/>
              <w:left w:val="single" w:sz="4" w:space="0" w:color="auto"/>
              <w:bottom w:val="single" w:sz="4" w:space="0" w:color="auto"/>
              <w:right w:val="single" w:sz="4" w:space="0" w:color="auto"/>
            </w:tcBorders>
            <w:vAlign w:val="bottom"/>
          </w:tcPr>
          <w:p w14:paraId="29FEE5B1" w14:textId="137F1C76" w:rsidR="00F326F1" w:rsidRPr="00F326F1" w:rsidRDefault="00F326F1" w:rsidP="00F326F1">
            <w:pPr>
              <w:pStyle w:val="5TextocomnIIGG"/>
              <w:spacing w:after="120"/>
              <w:jc w:val="right"/>
              <w:rPr>
                <w:sz w:val="22"/>
                <w:szCs w:val="22"/>
              </w:rPr>
            </w:pPr>
            <w:r w:rsidRPr="00F326F1">
              <w:rPr>
                <w:sz w:val="22"/>
                <w:szCs w:val="22"/>
              </w:rPr>
              <w:t>1,9</w:t>
            </w:r>
          </w:p>
        </w:tc>
      </w:tr>
      <w:tr w:rsidR="00944569" w:rsidRPr="00C540A0" w14:paraId="2C1B6D4C" w14:textId="77777777" w:rsidTr="00F326F1">
        <w:trPr>
          <w:jc w:val="center"/>
        </w:trPr>
        <w:tc>
          <w:tcPr>
            <w:tcW w:w="1261" w:type="dxa"/>
          </w:tcPr>
          <w:p w14:paraId="10A7529E" w14:textId="45FD0717" w:rsidR="00F326F1" w:rsidRPr="00F326F1" w:rsidRDefault="00F326F1" w:rsidP="00F326F1">
            <w:pPr>
              <w:pStyle w:val="5TextocomnIIGG"/>
              <w:spacing w:after="120"/>
              <w:rPr>
                <w:sz w:val="22"/>
                <w:szCs w:val="22"/>
              </w:rPr>
            </w:pPr>
            <w:r w:rsidRPr="00F326F1">
              <w:rPr>
                <w:sz w:val="22"/>
                <w:szCs w:val="22"/>
              </w:rPr>
              <w:t>Gral. Pueyrred</w:t>
            </w:r>
            <w:r w:rsidR="00FB57D7">
              <w:rPr>
                <w:sz w:val="22"/>
                <w:szCs w:val="22"/>
              </w:rPr>
              <w:t>o</w:t>
            </w:r>
            <w:r w:rsidRPr="00F326F1">
              <w:rPr>
                <w:sz w:val="22"/>
                <w:szCs w:val="22"/>
              </w:rPr>
              <w:t>n</w:t>
            </w:r>
          </w:p>
        </w:tc>
        <w:tc>
          <w:tcPr>
            <w:tcW w:w="1121" w:type="dxa"/>
            <w:tcBorders>
              <w:top w:val="single" w:sz="4" w:space="0" w:color="auto"/>
              <w:left w:val="single" w:sz="4" w:space="0" w:color="auto"/>
              <w:bottom w:val="single" w:sz="4" w:space="0" w:color="auto"/>
              <w:right w:val="single" w:sz="4" w:space="0" w:color="auto"/>
            </w:tcBorders>
            <w:vAlign w:val="bottom"/>
          </w:tcPr>
          <w:p w14:paraId="7E192972" w14:textId="6F8032B1" w:rsidR="00F326F1" w:rsidRPr="00F326F1" w:rsidRDefault="00F326F1" w:rsidP="00F326F1">
            <w:pPr>
              <w:pStyle w:val="5TextocomnIIGG"/>
              <w:spacing w:after="120"/>
              <w:jc w:val="right"/>
              <w:rPr>
                <w:sz w:val="22"/>
                <w:szCs w:val="22"/>
              </w:rPr>
            </w:pPr>
            <w:r w:rsidRPr="00F326F1">
              <w:rPr>
                <w:sz w:val="22"/>
                <w:szCs w:val="22"/>
              </w:rPr>
              <w:t>532.845</w:t>
            </w:r>
          </w:p>
        </w:tc>
        <w:tc>
          <w:tcPr>
            <w:tcW w:w="1272" w:type="dxa"/>
            <w:tcBorders>
              <w:top w:val="single" w:sz="4" w:space="0" w:color="auto"/>
              <w:left w:val="single" w:sz="4" w:space="0" w:color="auto"/>
              <w:bottom w:val="single" w:sz="4" w:space="0" w:color="auto"/>
              <w:right w:val="single" w:sz="4" w:space="0" w:color="auto"/>
            </w:tcBorders>
            <w:vAlign w:val="bottom"/>
          </w:tcPr>
          <w:p w14:paraId="26580782" w14:textId="2425B5C0" w:rsidR="00F326F1" w:rsidRPr="00F326F1" w:rsidRDefault="00F326F1" w:rsidP="00F326F1">
            <w:pPr>
              <w:pStyle w:val="5TextocomnIIGG"/>
              <w:spacing w:after="120"/>
              <w:jc w:val="right"/>
              <w:rPr>
                <w:sz w:val="22"/>
                <w:szCs w:val="22"/>
              </w:rPr>
            </w:pPr>
            <w:r w:rsidRPr="00F326F1">
              <w:rPr>
                <w:sz w:val="22"/>
                <w:szCs w:val="22"/>
              </w:rPr>
              <w:t>257.366</w:t>
            </w:r>
          </w:p>
        </w:tc>
        <w:tc>
          <w:tcPr>
            <w:tcW w:w="838" w:type="dxa"/>
            <w:tcBorders>
              <w:top w:val="single" w:sz="4" w:space="0" w:color="auto"/>
              <w:left w:val="single" w:sz="4" w:space="0" w:color="auto"/>
              <w:bottom w:val="single" w:sz="4" w:space="0" w:color="auto"/>
              <w:right w:val="single" w:sz="4" w:space="0" w:color="auto"/>
            </w:tcBorders>
            <w:vAlign w:val="bottom"/>
          </w:tcPr>
          <w:p w14:paraId="1A24BAE7" w14:textId="55BA4D8E" w:rsidR="00F326F1" w:rsidRPr="00F326F1" w:rsidRDefault="00F326F1" w:rsidP="00F326F1">
            <w:pPr>
              <w:pStyle w:val="5TextocomnIIGG"/>
              <w:spacing w:after="120"/>
              <w:jc w:val="right"/>
              <w:rPr>
                <w:sz w:val="22"/>
                <w:szCs w:val="22"/>
              </w:rPr>
            </w:pPr>
            <w:r w:rsidRPr="00F326F1">
              <w:rPr>
                <w:sz w:val="22"/>
                <w:szCs w:val="22"/>
              </w:rPr>
              <w:t>51.894</w:t>
            </w:r>
          </w:p>
        </w:tc>
        <w:tc>
          <w:tcPr>
            <w:tcW w:w="612" w:type="dxa"/>
            <w:tcBorders>
              <w:top w:val="single" w:sz="4" w:space="0" w:color="auto"/>
              <w:left w:val="single" w:sz="4" w:space="0" w:color="auto"/>
              <w:bottom w:val="single" w:sz="4" w:space="0" w:color="auto"/>
              <w:right w:val="single" w:sz="4" w:space="0" w:color="auto"/>
            </w:tcBorders>
            <w:vAlign w:val="bottom"/>
          </w:tcPr>
          <w:p w14:paraId="0E22FDFF" w14:textId="673E3360" w:rsidR="00F326F1" w:rsidRPr="00F326F1" w:rsidRDefault="00F326F1" w:rsidP="00F326F1">
            <w:pPr>
              <w:pStyle w:val="5TextocomnIIGG"/>
              <w:spacing w:after="120"/>
              <w:jc w:val="right"/>
              <w:rPr>
                <w:sz w:val="22"/>
                <w:szCs w:val="22"/>
              </w:rPr>
            </w:pPr>
            <w:r w:rsidRPr="00F326F1">
              <w:rPr>
                <w:sz w:val="22"/>
                <w:szCs w:val="22"/>
              </w:rPr>
              <w:t>20,2</w:t>
            </w:r>
          </w:p>
        </w:tc>
        <w:tc>
          <w:tcPr>
            <w:tcW w:w="1121" w:type="dxa"/>
            <w:tcBorders>
              <w:top w:val="single" w:sz="4" w:space="0" w:color="auto"/>
              <w:left w:val="single" w:sz="4" w:space="0" w:color="auto"/>
              <w:bottom w:val="single" w:sz="4" w:space="0" w:color="auto"/>
              <w:right w:val="single" w:sz="4" w:space="0" w:color="auto"/>
            </w:tcBorders>
            <w:vAlign w:val="bottom"/>
          </w:tcPr>
          <w:p w14:paraId="6F76DD73" w14:textId="0E73A247" w:rsidR="00F326F1" w:rsidRPr="00F326F1" w:rsidRDefault="00F326F1" w:rsidP="00F326F1">
            <w:pPr>
              <w:pStyle w:val="5TextocomnIIGG"/>
              <w:spacing w:after="120"/>
              <w:jc w:val="right"/>
              <w:rPr>
                <w:sz w:val="22"/>
                <w:szCs w:val="22"/>
              </w:rPr>
            </w:pPr>
            <w:r w:rsidRPr="00F326F1">
              <w:rPr>
                <w:sz w:val="22"/>
                <w:szCs w:val="22"/>
              </w:rPr>
              <w:t>564.056</w:t>
            </w:r>
          </w:p>
        </w:tc>
        <w:tc>
          <w:tcPr>
            <w:tcW w:w="1141" w:type="dxa"/>
            <w:tcBorders>
              <w:top w:val="single" w:sz="4" w:space="0" w:color="auto"/>
              <w:left w:val="single" w:sz="4" w:space="0" w:color="auto"/>
              <w:bottom w:val="single" w:sz="4" w:space="0" w:color="auto"/>
              <w:right w:val="single" w:sz="4" w:space="0" w:color="auto"/>
            </w:tcBorders>
            <w:vAlign w:val="bottom"/>
          </w:tcPr>
          <w:p w14:paraId="3E1A7F5C" w14:textId="0525353E" w:rsidR="00F326F1" w:rsidRPr="00F326F1" w:rsidRDefault="00F326F1" w:rsidP="00F326F1">
            <w:pPr>
              <w:pStyle w:val="5TextocomnIIGG"/>
              <w:spacing w:after="120"/>
              <w:jc w:val="right"/>
              <w:rPr>
                <w:sz w:val="22"/>
                <w:szCs w:val="22"/>
              </w:rPr>
            </w:pPr>
            <w:r w:rsidRPr="00F326F1">
              <w:rPr>
                <w:sz w:val="22"/>
                <w:szCs w:val="22"/>
              </w:rPr>
              <w:t>285.599</w:t>
            </w:r>
          </w:p>
        </w:tc>
        <w:tc>
          <w:tcPr>
            <w:tcW w:w="1082" w:type="dxa"/>
            <w:tcBorders>
              <w:top w:val="single" w:sz="4" w:space="0" w:color="auto"/>
              <w:left w:val="single" w:sz="4" w:space="0" w:color="auto"/>
              <w:bottom w:val="single" w:sz="4" w:space="0" w:color="auto"/>
              <w:right w:val="single" w:sz="4" w:space="0" w:color="auto"/>
            </w:tcBorders>
            <w:vAlign w:val="bottom"/>
          </w:tcPr>
          <w:p w14:paraId="1994CC8F" w14:textId="7F784EE1" w:rsidR="00F326F1" w:rsidRPr="00F326F1" w:rsidRDefault="00F326F1" w:rsidP="00F326F1">
            <w:pPr>
              <w:pStyle w:val="5TextocomnIIGG"/>
              <w:spacing w:after="120"/>
              <w:jc w:val="right"/>
              <w:rPr>
                <w:sz w:val="22"/>
                <w:szCs w:val="22"/>
              </w:rPr>
            </w:pPr>
            <w:r w:rsidRPr="00F326F1">
              <w:rPr>
                <w:sz w:val="22"/>
                <w:szCs w:val="22"/>
              </w:rPr>
              <w:t>60.897</w:t>
            </w:r>
          </w:p>
        </w:tc>
        <w:tc>
          <w:tcPr>
            <w:tcW w:w="612" w:type="dxa"/>
            <w:tcBorders>
              <w:top w:val="single" w:sz="4" w:space="0" w:color="auto"/>
              <w:left w:val="single" w:sz="4" w:space="0" w:color="auto"/>
              <w:bottom w:val="single" w:sz="4" w:space="0" w:color="auto"/>
              <w:right w:val="single" w:sz="4" w:space="0" w:color="auto"/>
            </w:tcBorders>
            <w:vAlign w:val="bottom"/>
          </w:tcPr>
          <w:p w14:paraId="7C783F25" w14:textId="45771941" w:rsidR="00F326F1" w:rsidRPr="00F326F1" w:rsidRDefault="00F326F1" w:rsidP="00F326F1">
            <w:pPr>
              <w:pStyle w:val="5TextocomnIIGG"/>
              <w:spacing w:after="120"/>
              <w:jc w:val="right"/>
              <w:rPr>
                <w:sz w:val="22"/>
                <w:szCs w:val="22"/>
              </w:rPr>
            </w:pPr>
            <w:r w:rsidRPr="00F326F1">
              <w:rPr>
                <w:sz w:val="22"/>
                <w:szCs w:val="22"/>
              </w:rPr>
              <w:t>21,3</w:t>
            </w:r>
          </w:p>
        </w:tc>
      </w:tr>
      <w:tr w:rsidR="00944569" w:rsidRPr="00C540A0" w14:paraId="294B9884" w14:textId="77777777" w:rsidTr="00F326F1">
        <w:trPr>
          <w:jc w:val="center"/>
        </w:trPr>
        <w:tc>
          <w:tcPr>
            <w:tcW w:w="1261" w:type="dxa"/>
          </w:tcPr>
          <w:p w14:paraId="0521D5E2" w14:textId="3E67548E" w:rsidR="00F326F1" w:rsidRPr="00F326F1" w:rsidRDefault="00F326F1" w:rsidP="00F326F1">
            <w:pPr>
              <w:pStyle w:val="5TextocomnIIGG"/>
              <w:spacing w:after="120"/>
              <w:rPr>
                <w:sz w:val="22"/>
                <w:szCs w:val="22"/>
              </w:rPr>
            </w:pPr>
            <w:r w:rsidRPr="00F326F1">
              <w:rPr>
                <w:sz w:val="22"/>
                <w:szCs w:val="22"/>
              </w:rPr>
              <w:t>Lobería</w:t>
            </w:r>
          </w:p>
        </w:tc>
        <w:tc>
          <w:tcPr>
            <w:tcW w:w="1121" w:type="dxa"/>
            <w:tcBorders>
              <w:top w:val="single" w:sz="4" w:space="0" w:color="auto"/>
              <w:left w:val="single" w:sz="4" w:space="0" w:color="auto"/>
              <w:bottom w:val="single" w:sz="4" w:space="0" w:color="auto"/>
              <w:right w:val="single" w:sz="4" w:space="0" w:color="auto"/>
            </w:tcBorders>
            <w:vAlign w:val="bottom"/>
          </w:tcPr>
          <w:p w14:paraId="7E16E17D" w14:textId="5845CE34" w:rsidR="00F326F1" w:rsidRPr="00F326F1" w:rsidRDefault="00F326F1" w:rsidP="00F326F1">
            <w:pPr>
              <w:pStyle w:val="5TextocomnIIGG"/>
              <w:spacing w:after="120"/>
              <w:jc w:val="right"/>
              <w:rPr>
                <w:sz w:val="22"/>
                <w:szCs w:val="22"/>
              </w:rPr>
            </w:pPr>
            <w:r w:rsidRPr="00F326F1">
              <w:rPr>
                <w:sz w:val="22"/>
                <w:szCs w:val="22"/>
              </w:rPr>
              <w:t>17.647</w:t>
            </w:r>
          </w:p>
        </w:tc>
        <w:tc>
          <w:tcPr>
            <w:tcW w:w="1272" w:type="dxa"/>
            <w:tcBorders>
              <w:top w:val="single" w:sz="4" w:space="0" w:color="auto"/>
              <w:left w:val="single" w:sz="4" w:space="0" w:color="auto"/>
              <w:bottom w:val="single" w:sz="4" w:space="0" w:color="auto"/>
              <w:right w:val="single" w:sz="4" w:space="0" w:color="auto"/>
            </w:tcBorders>
            <w:vAlign w:val="bottom"/>
          </w:tcPr>
          <w:p w14:paraId="4ED586EC" w14:textId="0904830D" w:rsidR="00F326F1" w:rsidRPr="00F326F1" w:rsidRDefault="00F326F1" w:rsidP="00F326F1">
            <w:pPr>
              <w:pStyle w:val="5TextocomnIIGG"/>
              <w:spacing w:after="120"/>
              <w:jc w:val="right"/>
              <w:rPr>
                <w:sz w:val="22"/>
                <w:szCs w:val="22"/>
              </w:rPr>
            </w:pPr>
            <w:r w:rsidRPr="00F326F1">
              <w:rPr>
                <w:sz w:val="22"/>
                <w:szCs w:val="22"/>
              </w:rPr>
              <w:t>6.260</w:t>
            </w:r>
          </w:p>
        </w:tc>
        <w:tc>
          <w:tcPr>
            <w:tcW w:w="838" w:type="dxa"/>
            <w:tcBorders>
              <w:top w:val="single" w:sz="4" w:space="0" w:color="auto"/>
              <w:left w:val="single" w:sz="4" w:space="0" w:color="auto"/>
              <w:bottom w:val="single" w:sz="4" w:space="0" w:color="auto"/>
              <w:right w:val="single" w:sz="4" w:space="0" w:color="auto"/>
            </w:tcBorders>
            <w:vAlign w:val="bottom"/>
          </w:tcPr>
          <w:p w14:paraId="70A5F827" w14:textId="0D243B41" w:rsidR="00F326F1" w:rsidRPr="00F326F1" w:rsidRDefault="00F326F1" w:rsidP="00F326F1">
            <w:pPr>
              <w:pStyle w:val="5TextocomnIIGG"/>
              <w:spacing w:after="120"/>
              <w:jc w:val="right"/>
              <w:rPr>
                <w:sz w:val="22"/>
                <w:szCs w:val="22"/>
              </w:rPr>
            </w:pPr>
            <w:r w:rsidRPr="00F326F1">
              <w:rPr>
                <w:sz w:val="22"/>
                <w:szCs w:val="22"/>
              </w:rPr>
              <w:t>99</w:t>
            </w:r>
          </w:p>
        </w:tc>
        <w:tc>
          <w:tcPr>
            <w:tcW w:w="612" w:type="dxa"/>
            <w:tcBorders>
              <w:top w:val="single" w:sz="4" w:space="0" w:color="auto"/>
              <w:left w:val="single" w:sz="4" w:space="0" w:color="auto"/>
              <w:bottom w:val="single" w:sz="4" w:space="0" w:color="auto"/>
              <w:right w:val="single" w:sz="4" w:space="0" w:color="auto"/>
            </w:tcBorders>
            <w:vAlign w:val="bottom"/>
          </w:tcPr>
          <w:p w14:paraId="2A2DEA01" w14:textId="4201E290" w:rsidR="00F326F1" w:rsidRPr="00F326F1" w:rsidRDefault="00F326F1" w:rsidP="00F326F1">
            <w:pPr>
              <w:pStyle w:val="5TextocomnIIGG"/>
              <w:spacing w:after="120"/>
              <w:jc w:val="right"/>
              <w:rPr>
                <w:sz w:val="22"/>
                <w:szCs w:val="22"/>
              </w:rPr>
            </w:pPr>
            <w:r w:rsidRPr="00F326F1">
              <w:rPr>
                <w:sz w:val="22"/>
                <w:szCs w:val="22"/>
              </w:rPr>
              <w:t>1,6</w:t>
            </w:r>
          </w:p>
        </w:tc>
        <w:tc>
          <w:tcPr>
            <w:tcW w:w="1121" w:type="dxa"/>
            <w:tcBorders>
              <w:top w:val="single" w:sz="4" w:space="0" w:color="auto"/>
              <w:left w:val="single" w:sz="4" w:space="0" w:color="auto"/>
              <w:bottom w:val="single" w:sz="4" w:space="0" w:color="auto"/>
              <w:right w:val="single" w:sz="4" w:space="0" w:color="auto"/>
            </w:tcBorders>
            <w:vAlign w:val="bottom"/>
          </w:tcPr>
          <w:p w14:paraId="3E76E954" w14:textId="0510B4D9" w:rsidR="00F326F1" w:rsidRPr="00F326F1" w:rsidRDefault="00F326F1" w:rsidP="00F326F1">
            <w:pPr>
              <w:pStyle w:val="5TextocomnIIGG"/>
              <w:spacing w:after="120"/>
              <w:jc w:val="right"/>
              <w:rPr>
                <w:sz w:val="22"/>
                <w:szCs w:val="22"/>
              </w:rPr>
            </w:pPr>
            <w:r w:rsidRPr="00F326F1">
              <w:rPr>
                <w:sz w:val="22"/>
                <w:szCs w:val="22"/>
              </w:rPr>
              <w:t>17.008</w:t>
            </w:r>
          </w:p>
        </w:tc>
        <w:tc>
          <w:tcPr>
            <w:tcW w:w="1141" w:type="dxa"/>
            <w:tcBorders>
              <w:top w:val="single" w:sz="4" w:space="0" w:color="auto"/>
              <w:left w:val="single" w:sz="4" w:space="0" w:color="auto"/>
              <w:bottom w:val="single" w:sz="4" w:space="0" w:color="auto"/>
              <w:right w:val="single" w:sz="4" w:space="0" w:color="auto"/>
            </w:tcBorders>
            <w:vAlign w:val="bottom"/>
          </w:tcPr>
          <w:p w14:paraId="72E2017F" w14:textId="6CF6A153" w:rsidR="00F326F1" w:rsidRPr="00F326F1" w:rsidRDefault="00F326F1" w:rsidP="00F326F1">
            <w:pPr>
              <w:pStyle w:val="5TextocomnIIGG"/>
              <w:spacing w:after="120"/>
              <w:jc w:val="right"/>
              <w:rPr>
                <w:sz w:val="22"/>
                <w:szCs w:val="22"/>
              </w:rPr>
            </w:pPr>
            <w:r w:rsidRPr="00F326F1">
              <w:rPr>
                <w:sz w:val="22"/>
                <w:szCs w:val="22"/>
              </w:rPr>
              <w:t>6.822</w:t>
            </w:r>
          </w:p>
        </w:tc>
        <w:tc>
          <w:tcPr>
            <w:tcW w:w="1082" w:type="dxa"/>
            <w:tcBorders>
              <w:top w:val="single" w:sz="4" w:space="0" w:color="auto"/>
              <w:left w:val="single" w:sz="4" w:space="0" w:color="auto"/>
              <w:bottom w:val="single" w:sz="4" w:space="0" w:color="auto"/>
              <w:right w:val="single" w:sz="4" w:space="0" w:color="auto"/>
            </w:tcBorders>
            <w:vAlign w:val="bottom"/>
          </w:tcPr>
          <w:p w14:paraId="63605800" w14:textId="4C97EBB5" w:rsidR="00F326F1" w:rsidRPr="00F326F1" w:rsidRDefault="00F326F1" w:rsidP="00F326F1">
            <w:pPr>
              <w:pStyle w:val="5TextocomnIIGG"/>
              <w:spacing w:after="120"/>
              <w:jc w:val="right"/>
              <w:rPr>
                <w:sz w:val="22"/>
                <w:szCs w:val="22"/>
              </w:rPr>
            </w:pPr>
            <w:r w:rsidRPr="00F326F1">
              <w:rPr>
                <w:sz w:val="22"/>
                <w:szCs w:val="22"/>
              </w:rPr>
              <w:t>96</w:t>
            </w:r>
          </w:p>
        </w:tc>
        <w:tc>
          <w:tcPr>
            <w:tcW w:w="612" w:type="dxa"/>
            <w:tcBorders>
              <w:top w:val="single" w:sz="4" w:space="0" w:color="auto"/>
              <w:left w:val="single" w:sz="4" w:space="0" w:color="auto"/>
              <w:bottom w:val="single" w:sz="4" w:space="0" w:color="auto"/>
              <w:right w:val="single" w:sz="4" w:space="0" w:color="auto"/>
            </w:tcBorders>
            <w:vAlign w:val="bottom"/>
          </w:tcPr>
          <w:p w14:paraId="021CE360" w14:textId="7B3A50A6" w:rsidR="00F326F1" w:rsidRPr="00F326F1" w:rsidRDefault="00F326F1" w:rsidP="00F326F1">
            <w:pPr>
              <w:pStyle w:val="5TextocomnIIGG"/>
              <w:spacing w:after="120"/>
              <w:jc w:val="right"/>
              <w:rPr>
                <w:sz w:val="22"/>
                <w:szCs w:val="22"/>
              </w:rPr>
            </w:pPr>
            <w:r w:rsidRPr="00F326F1">
              <w:rPr>
                <w:sz w:val="22"/>
                <w:szCs w:val="22"/>
              </w:rPr>
              <w:t>1,4</w:t>
            </w:r>
          </w:p>
        </w:tc>
      </w:tr>
      <w:tr w:rsidR="00944569" w:rsidRPr="00C540A0" w14:paraId="068E27E5" w14:textId="77777777" w:rsidTr="00F326F1">
        <w:trPr>
          <w:jc w:val="center"/>
        </w:trPr>
        <w:tc>
          <w:tcPr>
            <w:tcW w:w="1261" w:type="dxa"/>
          </w:tcPr>
          <w:p w14:paraId="4F8714C0" w14:textId="1F3CF3EF" w:rsidR="00F326F1" w:rsidRPr="00F326F1" w:rsidRDefault="00F326F1" w:rsidP="00F326F1">
            <w:pPr>
              <w:pStyle w:val="5TextocomnIIGG"/>
              <w:spacing w:after="120"/>
              <w:rPr>
                <w:sz w:val="22"/>
                <w:szCs w:val="22"/>
              </w:rPr>
            </w:pPr>
            <w:r w:rsidRPr="00F326F1">
              <w:rPr>
                <w:sz w:val="22"/>
                <w:szCs w:val="22"/>
              </w:rPr>
              <w:t>Maipú</w:t>
            </w:r>
          </w:p>
        </w:tc>
        <w:tc>
          <w:tcPr>
            <w:tcW w:w="1121" w:type="dxa"/>
            <w:tcBorders>
              <w:top w:val="single" w:sz="4" w:space="0" w:color="auto"/>
              <w:left w:val="single" w:sz="4" w:space="0" w:color="auto"/>
              <w:bottom w:val="single" w:sz="4" w:space="0" w:color="auto"/>
              <w:right w:val="single" w:sz="4" w:space="0" w:color="auto"/>
            </w:tcBorders>
            <w:vAlign w:val="bottom"/>
          </w:tcPr>
          <w:p w14:paraId="0C33D954" w14:textId="5D5D7FC2" w:rsidR="00F326F1" w:rsidRPr="00F326F1" w:rsidRDefault="00F326F1" w:rsidP="00F326F1">
            <w:pPr>
              <w:pStyle w:val="5TextocomnIIGG"/>
              <w:spacing w:after="120"/>
              <w:jc w:val="right"/>
              <w:rPr>
                <w:sz w:val="22"/>
                <w:szCs w:val="22"/>
              </w:rPr>
            </w:pPr>
            <w:r w:rsidRPr="00F326F1">
              <w:rPr>
                <w:sz w:val="22"/>
                <w:szCs w:val="22"/>
              </w:rPr>
              <w:t>10.042</w:t>
            </w:r>
          </w:p>
        </w:tc>
        <w:tc>
          <w:tcPr>
            <w:tcW w:w="1272" w:type="dxa"/>
            <w:tcBorders>
              <w:top w:val="single" w:sz="4" w:space="0" w:color="auto"/>
              <w:left w:val="single" w:sz="4" w:space="0" w:color="auto"/>
              <w:bottom w:val="single" w:sz="4" w:space="0" w:color="auto"/>
              <w:right w:val="single" w:sz="4" w:space="0" w:color="auto"/>
            </w:tcBorders>
            <w:vAlign w:val="bottom"/>
          </w:tcPr>
          <w:p w14:paraId="3C251B3F" w14:textId="66FB2052" w:rsidR="00F326F1" w:rsidRPr="00F326F1" w:rsidRDefault="00F326F1" w:rsidP="00F326F1">
            <w:pPr>
              <w:pStyle w:val="5TextocomnIIGG"/>
              <w:spacing w:after="120"/>
              <w:jc w:val="right"/>
              <w:rPr>
                <w:sz w:val="22"/>
                <w:szCs w:val="22"/>
              </w:rPr>
            </w:pPr>
            <w:r w:rsidRPr="00F326F1">
              <w:rPr>
                <w:sz w:val="22"/>
                <w:szCs w:val="22"/>
              </w:rPr>
              <w:t>3.682</w:t>
            </w:r>
          </w:p>
        </w:tc>
        <w:tc>
          <w:tcPr>
            <w:tcW w:w="838" w:type="dxa"/>
            <w:tcBorders>
              <w:top w:val="single" w:sz="4" w:space="0" w:color="auto"/>
              <w:left w:val="single" w:sz="4" w:space="0" w:color="auto"/>
              <w:bottom w:val="single" w:sz="4" w:space="0" w:color="auto"/>
              <w:right w:val="single" w:sz="4" w:space="0" w:color="auto"/>
            </w:tcBorders>
            <w:vAlign w:val="bottom"/>
          </w:tcPr>
          <w:p w14:paraId="76930E69" w14:textId="4B13EABE" w:rsidR="00F326F1" w:rsidRPr="00F326F1" w:rsidRDefault="00F326F1" w:rsidP="00F326F1">
            <w:pPr>
              <w:pStyle w:val="5TextocomnIIGG"/>
              <w:spacing w:after="120"/>
              <w:jc w:val="right"/>
              <w:rPr>
                <w:sz w:val="22"/>
                <w:szCs w:val="22"/>
              </w:rPr>
            </w:pPr>
            <w:r w:rsidRPr="00F326F1">
              <w:rPr>
                <w:sz w:val="22"/>
                <w:szCs w:val="22"/>
              </w:rPr>
              <w:t>30</w:t>
            </w:r>
          </w:p>
        </w:tc>
        <w:tc>
          <w:tcPr>
            <w:tcW w:w="612" w:type="dxa"/>
            <w:tcBorders>
              <w:top w:val="single" w:sz="4" w:space="0" w:color="auto"/>
              <w:left w:val="single" w:sz="4" w:space="0" w:color="auto"/>
              <w:bottom w:val="single" w:sz="4" w:space="0" w:color="auto"/>
              <w:right w:val="single" w:sz="4" w:space="0" w:color="auto"/>
            </w:tcBorders>
            <w:vAlign w:val="bottom"/>
          </w:tcPr>
          <w:p w14:paraId="029CB9C6" w14:textId="562145A7" w:rsidR="00F326F1" w:rsidRPr="00F326F1" w:rsidRDefault="00F326F1" w:rsidP="00F326F1">
            <w:pPr>
              <w:pStyle w:val="5TextocomnIIGG"/>
              <w:spacing w:after="120"/>
              <w:jc w:val="right"/>
              <w:rPr>
                <w:sz w:val="22"/>
                <w:szCs w:val="22"/>
              </w:rPr>
            </w:pPr>
            <w:r w:rsidRPr="00F326F1">
              <w:rPr>
                <w:sz w:val="22"/>
                <w:szCs w:val="22"/>
              </w:rPr>
              <w:t>0,8</w:t>
            </w:r>
          </w:p>
        </w:tc>
        <w:tc>
          <w:tcPr>
            <w:tcW w:w="1121" w:type="dxa"/>
            <w:tcBorders>
              <w:top w:val="single" w:sz="4" w:space="0" w:color="auto"/>
              <w:left w:val="single" w:sz="4" w:space="0" w:color="auto"/>
              <w:bottom w:val="single" w:sz="4" w:space="0" w:color="auto"/>
              <w:right w:val="single" w:sz="4" w:space="0" w:color="auto"/>
            </w:tcBorders>
            <w:vAlign w:val="bottom"/>
          </w:tcPr>
          <w:p w14:paraId="518F9C7F" w14:textId="0734DE9A" w:rsidR="00F326F1" w:rsidRPr="00F326F1" w:rsidRDefault="00F326F1" w:rsidP="00F326F1">
            <w:pPr>
              <w:pStyle w:val="5TextocomnIIGG"/>
              <w:spacing w:after="120"/>
              <w:jc w:val="right"/>
              <w:rPr>
                <w:sz w:val="22"/>
                <w:szCs w:val="22"/>
              </w:rPr>
            </w:pPr>
            <w:r w:rsidRPr="00F326F1">
              <w:rPr>
                <w:sz w:val="22"/>
                <w:szCs w:val="22"/>
              </w:rPr>
              <w:t>10.193</w:t>
            </w:r>
          </w:p>
        </w:tc>
        <w:tc>
          <w:tcPr>
            <w:tcW w:w="1141" w:type="dxa"/>
            <w:tcBorders>
              <w:top w:val="single" w:sz="4" w:space="0" w:color="auto"/>
              <w:left w:val="single" w:sz="4" w:space="0" w:color="auto"/>
              <w:bottom w:val="single" w:sz="4" w:space="0" w:color="auto"/>
              <w:right w:val="single" w:sz="4" w:space="0" w:color="auto"/>
            </w:tcBorders>
            <w:vAlign w:val="bottom"/>
          </w:tcPr>
          <w:p w14:paraId="0D739D7E" w14:textId="124C7BCF" w:rsidR="00F326F1" w:rsidRPr="00F326F1" w:rsidRDefault="00F326F1" w:rsidP="00F326F1">
            <w:pPr>
              <w:pStyle w:val="5TextocomnIIGG"/>
              <w:spacing w:after="120"/>
              <w:jc w:val="right"/>
              <w:rPr>
                <w:sz w:val="22"/>
                <w:szCs w:val="22"/>
              </w:rPr>
            </w:pPr>
            <w:r w:rsidRPr="00F326F1">
              <w:rPr>
                <w:sz w:val="22"/>
                <w:szCs w:val="22"/>
              </w:rPr>
              <w:t>3.798</w:t>
            </w:r>
          </w:p>
        </w:tc>
        <w:tc>
          <w:tcPr>
            <w:tcW w:w="1082" w:type="dxa"/>
            <w:tcBorders>
              <w:top w:val="single" w:sz="4" w:space="0" w:color="auto"/>
              <w:left w:val="single" w:sz="4" w:space="0" w:color="auto"/>
              <w:bottom w:val="single" w:sz="4" w:space="0" w:color="auto"/>
              <w:right w:val="single" w:sz="4" w:space="0" w:color="auto"/>
            </w:tcBorders>
            <w:vAlign w:val="bottom"/>
          </w:tcPr>
          <w:p w14:paraId="276D9DBA" w14:textId="1B368114" w:rsidR="00F326F1" w:rsidRPr="00F326F1" w:rsidRDefault="00F326F1" w:rsidP="00F326F1">
            <w:pPr>
              <w:pStyle w:val="5TextocomnIIGG"/>
              <w:spacing w:after="120"/>
              <w:jc w:val="right"/>
              <w:rPr>
                <w:sz w:val="22"/>
                <w:szCs w:val="22"/>
              </w:rPr>
            </w:pPr>
            <w:r w:rsidRPr="00F326F1">
              <w:rPr>
                <w:sz w:val="22"/>
                <w:szCs w:val="22"/>
              </w:rPr>
              <w:t>34</w:t>
            </w:r>
          </w:p>
        </w:tc>
        <w:tc>
          <w:tcPr>
            <w:tcW w:w="612" w:type="dxa"/>
            <w:tcBorders>
              <w:top w:val="single" w:sz="4" w:space="0" w:color="auto"/>
              <w:left w:val="single" w:sz="4" w:space="0" w:color="auto"/>
              <w:bottom w:val="single" w:sz="4" w:space="0" w:color="auto"/>
              <w:right w:val="single" w:sz="4" w:space="0" w:color="auto"/>
            </w:tcBorders>
            <w:vAlign w:val="bottom"/>
          </w:tcPr>
          <w:p w14:paraId="3348AFD4" w14:textId="15029DAE" w:rsidR="00F326F1" w:rsidRPr="00F326F1" w:rsidRDefault="00F326F1" w:rsidP="00F326F1">
            <w:pPr>
              <w:pStyle w:val="5TextocomnIIGG"/>
              <w:spacing w:after="120"/>
              <w:jc w:val="right"/>
              <w:rPr>
                <w:sz w:val="22"/>
                <w:szCs w:val="22"/>
              </w:rPr>
            </w:pPr>
            <w:r w:rsidRPr="00F326F1">
              <w:rPr>
                <w:sz w:val="22"/>
                <w:szCs w:val="22"/>
              </w:rPr>
              <w:t>0,9</w:t>
            </w:r>
          </w:p>
        </w:tc>
      </w:tr>
      <w:tr w:rsidR="00944569" w:rsidRPr="00C540A0" w14:paraId="23D1E9E7" w14:textId="77777777" w:rsidTr="00F326F1">
        <w:trPr>
          <w:jc w:val="center"/>
        </w:trPr>
        <w:tc>
          <w:tcPr>
            <w:tcW w:w="1261" w:type="dxa"/>
          </w:tcPr>
          <w:p w14:paraId="56443836" w14:textId="69DF615A" w:rsidR="00F326F1" w:rsidRPr="00F326F1" w:rsidRDefault="00F326F1" w:rsidP="00F326F1">
            <w:pPr>
              <w:pStyle w:val="5TextocomnIIGG"/>
              <w:spacing w:after="120"/>
              <w:rPr>
                <w:sz w:val="22"/>
                <w:szCs w:val="22"/>
              </w:rPr>
            </w:pPr>
            <w:r w:rsidRPr="00F326F1">
              <w:rPr>
                <w:sz w:val="22"/>
                <w:szCs w:val="22"/>
              </w:rPr>
              <w:t>Mar Chiquita</w:t>
            </w:r>
          </w:p>
        </w:tc>
        <w:tc>
          <w:tcPr>
            <w:tcW w:w="1121" w:type="dxa"/>
            <w:tcBorders>
              <w:top w:val="single" w:sz="4" w:space="0" w:color="auto"/>
              <w:left w:val="single" w:sz="4" w:space="0" w:color="auto"/>
              <w:bottom w:val="single" w:sz="4" w:space="0" w:color="auto"/>
              <w:right w:val="single" w:sz="4" w:space="0" w:color="auto"/>
            </w:tcBorders>
            <w:vAlign w:val="bottom"/>
          </w:tcPr>
          <w:p w14:paraId="122D5CCA" w14:textId="5579EE36" w:rsidR="00F326F1" w:rsidRPr="00F326F1" w:rsidRDefault="00F326F1" w:rsidP="00F326F1">
            <w:pPr>
              <w:pStyle w:val="5TextocomnIIGG"/>
              <w:spacing w:after="120"/>
              <w:jc w:val="right"/>
              <w:rPr>
                <w:sz w:val="22"/>
                <w:szCs w:val="22"/>
              </w:rPr>
            </w:pPr>
            <w:r w:rsidRPr="00F326F1">
              <w:rPr>
                <w:sz w:val="22"/>
                <w:szCs w:val="22"/>
              </w:rPr>
              <w:t>14.884</w:t>
            </w:r>
          </w:p>
        </w:tc>
        <w:tc>
          <w:tcPr>
            <w:tcW w:w="1272" w:type="dxa"/>
            <w:tcBorders>
              <w:top w:val="single" w:sz="4" w:space="0" w:color="auto"/>
              <w:left w:val="single" w:sz="4" w:space="0" w:color="auto"/>
              <w:bottom w:val="single" w:sz="4" w:space="0" w:color="auto"/>
              <w:right w:val="single" w:sz="4" w:space="0" w:color="auto"/>
            </w:tcBorders>
            <w:vAlign w:val="bottom"/>
          </w:tcPr>
          <w:p w14:paraId="714D7DCF" w14:textId="41B45F97" w:rsidR="00F326F1" w:rsidRPr="00F326F1" w:rsidRDefault="00F326F1" w:rsidP="00F326F1">
            <w:pPr>
              <w:pStyle w:val="5TextocomnIIGG"/>
              <w:spacing w:after="120"/>
              <w:jc w:val="right"/>
              <w:rPr>
                <w:sz w:val="22"/>
                <w:szCs w:val="22"/>
              </w:rPr>
            </w:pPr>
            <w:r w:rsidRPr="00F326F1">
              <w:rPr>
                <w:sz w:val="22"/>
                <w:szCs w:val="22"/>
              </w:rPr>
              <w:t>9.298</w:t>
            </w:r>
          </w:p>
        </w:tc>
        <w:tc>
          <w:tcPr>
            <w:tcW w:w="838" w:type="dxa"/>
            <w:tcBorders>
              <w:top w:val="single" w:sz="4" w:space="0" w:color="auto"/>
              <w:left w:val="single" w:sz="4" w:space="0" w:color="auto"/>
              <w:bottom w:val="single" w:sz="4" w:space="0" w:color="auto"/>
              <w:right w:val="single" w:sz="4" w:space="0" w:color="auto"/>
            </w:tcBorders>
            <w:vAlign w:val="bottom"/>
          </w:tcPr>
          <w:p w14:paraId="44E05287" w14:textId="3FC3F2C1" w:rsidR="00F326F1" w:rsidRPr="00F326F1" w:rsidRDefault="00F326F1" w:rsidP="00F326F1">
            <w:pPr>
              <w:pStyle w:val="5TextocomnIIGG"/>
              <w:spacing w:after="120"/>
              <w:jc w:val="right"/>
              <w:rPr>
                <w:sz w:val="22"/>
                <w:szCs w:val="22"/>
              </w:rPr>
            </w:pPr>
            <w:r w:rsidRPr="00F326F1">
              <w:rPr>
                <w:sz w:val="22"/>
                <w:szCs w:val="22"/>
              </w:rPr>
              <w:t>3.065</w:t>
            </w:r>
          </w:p>
        </w:tc>
        <w:tc>
          <w:tcPr>
            <w:tcW w:w="612" w:type="dxa"/>
            <w:tcBorders>
              <w:top w:val="single" w:sz="4" w:space="0" w:color="auto"/>
              <w:left w:val="single" w:sz="4" w:space="0" w:color="auto"/>
              <w:bottom w:val="single" w:sz="4" w:space="0" w:color="auto"/>
              <w:right w:val="single" w:sz="4" w:space="0" w:color="auto"/>
            </w:tcBorders>
            <w:vAlign w:val="bottom"/>
          </w:tcPr>
          <w:p w14:paraId="6CCAE746" w14:textId="5B44BA37" w:rsidR="00F326F1" w:rsidRPr="00F326F1" w:rsidRDefault="00F326F1" w:rsidP="00F326F1">
            <w:pPr>
              <w:pStyle w:val="5TextocomnIIGG"/>
              <w:spacing w:after="120"/>
              <w:jc w:val="right"/>
              <w:rPr>
                <w:sz w:val="22"/>
                <w:szCs w:val="22"/>
              </w:rPr>
            </w:pPr>
            <w:r w:rsidRPr="00F326F1">
              <w:rPr>
                <w:sz w:val="22"/>
                <w:szCs w:val="22"/>
              </w:rPr>
              <w:t>33,0</w:t>
            </w:r>
          </w:p>
        </w:tc>
        <w:tc>
          <w:tcPr>
            <w:tcW w:w="1121" w:type="dxa"/>
            <w:tcBorders>
              <w:top w:val="single" w:sz="4" w:space="0" w:color="auto"/>
              <w:left w:val="single" w:sz="4" w:space="0" w:color="auto"/>
              <w:bottom w:val="single" w:sz="4" w:space="0" w:color="auto"/>
              <w:right w:val="single" w:sz="4" w:space="0" w:color="auto"/>
            </w:tcBorders>
            <w:vAlign w:val="bottom"/>
          </w:tcPr>
          <w:p w14:paraId="3F17474A" w14:textId="2067E5A5" w:rsidR="00F326F1" w:rsidRPr="00F326F1" w:rsidRDefault="00F326F1" w:rsidP="00F326F1">
            <w:pPr>
              <w:pStyle w:val="5TextocomnIIGG"/>
              <w:spacing w:after="120"/>
              <w:jc w:val="right"/>
              <w:rPr>
                <w:sz w:val="22"/>
                <w:szCs w:val="22"/>
              </w:rPr>
            </w:pPr>
            <w:r w:rsidRPr="00F326F1">
              <w:rPr>
                <w:sz w:val="22"/>
                <w:szCs w:val="22"/>
              </w:rPr>
              <w:t>17.908</w:t>
            </w:r>
          </w:p>
        </w:tc>
        <w:tc>
          <w:tcPr>
            <w:tcW w:w="1141" w:type="dxa"/>
            <w:tcBorders>
              <w:top w:val="single" w:sz="4" w:space="0" w:color="auto"/>
              <w:left w:val="single" w:sz="4" w:space="0" w:color="auto"/>
              <w:bottom w:val="single" w:sz="4" w:space="0" w:color="auto"/>
              <w:right w:val="single" w:sz="4" w:space="0" w:color="auto"/>
            </w:tcBorders>
            <w:vAlign w:val="bottom"/>
          </w:tcPr>
          <w:p w14:paraId="7B16BA38" w14:textId="4CE19EB7" w:rsidR="00F326F1" w:rsidRPr="00F326F1" w:rsidRDefault="00F326F1" w:rsidP="00F326F1">
            <w:pPr>
              <w:pStyle w:val="5TextocomnIIGG"/>
              <w:spacing w:after="120"/>
              <w:jc w:val="right"/>
              <w:rPr>
                <w:sz w:val="22"/>
                <w:szCs w:val="22"/>
              </w:rPr>
            </w:pPr>
            <w:r w:rsidRPr="00F326F1">
              <w:rPr>
                <w:sz w:val="22"/>
                <w:szCs w:val="22"/>
              </w:rPr>
              <w:t>10.998</w:t>
            </w:r>
          </w:p>
        </w:tc>
        <w:tc>
          <w:tcPr>
            <w:tcW w:w="1082" w:type="dxa"/>
            <w:tcBorders>
              <w:top w:val="single" w:sz="4" w:space="0" w:color="auto"/>
              <w:left w:val="single" w:sz="4" w:space="0" w:color="auto"/>
              <w:bottom w:val="single" w:sz="4" w:space="0" w:color="auto"/>
              <w:right w:val="single" w:sz="4" w:space="0" w:color="auto"/>
            </w:tcBorders>
            <w:vAlign w:val="bottom"/>
          </w:tcPr>
          <w:p w14:paraId="31F2FC77" w14:textId="0692C008" w:rsidR="00F326F1" w:rsidRPr="00F326F1" w:rsidRDefault="00F326F1" w:rsidP="00F326F1">
            <w:pPr>
              <w:pStyle w:val="5TextocomnIIGG"/>
              <w:spacing w:after="120"/>
              <w:jc w:val="right"/>
              <w:rPr>
                <w:sz w:val="22"/>
                <w:szCs w:val="22"/>
              </w:rPr>
            </w:pPr>
            <w:r w:rsidRPr="00F326F1">
              <w:rPr>
                <w:sz w:val="22"/>
                <w:szCs w:val="22"/>
              </w:rPr>
              <w:t>3.494</w:t>
            </w:r>
          </w:p>
        </w:tc>
        <w:tc>
          <w:tcPr>
            <w:tcW w:w="612" w:type="dxa"/>
            <w:tcBorders>
              <w:top w:val="single" w:sz="4" w:space="0" w:color="auto"/>
              <w:left w:val="single" w:sz="4" w:space="0" w:color="auto"/>
              <w:bottom w:val="single" w:sz="4" w:space="0" w:color="auto"/>
              <w:right w:val="single" w:sz="4" w:space="0" w:color="auto"/>
            </w:tcBorders>
            <w:vAlign w:val="bottom"/>
          </w:tcPr>
          <w:p w14:paraId="51CC4077" w14:textId="46DD9573" w:rsidR="00F326F1" w:rsidRPr="00F326F1" w:rsidRDefault="00F326F1" w:rsidP="00F326F1">
            <w:pPr>
              <w:pStyle w:val="5TextocomnIIGG"/>
              <w:spacing w:after="120"/>
              <w:jc w:val="right"/>
              <w:rPr>
                <w:sz w:val="22"/>
                <w:szCs w:val="22"/>
              </w:rPr>
            </w:pPr>
            <w:r w:rsidRPr="00F326F1">
              <w:rPr>
                <w:sz w:val="22"/>
                <w:szCs w:val="22"/>
              </w:rPr>
              <w:t>31,8</w:t>
            </w:r>
          </w:p>
        </w:tc>
      </w:tr>
      <w:tr w:rsidR="00944569" w:rsidRPr="00C540A0" w14:paraId="716FD8CD" w14:textId="77777777" w:rsidTr="00F326F1">
        <w:trPr>
          <w:jc w:val="center"/>
        </w:trPr>
        <w:tc>
          <w:tcPr>
            <w:tcW w:w="1261" w:type="dxa"/>
          </w:tcPr>
          <w:p w14:paraId="0E9A31F4" w14:textId="447D687F" w:rsidR="00F326F1" w:rsidRPr="00F326F1" w:rsidRDefault="00F326F1" w:rsidP="00F326F1">
            <w:pPr>
              <w:pStyle w:val="5TextocomnIIGG"/>
              <w:spacing w:after="120"/>
              <w:rPr>
                <w:sz w:val="22"/>
                <w:szCs w:val="22"/>
              </w:rPr>
            </w:pPr>
            <w:r w:rsidRPr="00F326F1">
              <w:rPr>
                <w:sz w:val="22"/>
                <w:szCs w:val="22"/>
              </w:rPr>
              <w:t>Necochea</w:t>
            </w:r>
          </w:p>
        </w:tc>
        <w:tc>
          <w:tcPr>
            <w:tcW w:w="1121" w:type="dxa"/>
            <w:tcBorders>
              <w:top w:val="single" w:sz="4" w:space="0" w:color="auto"/>
              <w:left w:val="single" w:sz="4" w:space="0" w:color="auto"/>
              <w:bottom w:val="single" w:sz="4" w:space="0" w:color="auto"/>
              <w:right w:val="single" w:sz="4" w:space="0" w:color="auto"/>
            </w:tcBorders>
            <w:vAlign w:val="bottom"/>
          </w:tcPr>
          <w:p w14:paraId="4C7B18FC" w14:textId="76A8C398" w:rsidR="00F326F1" w:rsidRPr="00F326F1" w:rsidRDefault="00F326F1" w:rsidP="00F326F1">
            <w:pPr>
              <w:pStyle w:val="5TextocomnIIGG"/>
              <w:spacing w:after="120"/>
              <w:jc w:val="right"/>
              <w:rPr>
                <w:sz w:val="22"/>
                <w:szCs w:val="22"/>
              </w:rPr>
            </w:pPr>
            <w:r w:rsidRPr="00F326F1">
              <w:rPr>
                <w:sz w:val="22"/>
                <w:szCs w:val="22"/>
              </w:rPr>
              <w:t>84.581</w:t>
            </w:r>
          </w:p>
        </w:tc>
        <w:tc>
          <w:tcPr>
            <w:tcW w:w="1272" w:type="dxa"/>
            <w:tcBorders>
              <w:top w:val="single" w:sz="4" w:space="0" w:color="auto"/>
              <w:left w:val="single" w:sz="4" w:space="0" w:color="auto"/>
              <w:bottom w:val="single" w:sz="4" w:space="0" w:color="auto"/>
              <w:right w:val="single" w:sz="4" w:space="0" w:color="auto"/>
            </w:tcBorders>
            <w:vAlign w:val="bottom"/>
          </w:tcPr>
          <w:p w14:paraId="297A4FFE" w14:textId="43648279" w:rsidR="00F326F1" w:rsidRPr="00F326F1" w:rsidRDefault="00F326F1" w:rsidP="00F326F1">
            <w:pPr>
              <w:pStyle w:val="5TextocomnIIGG"/>
              <w:spacing w:after="120"/>
              <w:jc w:val="right"/>
              <w:rPr>
                <w:sz w:val="22"/>
                <w:szCs w:val="22"/>
              </w:rPr>
            </w:pPr>
            <w:r w:rsidRPr="00F326F1">
              <w:rPr>
                <w:sz w:val="22"/>
                <w:szCs w:val="22"/>
              </w:rPr>
              <w:t>35.282</w:t>
            </w:r>
          </w:p>
        </w:tc>
        <w:tc>
          <w:tcPr>
            <w:tcW w:w="838" w:type="dxa"/>
            <w:tcBorders>
              <w:top w:val="single" w:sz="4" w:space="0" w:color="auto"/>
              <w:left w:val="single" w:sz="4" w:space="0" w:color="auto"/>
              <w:bottom w:val="single" w:sz="4" w:space="0" w:color="auto"/>
              <w:right w:val="single" w:sz="4" w:space="0" w:color="auto"/>
            </w:tcBorders>
            <w:vAlign w:val="bottom"/>
          </w:tcPr>
          <w:p w14:paraId="545B91F2" w14:textId="01EE374C" w:rsidR="00F326F1" w:rsidRPr="00F326F1" w:rsidRDefault="00F326F1" w:rsidP="00F326F1">
            <w:pPr>
              <w:pStyle w:val="5TextocomnIIGG"/>
              <w:spacing w:after="120"/>
              <w:jc w:val="right"/>
              <w:rPr>
                <w:sz w:val="22"/>
                <w:szCs w:val="22"/>
              </w:rPr>
            </w:pPr>
            <w:r w:rsidRPr="00F326F1">
              <w:rPr>
                <w:sz w:val="22"/>
                <w:szCs w:val="22"/>
              </w:rPr>
              <w:t>5.378</w:t>
            </w:r>
          </w:p>
        </w:tc>
        <w:tc>
          <w:tcPr>
            <w:tcW w:w="612" w:type="dxa"/>
            <w:tcBorders>
              <w:top w:val="single" w:sz="4" w:space="0" w:color="auto"/>
              <w:left w:val="single" w:sz="4" w:space="0" w:color="auto"/>
              <w:bottom w:val="single" w:sz="4" w:space="0" w:color="auto"/>
              <w:right w:val="single" w:sz="4" w:space="0" w:color="auto"/>
            </w:tcBorders>
            <w:vAlign w:val="bottom"/>
          </w:tcPr>
          <w:p w14:paraId="57FAE67A" w14:textId="2ACC2232" w:rsidR="00F326F1" w:rsidRPr="00F326F1" w:rsidRDefault="00F326F1" w:rsidP="00F326F1">
            <w:pPr>
              <w:pStyle w:val="5TextocomnIIGG"/>
              <w:spacing w:after="120"/>
              <w:jc w:val="right"/>
              <w:rPr>
                <w:sz w:val="22"/>
                <w:szCs w:val="22"/>
              </w:rPr>
            </w:pPr>
            <w:r w:rsidRPr="00F326F1">
              <w:rPr>
                <w:sz w:val="22"/>
                <w:szCs w:val="22"/>
              </w:rPr>
              <w:t>15,2</w:t>
            </w:r>
          </w:p>
        </w:tc>
        <w:tc>
          <w:tcPr>
            <w:tcW w:w="1121" w:type="dxa"/>
            <w:tcBorders>
              <w:top w:val="single" w:sz="4" w:space="0" w:color="auto"/>
              <w:left w:val="single" w:sz="4" w:space="0" w:color="auto"/>
              <w:bottom w:val="single" w:sz="4" w:space="0" w:color="auto"/>
              <w:right w:val="single" w:sz="4" w:space="0" w:color="auto"/>
            </w:tcBorders>
            <w:vAlign w:val="bottom"/>
          </w:tcPr>
          <w:p w14:paraId="4F68AFEF" w14:textId="3DBB2C80" w:rsidR="00F326F1" w:rsidRPr="00F326F1" w:rsidRDefault="00F326F1" w:rsidP="00F326F1">
            <w:pPr>
              <w:pStyle w:val="5TextocomnIIGG"/>
              <w:spacing w:after="120"/>
              <w:jc w:val="right"/>
              <w:rPr>
                <w:sz w:val="22"/>
                <w:szCs w:val="22"/>
              </w:rPr>
            </w:pPr>
            <w:r w:rsidRPr="00F326F1">
              <w:rPr>
                <w:sz w:val="22"/>
                <w:szCs w:val="22"/>
              </w:rPr>
              <w:t>89.096</w:t>
            </w:r>
          </w:p>
        </w:tc>
        <w:tc>
          <w:tcPr>
            <w:tcW w:w="1141" w:type="dxa"/>
            <w:tcBorders>
              <w:top w:val="single" w:sz="4" w:space="0" w:color="auto"/>
              <w:left w:val="single" w:sz="4" w:space="0" w:color="auto"/>
              <w:bottom w:val="single" w:sz="4" w:space="0" w:color="auto"/>
              <w:right w:val="single" w:sz="4" w:space="0" w:color="auto"/>
            </w:tcBorders>
            <w:vAlign w:val="bottom"/>
          </w:tcPr>
          <w:p w14:paraId="7E3246F3" w14:textId="50A70E87" w:rsidR="00F326F1" w:rsidRPr="00F326F1" w:rsidRDefault="00F326F1" w:rsidP="00F326F1">
            <w:pPr>
              <w:pStyle w:val="5TextocomnIIGG"/>
              <w:spacing w:after="120"/>
              <w:jc w:val="right"/>
              <w:rPr>
                <w:sz w:val="22"/>
                <w:szCs w:val="22"/>
              </w:rPr>
            </w:pPr>
            <w:r w:rsidRPr="00F326F1">
              <w:rPr>
                <w:sz w:val="22"/>
                <w:szCs w:val="22"/>
              </w:rPr>
              <w:t>38.853</w:t>
            </w:r>
          </w:p>
        </w:tc>
        <w:tc>
          <w:tcPr>
            <w:tcW w:w="1082" w:type="dxa"/>
            <w:tcBorders>
              <w:top w:val="single" w:sz="4" w:space="0" w:color="auto"/>
              <w:left w:val="single" w:sz="4" w:space="0" w:color="auto"/>
              <w:bottom w:val="single" w:sz="4" w:space="0" w:color="auto"/>
              <w:right w:val="single" w:sz="4" w:space="0" w:color="auto"/>
            </w:tcBorders>
            <w:vAlign w:val="bottom"/>
          </w:tcPr>
          <w:p w14:paraId="69D8E464" w14:textId="33E53DB1" w:rsidR="00F326F1" w:rsidRPr="00F326F1" w:rsidRDefault="00F326F1" w:rsidP="00F326F1">
            <w:pPr>
              <w:pStyle w:val="5TextocomnIIGG"/>
              <w:spacing w:after="120"/>
              <w:jc w:val="right"/>
              <w:rPr>
                <w:sz w:val="22"/>
                <w:szCs w:val="22"/>
              </w:rPr>
            </w:pPr>
            <w:r w:rsidRPr="00F326F1">
              <w:rPr>
                <w:sz w:val="22"/>
                <w:szCs w:val="22"/>
              </w:rPr>
              <w:t>5.044</w:t>
            </w:r>
          </w:p>
        </w:tc>
        <w:tc>
          <w:tcPr>
            <w:tcW w:w="612" w:type="dxa"/>
            <w:tcBorders>
              <w:top w:val="single" w:sz="4" w:space="0" w:color="auto"/>
              <w:left w:val="single" w:sz="4" w:space="0" w:color="auto"/>
              <w:bottom w:val="single" w:sz="4" w:space="0" w:color="auto"/>
              <w:right w:val="single" w:sz="4" w:space="0" w:color="auto"/>
            </w:tcBorders>
            <w:vAlign w:val="bottom"/>
          </w:tcPr>
          <w:p w14:paraId="40BEC3F1" w14:textId="7C7C714F" w:rsidR="00F326F1" w:rsidRPr="00F326F1" w:rsidRDefault="00F326F1" w:rsidP="00F326F1">
            <w:pPr>
              <w:pStyle w:val="5TextocomnIIGG"/>
              <w:spacing w:after="120"/>
              <w:jc w:val="right"/>
              <w:rPr>
                <w:sz w:val="22"/>
                <w:szCs w:val="22"/>
              </w:rPr>
            </w:pPr>
            <w:r w:rsidRPr="00F326F1">
              <w:rPr>
                <w:sz w:val="22"/>
                <w:szCs w:val="22"/>
              </w:rPr>
              <w:t>13,0</w:t>
            </w:r>
          </w:p>
        </w:tc>
      </w:tr>
      <w:tr w:rsidR="00944569" w:rsidRPr="00C540A0" w14:paraId="55ABB5F2" w14:textId="77777777" w:rsidTr="00F326F1">
        <w:trPr>
          <w:jc w:val="center"/>
        </w:trPr>
        <w:tc>
          <w:tcPr>
            <w:tcW w:w="1261" w:type="dxa"/>
          </w:tcPr>
          <w:p w14:paraId="3815C481" w14:textId="5AE3BC19" w:rsidR="00F326F1" w:rsidRPr="00F326F1" w:rsidRDefault="00F326F1" w:rsidP="00F326F1">
            <w:pPr>
              <w:pStyle w:val="5TextocomnIIGG"/>
              <w:spacing w:after="120"/>
              <w:rPr>
                <w:sz w:val="22"/>
                <w:szCs w:val="22"/>
              </w:rPr>
            </w:pPr>
            <w:r w:rsidRPr="00F326F1">
              <w:rPr>
                <w:sz w:val="22"/>
                <w:szCs w:val="22"/>
              </w:rPr>
              <w:t>Pinamar</w:t>
            </w:r>
          </w:p>
        </w:tc>
        <w:tc>
          <w:tcPr>
            <w:tcW w:w="1121" w:type="dxa"/>
            <w:tcBorders>
              <w:top w:val="single" w:sz="4" w:space="0" w:color="auto"/>
              <w:left w:val="single" w:sz="4" w:space="0" w:color="auto"/>
              <w:bottom w:val="single" w:sz="4" w:space="0" w:color="auto"/>
              <w:right w:val="single" w:sz="4" w:space="0" w:color="auto"/>
            </w:tcBorders>
            <w:vAlign w:val="bottom"/>
          </w:tcPr>
          <w:p w14:paraId="36204D0D" w14:textId="7448ABDC" w:rsidR="00F326F1" w:rsidRPr="00F326F1" w:rsidRDefault="00F326F1" w:rsidP="00F326F1">
            <w:pPr>
              <w:pStyle w:val="5TextocomnIIGG"/>
              <w:spacing w:after="120"/>
              <w:jc w:val="right"/>
              <w:rPr>
                <w:sz w:val="22"/>
                <w:szCs w:val="22"/>
              </w:rPr>
            </w:pPr>
            <w:r w:rsidRPr="00F326F1">
              <w:rPr>
                <w:sz w:val="22"/>
                <w:szCs w:val="22"/>
              </w:rPr>
              <w:t>10.316</w:t>
            </w:r>
          </w:p>
        </w:tc>
        <w:tc>
          <w:tcPr>
            <w:tcW w:w="1272" w:type="dxa"/>
            <w:tcBorders>
              <w:top w:val="single" w:sz="4" w:space="0" w:color="auto"/>
              <w:left w:val="single" w:sz="4" w:space="0" w:color="auto"/>
              <w:bottom w:val="single" w:sz="4" w:space="0" w:color="auto"/>
              <w:right w:val="single" w:sz="4" w:space="0" w:color="auto"/>
            </w:tcBorders>
            <w:vAlign w:val="bottom"/>
          </w:tcPr>
          <w:p w14:paraId="1038AA71" w14:textId="22F603A5" w:rsidR="00F326F1" w:rsidRPr="00F326F1" w:rsidRDefault="00F326F1" w:rsidP="00F326F1">
            <w:pPr>
              <w:pStyle w:val="5TextocomnIIGG"/>
              <w:spacing w:after="120"/>
              <w:jc w:val="right"/>
              <w:rPr>
                <w:sz w:val="22"/>
                <w:szCs w:val="22"/>
              </w:rPr>
            </w:pPr>
            <w:r w:rsidRPr="00F326F1">
              <w:rPr>
                <w:sz w:val="22"/>
                <w:szCs w:val="22"/>
              </w:rPr>
              <w:t>14.572</w:t>
            </w:r>
          </w:p>
        </w:tc>
        <w:tc>
          <w:tcPr>
            <w:tcW w:w="838" w:type="dxa"/>
            <w:tcBorders>
              <w:top w:val="single" w:sz="4" w:space="0" w:color="auto"/>
              <w:left w:val="single" w:sz="4" w:space="0" w:color="auto"/>
              <w:bottom w:val="single" w:sz="4" w:space="0" w:color="auto"/>
              <w:right w:val="single" w:sz="4" w:space="0" w:color="auto"/>
            </w:tcBorders>
            <w:vAlign w:val="bottom"/>
          </w:tcPr>
          <w:p w14:paraId="68EF65CC" w14:textId="52F699FF" w:rsidR="00F326F1" w:rsidRPr="00F326F1" w:rsidRDefault="00F326F1" w:rsidP="00F326F1">
            <w:pPr>
              <w:pStyle w:val="5TextocomnIIGG"/>
              <w:spacing w:after="120"/>
              <w:jc w:val="right"/>
              <w:rPr>
                <w:sz w:val="22"/>
                <w:szCs w:val="22"/>
              </w:rPr>
            </w:pPr>
            <w:r w:rsidRPr="00F326F1">
              <w:rPr>
                <w:sz w:val="22"/>
                <w:szCs w:val="22"/>
              </w:rPr>
              <w:t>8.566</w:t>
            </w:r>
          </w:p>
        </w:tc>
        <w:tc>
          <w:tcPr>
            <w:tcW w:w="612" w:type="dxa"/>
            <w:tcBorders>
              <w:top w:val="single" w:sz="4" w:space="0" w:color="auto"/>
              <w:left w:val="single" w:sz="4" w:space="0" w:color="auto"/>
              <w:bottom w:val="single" w:sz="4" w:space="0" w:color="auto"/>
              <w:right w:val="single" w:sz="4" w:space="0" w:color="auto"/>
            </w:tcBorders>
            <w:vAlign w:val="bottom"/>
          </w:tcPr>
          <w:p w14:paraId="43213E84" w14:textId="597EA94C" w:rsidR="00F326F1" w:rsidRPr="00F326F1" w:rsidRDefault="00F326F1" w:rsidP="00F326F1">
            <w:pPr>
              <w:pStyle w:val="5TextocomnIIGG"/>
              <w:spacing w:after="120"/>
              <w:jc w:val="right"/>
              <w:rPr>
                <w:sz w:val="22"/>
                <w:szCs w:val="22"/>
              </w:rPr>
            </w:pPr>
            <w:r w:rsidRPr="00F326F1">
              <w:rPr>
                <w:sz w:val="22"/>
                <w:szCs w:val="22"/>
              </w:rPr>
              <w:t>58,8</w:t>
            </w:r>
          </w:p>
        </w:tc>
        <w:tc>
          <w:tcPr>
            <w:tcW w:w="1121" w:type="dxa"/>
            <w:tcBorders>
              <w:top w:val="single" w:sz="4" w:space="0" w:color="auto"/>
              <w:left w:val="single" w:sz="4" w:space="0" w:color="auto"/>
              <w:bottom w:val="single" w:sz="4" w:space="0" w:color="auto"/>
              <w:right w:val="single" w:sz="4" w:space="0" w:color="auto"/>
            </w:tcBorders>
            <w:vAlign w:val="bottom"/>
          </w:tcPr>
          <w:p w14:paraId="6D682E02" w14:textId="4D13E4E0" w:rsidR="00F326F1" w:rsidRPr="00F326F1" w:rsidRDefault="00F326F1" w:rsidP="00F326F1">
            <w:pPr>
              <w:pStyle w:val="5TextocomnIIGG"/>
              <w:spacing w:after="120"/>
              <w:jc w:val="right"/>
              <w:rPr>
                <w:sz w:val="22"/>
                <w:szCs w:val="22"/>
              </w:rPr>
            </w:pPr>
            <w:r w:rsidRPr="00F326F1">
              <w:rPr>
                <w:sz w:val="22"/>
                <w:szCs w:val="22"/>
              </w:rPr>
              <w:t>20.666</w:t>
            </w:r>
          </w:p>
        </w:tc>
        <w:tc>
          <w:tcPr>
            <w:tcW w:w="1141" w:type="dxa"/>
            <w:tcBorders>
              <w:top w:val="single" w:sz="4" w:space="0" w:color="auto"/>
              <w:left w:val="single" w:sz="4" w:space="0" w:color="auto"/>
              <w:bottom w:val="single" w:sz="4" w:space="0" w:color="auto"/>
              <w:right w:val="single" w:sz="4" w:space="0" w:color="auto"/>
            </w:tcBorders>
            <w:vAlign w:val="bottom"/>
          </w:tcPr>
          <w:p w14:paraId="50B9FDAF" w14:textId="0F4044E9" w:rsidR="00F326F1" w:rsidRPr="00F326F1" w:rsidRDefault="00F326F1" w:rsidP="00F326F1">
            <w:pPr>
              <w:pStyle w:val="5TextocomnIIGG"/>
              <w:spacing w:after="120"/>
              <w:jc w:val="right"/>
              <w:rPr>
                <w:sz w:val="22"/>
                <w:szCs w:val="22"/>
              </w:rPr>
            </w:pPr>
            <w:r w:rsidRPr="00F326F1">
              <w:rPr>
                <w:sz w:val="22"/>
                <w:szCs w:val="22"/>
              </w:rPr>
              <w:t>19.019</w:t>
            </w:r>
          </w:p>
        </w:tc>
        <w:tc>
          <w:tcPr>
            <w:tcW w:w="1082" w:type="dxa"/>
            <w:tcBorders>
              <w:top w:val="single" w:sz="4" w:space="0" w:color="auto"/>
              <w:left w:val="single" w:sz="4" w:space="0" w:color="auto"/>
              <w:bottom w:val="single" w:sz="4" w:space="0" w:color="auto"/>
              <w:right w:val="single" w:sz="4" w:space="0" w:color="auto"/>
            </w:tcBorders>
            <w:vAlign w:val="bottom"/>
          </w:tcPr>
          <w:p w14:paraId="0A45FF44" w14:textId="2FA068D3" w:rsidR="00F326F1" w:rsidRPr="00F326F1" w:rsidRDefault="00F326F1" w:rsidP="00F326F1">
            <w:pPr>
              <w:pStyle w:val="5TextocomnIIGG"/>
              <w:spacing w:after="120"/>
              <w:jc w:val="right"/>
              <w:rPr>
                <w:sz w:val="22"/>
                <w:szCs w:val="22"/>
              </w:rPr>
            </w:pPr>
            <w:r w:rsidRPr="00F326F1">
              <w:rPr>
                <w:sz w:val="22"/>
                <w:szCs w:val="22"/>
              </w:rPr>
              <w:t>9.648</w:t>
            </w:r>
          </w:p>
        </w:tc>
        <w:tc>
          <w:tcPr>
            <w:tcW w:w="612" w:type="dxa"/>
            <w:tcBorders>
              <w:top w:val="single" w:sz="4" w:space="0" w:color="auto"/>
              <w:left w:val="single" w:sz="4" w:space="0" w:color="auto"/>
              <w:bottom w:val="single" w:sz="4" w:space="0" w:color="auto"/>
              <w:right w:val="single" w:sz="4" w:space="0" w:color="auto"/>
            </w:tcBorders>
            <w:vAlign w:val="bottom"/>
          </w:tcPr>
          <w:p w14:paraId="3A5E7B44" w14:textId="37E239C0" w:rsidR="00F326F1" w:rsidRPr="00F326F1" w:rsidRDefault="00F326F1" w:rsidP="00F326F1">
            <w:pPr>
              <w:pStyle w:val="5TextocomnIIGG"/>
              <w:spacing w:after="120"/>
              <w:jc w:val="right"/>
              <w:rPr>
                <w:sz w:val="22"/>
                <w:szCs w:val="22"/>
              </w:rPr>
            </w:pPr>
            <w:r w:rsidRPr="00F326F1">
              <w:rPr>
                <w:sz w:val="22"/>
                <w:szCs w:val="22"/>
              </w:rPr>
              <w:t>50,7</w:t>
            </w:r>
          </w:p>
        </w:tc>
      </w:tr>
      <w:tr w:rsidR="00944569" w:rsidRPr="00C540A0" w14:paraId="7AC3DBD8" w14:textId="77777777" w:rsidTr="00F326F1">
        <w:trPr>
          <w:jc w:val="center"/>
        </w:trPr>
        <w:tc>
          <w:tcPr>
            <w:tcW w:w="1261" w:type="dxa"/>
          </w:tcPr>
          <w:p w14:paraId="777EE888" w14:textId="449E4D70" w:rsidR="00F326F1" w:rsidRPr="00F326F1" w:rsidRDefault="00F326F1" w:rsidP="00F326F1">
            <w:pPr>
              <w:pStyle w:val="5TextocomnIIGG"/>
              <w:spacing w:after="120"/>
              <w:rPr>
                <w:sz w:val="22"/>
                <w:szCs w:val="22"/>
              </w:rPr>
            </w:pPr>
            <w:r w:rsidRPr="00F326F1">
              <w:rPr>
                <w:sz w:val="22"/>
                <w:szCs w:val="22"/>
              </w:rPr>
              <w:t>San Cayetano</w:t>
            </w:r>
          </w:p>
        </w:tc>
        <w:tc>
          <w:tcPr>
            <w:tcW w:w="1121" w:type="dxa"/>
            <w:tcBorders>
              <w:top w:val="single" w:sz="4" w:space="0" w:color="auto"/>
              <w:left w:val="single" w:sz="4" w:space="0" w:color="auto"/>
              <w:bottom w:val="single" w:sz="4" w:space="0" w:color="auto"/>
              <w:right w:val="single" w:sz="4" w:space="0" w:color="auto"/>
            </w:tcBorders>
            <w:vAlign w:val="bottom"/>
          </w:tcPr>
          <w:p w14:paraId="5AABA63C" w14:textId="6B31A465" w:rsidR="00F326F1" w:rsidRPr="00F326F1" w:rsidRDefault="00F326F1" w:rsidP="00F326F1">
            <w:pPr>
              <w:pStyle w:val="5TextocomnIIGG"/>
              <w:spacing w:after="120"/>
              <w:jc w:val="right"/>
              <w:rPr>
                <w:sz w:val="22"/>
                <w:szCs w:val="22"/>
              </w:rPr>
            </w:pPr>
            <w:r w:rsidRPr="00F326F1">
              <w:rPr>
                <w:sz w:val="22"/>
                <w:szCs w:val="22"/>
              </w:rPr>
              <w:t>8.687</w:t>
            </w:r>
          </w:p>
        </w:tc>
        <w:tc>
          <w:tcPr>
            <w:tcW w:w="1272" w:type="dxa"/>
            <w:tcBorders>
              <w:top w:val="single" w:sz="4" w:space="0" w:color="auto"/>
              <w:left w:val="single" w:sz="4" w:space="0" w:color="auto"/>
              <w:bottom w:val="single" w:sz="4" w:space="0" w:color="auto"/>
              <w:right w:val="single" w:sz="4" w:space="0" w:color="auto"/>
            </w:tcBorders>
            <w:vAlign w:val="bottom"/>
          </w:tcPr>
          <w:p w14:paraId="06153D51" w14:textId="6A7CA416" w:rsidR="00F326F1" w:rsidRPr="00F326F1" w:rsidRDefault="00F326F1" w:rsidP="00F326F1">
            <w:pPr>
              <w:pStyle w:val="5TextocomnIIGG"/>
              <w:spacing w:after="120"/>
              <w:jc w:val="right"/>
              <w:rPr>
                <w:sz w:val="22"/>
                <w:szCs w:val="22"/>
              </w:rPr>
            </w:pPr>
            <w:r w:rsidRPr="00F326F1">
              <w:rPr>
                <w:sz w:val="22"/>
                <w:szCs w:val="22"/>
              </w:rPr>
              <w:t>3.537</w:t>
            </w:r>
          </w:p>
        </w:tc>
        <w:tc>
          <w:tcPr>
            <w:tcW w:w="838" w:type="dxa"/>
            <w:tcBorders>
              <w:top w:val="single" w:sz="4" w:space="0" w:color="auto"/>
              <w:left w:val="single" w:sz="4" w:space="0" w:color="auto"/>
              <w:bottom w:val="single" w:sz="4" w:space="0" w:color="auto"/>
              <w:right w:val="single" w:sz="4" w:space="0" w:color="auto"/>
            </w:tcBorders>
            <w:vAlign w:val="bottom"/>
          </w:tcPr>
          <w:p w14:paraId="77DE0704" w14:textId="4AAFC153" w:rsidR="00F326F1" w:rsidRPr="00F326F1" w:rsidRDefault="00F326F1" w:rsidP="00F326F1">
            <w:pPr>
              <w:pStyle w:val="5TextocomnIIGG"/>
              <w:spacing w:after="120"/>
              <w:jc w:val="right"/>
              <w:rPr>
                <w:sz w:val="22"/>
                <w:szCs w:val="22"/>
              </w:rPr>
            </w:pPr>
            <w:r w:rsidRPr="00F326F1">
              <w:rPr>
                <w:sz w:val="22"/>
                <w:szCs w:val="22"/>
              </w:rPr>
              <w:t>36</w:t>
            </w:r>
          </w:p>
        </w:tc>
        <w:tc>
          <w:tcPr>
            <w:tcW w:w="612" w:type="dxa"/>
            <w:tcBorders>
              <w:top w:val="single" w:sz="4" w:space="0" w:color="auto"/>
              <w:left w:val="single" w:sz="4" w:space="0" w:color="auto"/>
              <w:bottom w:val="single" w:sz="4" w:space="0" w:color="auto"/>
              <w:right w:val="single" w:sz="4" w:space="0" w:color="auto"/>
            </w:tcBorders>
            <w:vAlign w:val="bottom"/>
          </w:tcPr>
          <w:p w14:paraId="1BC0264E" w14:textId="5398651E" w:rsidR="00F326F1" w:rsidRPr="00F326F1" w:rsidRDefault="00F326F1" w:rsidP="00F326F1">
            <w:pPr>
              <w:pStyle w:val="5TextocomnIIGG"/>
              <w:spacing w:after="120"/>
              <w:jc w:val="right"/>
              <w:rPr>
                <w:sz w:val="22"/>
                <w:szCs w:val="22"/>
              </w:rPr>
            </w:pPr>
            <w:r w:rsidRPr="00F326F1">
              <w:rPr>
                <w:sz w:val="22"/>
                <w:szCs w:val="22"/>
              </w:rPr>
              <w:t>1,0</w:t>
            </w:r>
          </w:p>
        </w:tc>
        <w:tc>
          <w:tcPr>
            <w:tcW w:w="1121" w:type="dxa"/>
            <w:tcBorders>
              <w:top w:val="single" w:sz="4" w:space="0" w:color="auto"/>
              <w:left w:val="single" w:sz="4" w:space="0" w:color="auto"/>
              <w:bottom w:val="single" w:sz="4" w:space="0" w:color="auto"/>
              <w:right w:val="single" w:sz="4" w:space="0" w:color="auto"/>
            </w:tcBorders>
            <w:vAlign w:val="bottom"/>
          </w:tcPr>
          <w:p w14:paraId="358A4FEF" w14:textId="7CCE3F15" w:rsidR="00F326F1" w:rsidRPr="00F326F1" w:rsidRDefault="00F326F1" w:rsidP="00F326F1">
            <w:pPr>
              <w:pStyle w:val="5TextocomnIIGG"/>
              <w:spacing w:after="120"/>
              <w:jc w:val="right"/>
              <w:rPr>
                <w:sz w:val="22"/>
                <w:szCs w:val="22"/>
              </w:rPr>
            </w:pPr>
            <w:r w:rsidRPr="00F326F1">
              <w:rPr>
                <w:sz w:val="22"/>
                <w:szCs w:val="22"/>
              </w:rPr>
              <w:t>8.119</w:t>
            </w:r>
          </w:p>
        </w:tc>
        <w:tc>
          <w:tcPr>
            <w:tcW w:w="1141" w:type="dxa"/>
            <w:tcBorders>
              <w:top w:val="single" w:sz="4" w:space="0" w:color="auto"/>
              <w:left w:val="single" w:sz="4" w:space="0" w:color="auto"/>
              <w:bottom w:val="single" w:sz="4" w:space="0" w:color="auto"/>
              <w:right w:val="single" w:sz="4" w:space="0" w:color="auto"/>
            </w:tcBorders>
            <w:vAlign w:val="bottom"/>
          </w:tcPr>
          <w:p w14:paraId="16295640" w14:textId="0F56FBA6" w:rsidR="00F326F1" w:rsidRPr="00F326F1" w:rsidRDefault="00F326F1" w:rsidP="00F326F1">
            <w:pPr>
              <w:pStyle w:val="5TextocomnIIGG"/>
              <w:spacing w:after="120"/>
              <w:jc w:val="right"/>
              <w:rPr>
                <w:sz w:val="22"/>
                <w:szCs w:val="22"/>
              </w:rPr>
            </w:pPr>
            <w:r w:rsidRPr="00F326F1">
              <w:rPr>
                <w:sz w:val="22"/>
                <w:szCs w:val="22"/>
              </w:rPr>
              <w:t>3.511</w:t>
            </w:r>
          </w:p>
        </w:tc>
        <w:tc>
          <w:tcPr>
            <w:tcW w:w="1082" w:type="dxa"/>
            <w:tcBorders>
              <w:top w:val="single" w:sz="4" w:space="0" w:color="auto"/>
              <w:left w:val="single" w:sz="4" w:space="0" w:color="auto"/>
              <w:bottom w:val="single" w:sz="4" w:space="0" w:color="auto"/>
              <w:right w:val="single" w:sz="4" w:space="0" w:color="auto"/>
            </w:tcBorders>
            <w:vAlign w:val="bottom"/>
          </w:tcPr>
          <w:p w14:paraId="4ADE813C" w14:textId="1700BBE4" w:rsidR="00F326F1" w:rsidRPr="00F326F1" w:rsidRDefault="00F326F1" w:rsidP="00F326F1">
            <w:pPr>
              <w:pStyle w:val="5TextocomnIIGG"/>
              <w:spacing w:after="120"/>
              <w:jc w:val="right"/>
              <w:rPr>
                <w:sz w:val="22"/>
                <w:szCs w:val="22"/>
              </w:rPr>
            </w:pPr>
            <w:r w:rsidRPr="00F326F1">
              <w:rPr>
                <w:sz w:val="22"/>
                <w:szCs w:val="22"/>
              </w:rPr>
              <w:t>93</w:t>
            </w:r>
          </w:p>
        </w:tc>
        <w:tc>
          <w:tcPr>
            <w:tcW w:w="612" w:type="dxa"/>
            <w:tcBorders>
              <w:top w:val="single" w:sz="4" w:space="0" w:color="auto"/>
              <w:left w:val="single" w:sz="4" w:space="0" w:color="auto"/>
              <w:bottom w:val="single" w:sz="4" w:space="0" w:color="auto"/>
              <w:right w:val="single" w:sz="4" w:space="0" w:color="auto"/>
            </w:tcBorders>
            <w:vAlign w:val="bottom"/>
          </w:tcPr>
          <w:p w14:paraId="5510A62C" w14:textId="1234D03B" w:rsidR="00F326F1" w:rsidRPr="00F326F1" w:rsidRDefault="00F326F1" w:rsidP="00F326F1">
            <w:pPr>
              <w:pStyle w:val="5TextocomnIIGG"/>
              <w:spacing w:after="120"/>
              <w:jc w:val="right"/>
              <w:rPr>
                <w:sz w:val="22"/>
                <w:szCs w:val="22"/>
              </w:rPr>
            </w:pPr>
            <w:r w:rsidRPr="00F326F1">
              <w:rPr>
                <w:sz w:val="22"/>
                <w:szCs w:val="22"/>
              </w:rPr>
              <w:t>2,6</w:t>
            </w:r>
          </w:p>
        </w:tc>
      </w:tr>
      <w:tr w:rsidR="00944569" w:rsidRPr="00C540A0" w14:paraId="10D1A88F" w14:textId="77777777" w:rsidTr="00F326F1">
        <w:trPr>
          <w:jc w:val="center"/>
        </w:trPr>
        <w:tc>
          <w:tcPr>
            <w:tcW w:w="1261" w:type="dxa"/>
          </w:tcPr>
          <w:p w14:paraId="57A1B427" w14:textId="0A450C81" w:rsidR="00F326F1" w:rsidRPr="00F326F1" w:rsidRDefault="00F326F1" w:rsidP="00F326F1">
            <w:pPr>
              <w:pStyle w:val="5TextocomnIIGG"/>
              <w:spacing w:after="120"/>
              <w:rPr>
                <w:sz w:val="22"/>
                <w:szCs w:val="22"/>
              </w:rPr>
            </w:pPr>
            <w:r w:rsidRPr="00F326F1">
              <w:rPr>
                <w:sz w:val="22"/>
                <w:szCs w:val="22"/>
              </w:rPr>
              <w:t>Tandil</w:t>
            </w:r>
          </w:p>
        </w:tc>
        <w:tc>
          <w:tcPr>
            <w:tcW w:w="1121" w:type="dxa"/>
            <w:tcBorders>
              <w:top w:val="single" w:sz="4" w:space="0" w:color="auto"/>
              <w:left w:val="single" w:sz="4" w:space="0" w:color="auto"/>
              <w:bottom w:val="single" w:sz="4" w:space="0" w:color="auto"/>
              <w:right w:val="single" w:sz="4" w:space="0" w:color="auto"/>
            </w:tcBorders>
            <w:vAlign w:val="bottom"/>
          </w:tcPr>
          <w:p w14:paraId="71892CEF" w14:textId="186C132E" w:rsidR="00F326F1" w:rsidRPr="00F326F1" w:rsidRDefault="00F326F1" w:rsidP="00F326F1">
            <w:pPr>
              <w:pStyle w:val="5TextocomnIIGG"/>
              <w:spacing w:after="120"/>
              <w:jc w:val="right"/>
              <w:rPr>
                <w:sz w:val="22"/>
                <w:szCs w:val="22"/>
              </w:rPr>
            </w:pPr>
            <w:r w:rsidRPr="00F326F1">
              <w:rPr>
                <w:sz w:val="22"/>
                <w:szCs w:val="22"/>
              </w:rPr>
              <w:t>101.228</w:t>
            </w:r>
          </w:p>
        </w:tc>
        <w:tc>
          <w:tcPr>
            <w:tcW w:w="1272" w:type="dxa"/>
            <w:tcBorders>
              <w:top w:val="single" w:sz="4" w:space="0" w:color="auto"/>
              <w:left w:val="single" w:sz="4" w:space="0" w:color="auto"/>
              <w:bottom w:val="single" w:sz="4" w:space="0" w:color="auto"/>
              <w:right w:val="single" w:sz="4" w:space="0" w:color="auto"/>
            </w:tcBorders>
            <w:vAlign w:val="bottom"/>
          </w:tcPr>
          <w:p w14:paraId="368DB4D3" w14:textId="0528990A" w:rsidR="00F326F1" w:rsidRPr="00F326F1" w:rsidRDefault="00F326F1" w:rsidP="00F326F1">
            <w:pPr>
              <w:pStyle w:val="5TextocomnIIGG"/>
              <w:spacing w:after="120"/>
              <w:jc w:val="right"/>
              <w:rPr>
                <w:sz w:val="22"/>
                <w:szCs w:val="22"/>
              </w:rPr>
            </w:pPr>
            <w:r w:rsidRPr="00F326F1">
              <w:rPr>
                <w:sz w:val="22"/>
                <w:szCs w:val="22"/>
              </w:rPr>
              <w:t>33.849</w:t>
            </w:r>
          </w:p>
        </w:tc>
        <w:tc>
          <w:tcPr>
            <w:tcW w:w="838" w:type="dxa"/>
            <w:tcBorders>
              <w:top w:val="single" w:sz="4" w:space="0" w:color="auto"/>
              <w:left w:val="single" w:sz="4" w:space="0" w:color="auto"/>
              <w:bottom w:val="single" w:sz="4" w:space="0" w:color="auto"/>
              <w:right w:val="single" w:sz="4" w:space="0" w:color="auto"/>
            </w:tcBorders>
            <w:vAlign w:val="bottom"/>
          </w:tcPr>
          <w:p w14:paraId="755EE0FC" w14:textId="0183D97F" w:rsidR="00F326F1" w:rsidRPr="00F326F1" w:rsidRDefault="00F326F1" w:rsidP="00F326F1">
            <w:pPr>
              <w:pStyle w:val="5TextocomnIIGG"/>
              <w:spacing w:after="120"/>
              <w:jc w:val="right"/>
              <w:rPr>
                <w:sz w:val="22"/>
                <w:szCs w:val="22"/>
              </w:rPr>
            </w:pPr>
            <w:r w:rsidRPr="00F326F1">
              <w:rPr>
                <w:sz w:val="22"/>
                <w:szCs w:val="22"/>
              </w:rPr>
              <w:t>328</w:t>
            </w:r>
          </w:p>
        </w:tc>
        <w:tc>
          <w:tcPr>
            <w:tcW w:w="612" w:type="dxa"/>
            <w:tcBorders>
              <w:top w:val="single" w:sz="4" w:space="0" w:color="auto"/>
              <w:left w:val="single" w:sz="4" w:space="0" w:color="auto"/>
              <w:bottom w:val="single" w:sz="4" w:space="0" w:color="auto"/>
              <w:right w:val="single" w:sz="4" w:space="0" w:color="auto"/>
            </w:tcBorders>
            <w:vAlign w:val="bottom"/>
          </w:tcPr>
          <w:p w14:paraId="53EA17AF" w14:textId="3A3B8DD7" w:rsidR="00F326F1" w:rsidRPr="00F326F1" w:rsidRDefault="00F326F1" w:rsidP="00F326F1">
            <w:pPr>
              <w:pStyle w:val="5TextocomnIIGG"/>
              <w:spacing w:after="120"/>
              <w:jc w:val="right"/>
              <w:rPr>
                <w:sz w:val="22"/>
                <w:szCs w:val="22"/>
              </w:rPr>
            </w:pPr>
            <w:r w:rsidRPr="00F326F1">
              <w:rPr>
                <w:sz w:val="22"/>
                <w:szCs w:val="22"/>
              </w:rPr>
              <w:t>1,0</w:t>
            </w:r>
          </w:p>
        </w:tc>
        <w:tc>
          <w:tcPr>
            <w:tcW w:w="1121" w:type="dxa"/>
            <w:tcBorders>
              <w:top w:val="single" w:sz="4" w:space="0" w:color="auto"/>
              <w:left w:val="single" w:sz="4" w:space="0" w:color="auto"/>
              <w:bottom w:val="single" w:sz="4" w:space="0" w:color="auto"/>
              <w:right w:val="single" w:sz="4" w:space="0" w:color="auto"/>
            </w:tcBorders>
            <w:vAlign w:val="bottom"/>
          </w:tcPr>
          <w:p w14:paraId="569B8364" w14:textId="0F2515F8" w:rsidR="00F326F1" w:rsidRPr="00F326F1" w:rsidRDefault="00F326F1" w:rsidP="00F326F1">
            <w:pPr>
              <w:pStyle w:val="5TextocomnIIGG"/>
              <w:spacing w:after="120"/>
              <w:jc w:val="right"/>
              <w:rPr>
                <w:sz w:val="22"/>
                <w:szCs w:val="22"/>
              </w:rPr>
            </w:pPr>
            <w:r w:rsidRPr="00F326F1">
              <w:rPr>
                <w:sz w:val="22"/>
                <w:szCs w:val="22"/>
              </w:rPr>
              <w:t>108.109</w:t>
            </w:r>
          </w:p>
        </w:tc>
        <w:tc>
          <w:tcPr>
            <w:tcW w:w="1141" w:type="dxa"/>
            <w:tcBorders>
              <w:top w:val="single" w:sz="4" w:space="0" w:color="auto"/>
              <w:left w:val="single" w:sz="4" w:space="0" w:color="auto"/>
              <w:bottom w:val="single" w:sz="4" w:space="0" w:color="auto"/>
              <w:right w:val="single" w:sz="4" w:space="0" w:color="auto"/>
            </w:tcBorders>
            <w:vAlign w:val="bottom"/>
          </w:tcPr>
          <w:p w14:paraId="270C85F8" w14:textId="1CC876DB" w:rsidR="00F326F1" w:rsidRPr="00F326F1" w:rsidRDefault="00F326F1" w:rsidP="00F326F1">
            <w:pPr>
              <w:pStyle w:val="5TextocomnIIGG"/>
              <w:spacing w:after="120"/>
              <w:jc w:val="right"/>
              <w:rPr>
                <w:sz w:val="22"/>
                <w:szCs w:val="22"/>
              </w:rPr>
            </w:pPr>
            <w:r w:rsidRPr="00F326F1">
              <w:rPr>
                <w:sz w:val="22"/>
                <w:szCs w:val="22"/>
              </w:rPr>
              <w:t>40.992</w:t>
            </w:r>
          </w:p>
        </w:tc>
        <w:tc>
          <w:tcPr>
            <w:tcW w:w="1082" w:type="dxa"/>
            <w:tcBorders>
              <w:top w:val="single" w:sz="4" w:space="0" w:color="auto"/>
              <w:left w:val="single" w:sz="4" w:space="0" w:color="auto"/>
              <w:bottom w:val="single" w:sz="4" w:space="0" w:color="auto"/>
              <w:right w:val="single" w:sz="4" w:space="0" w:color="auto"/>
            </w:tcBorders>
            <w:vAlign w:val="bottom"/>
          </w:tcPr>
          <w:p w14:paraId="267C517D" w14:textId="51846608" w:rsidR="00F326F1" w:rsidRPr="00F326F1" w:rsidRDefault="00F326F1" w:rsidP="00F326F1">
            <w:pPr>
              <w:pStyle w:val="5TextocomnIIGG"/>
              <w:spacing w:after="120"/>
              <w:jc w:val="right"/>
              <w:rPr>
                <w:sz w:val="22"/>
                <w:szCs w:val="22"/>
              </w:rPr>
            </w:pPr>
            <w:r w:rsidRPr="00F326F1">
              <w:rPr>
                <w:sz w:val="22"/>
                <w:szCs w:val="22"/>
              </w:rPr>
              <w:t>494</w:t>
            </w:r>
          </w:p>
        </w:tc>
        <w:tc>
          <w:tcPr>
            <w:tcW w:w="612" w:type="dxa"/>
            <w:tcBorders>
              <w:top w:val="single" w:sz="4" w:space="0" w:color="auto"/>
              <w:left w:val="single" w:sz="4" w:space="0" w:color="auto"/>
              <w:bottom w:val="single" w:sz="4" w:space="0" w:color="auto"/>
              <w:right w:val="single" w:sz="4" w:space="0" w:color="auto"/>
            </w:tcBorders>
            <w:vAlign w:val="bottom"/>
          </w:tcPr>
          <w:p w14:paraId="0A4EEC73" w14:textId="5F4B1CC4" w:rsidR="00F326F1" w:rsidRPr="00F326F1" w:rsidRDefault="00F326F1" w:rsidP="00F326F1">
            <w:pPr>
              <w:pStyle w:val="5TextocomnIIGG"/>
              <w:spacing w:after="120"/>
              <w:jc w:val="right"/>
              <w:rPr>
                <w:sz w:val="22"/>
                <w:szCs w:val="22"/>
              </w:rPr>
            </w:pPr>
            <w:r w:rsidRPr="00F326F1">
              <w:rPr>
                <w:sz w:val="22"/>
                <w:szCs w:val="22"/>
              </w:rPr>
              <w:t>1,2</w:t>
            </w:r>
          </w:p>
        </w:tc>
      </w:tr>
      <w:tr w:rsidR="00944569" w:rsidRPr="00C540A0" w14:paraId="43069D3A" w14:textId="77777777" w:rsidTr="00F326F1">
        <w:trPr>
          <w:jc w:val="center"/>
        </w:trPr>
        <w:tc>
          <w:tcPr>
            <w:tcW w:w="1261" w:type="dxa"/>
          </w:tcPr>
          <w:p w14:paraId="6A90B746" w14:textId="2B499446" w:rsidR="00F326F1" w:rsidRPr="00F326F1" w:rsidRDefault="00F326F1" w:rsidP="00F326F1">
            <w:pPr>
              <w:pStyle w:val="5TextocomnIIGG"/>
              <w:spacing w:after="120"/>
              <w:rPr>
                <w:sz w:val="22"/>
                <w:szCs w:val="22"/>
              </w:rPr>
            </w:pPr>
            <w:r w:rsidRPr="00F326F1">
              <w:rPr>
                <w:sz w:val="22"/>
                <w:szCs w:val="22"/>
              </w:rPr>
              <w:t>Villa Gesell</w:t>
            </w:r>
          </w:p>
        </w:tc>
        <w:tc>
          <w:tcPr>
            <w:tcW w:w="1121" w:type="dxa"/>
            <w:tcBorders>
              <w:top w:val="single" w:sz="4" w:space="0" w:color="auto"/>
              <w:left w:val="single" w:sz="4" w:space="0" w:color="auto"/>
              <w:bottom w:val="single" w:sz="4" w:space="0" w:color="auto"/>
              <w:right w:val="single" w:sz="4" w:space="0" w:color="auto"/>
            </w:tcBorders>
            <w:vAlign w:val="bottom"/>
          </w:tcPr>
          <w:p w14:paraId="4CD3E753" w14:textId="19BD4D7F" w:rsidR="00F326F1" w:rsidRPr="00F326F1" w:rsidRDefault="00F326F1" w:rsidP="00F326F1">
            <w:pPr>
              <w:pStyle w:val="5TextocomnIIGG"/>
              <w:spacing w:after="120"/>
              <w:jc w:val="right"/>
              <w:rPr>
                <w:sz w:val="22"/>
                <w:szCs w:val="22"/>
              </w:rPr>
            </w:pPr>
            <w:r w:rsidRPr="00F326F1">
              <w:rPr>
                <w:sz w:val="22"/>
                <w:szCs w:val="22"/>
              </w:rPr>
              <w:t>16.012</w:t>
            </w:r>
          </w:p>
        </w:tc>
        <w:tc>
          <w:tcPr>
            <w:tcW w:w="1272" w:type="dxa"/>
            <w:tcBorders>
              <w:top w:val="single" w:sz="4" w:space="0" w:color="auto"/>
              <w:left w:val="single" w:sz="4" w:space="0" w:color="auto"/>
              <w:bottom w:val="single" w:sz="4" w:space="0" w:color="auto"/>
              <w:right w:val="single" w:sz="4" w:space="0" w:color="auto"/>
            </w:tcBorders>
            <w:vAlign w:val="bottom"/>
          </w:tcPr>
          <w:p w14:paraId="785E2E65" w14:textId="0E52BEA8" w:rsidR="00F326F1" w:rsidRPr="00F326F1" w:rsidRDefault="00F326F1" w:rsidP="00F326F1">
            <w:pPr>
              <w:pStyle w:val="5TextocomnIIGG"/>
              <w:spacing w:after="120"/>
              <w:jc w:val="right"/>
              <w:rPr>
                <w:sz w:val="22"/>
                <w:szCs w:val="22"/>
              </w:rPr>
            </w:pPr>
            <w:r w:rsidRPr="00F326F1">
              <w:rPr>
                <w:sz w:val="22"/>
                <w:szCs w:val="22"/>
              </w:rPr>
              <w:t>21.111</w:t>
            </w:r>
          </w:p>
        </w:tc>
        <w:tc>
          <w:tcPr>
            <w:tcW w:w="838" w:type="dxa"/>
            <w:tcBorders>
              <w:top w:val="single" w:sz="4" w:space="0" w:color="auto"/>
              <w:left w:val="single" w:sz="4" w:space="0" w:color="auto"/>
              <w:bottom w:val="single" w:sz="4" w:space="0" w:color="auto"/>
              <w:right w:val="single" w:sz="4" w:space="0" w:color="auto"/>
            </w:tcBorders>
            <w:vAlign w:val="bottom"/>
          </w:tcPr>
          <w:p w14:paraId="5026D153" w14:textId="1768EB61" w:rsidR="00F326F1" w:rsidRPr="00F326F1" w:rsidRDefault="00F326F1" w:rsidP="00F326F1">
            <w:pPr>
              <w:pStyle w:val="5TextocomnIIGG"/>
              <w:spacing w:after="120"/>
              <w:jc w:val="right"/>
              <w:rPr>
                <w:sz w:val="22"/>
                <w:szCs w:val="22"/>
              </w:rPr>
            </w:pPr>
            <w:r w:rsidRPr="00F326F1">
              <w:rPr>
                <w:sz w:val="22"/>
                <w:szCs w:val="22"/>
              </w:rPr>
              <w:t>12.594</w:t>
            </w:r>
          </w:p>
        </w:tc>
        <w:tc>
          <w:tcPr>
            <w:tcW w:w="612" w:type="dxa"/>
            <w:tcBorders>
              <w:top w:val="single" w:sz="4" w:space="0" w:color="auto"/>
              <w:left w:val="single" w:sz="4" w:space="0" w:color="auto"/>
              <w:bottom w:val="single" w:sz="4" w:space="0" w:color="auto"/>
              <w:right w:val="single" w:sz="4" w:space="0" w:color="auto"/>
            </w:tcBorders>
            <w:vAlign w:val="bottom"/>
          </w:tcPr>
          <w:p w14:paraId="7C394812" w14:textId="2F1AB27E" w:rsidR="00F326F1" w:rsidRPr="00F326F1" w:rsidRDefault="00F326F1" w:rsidP="00F326F1">
            <w:pPr>
              <w:pStyle w:val="5TextocomnIIGG"/>
              <w:spacing w:after="120"/>
              <w:jc w:val="right"/>
              <w:rPr>
                <w:sz w:val="22"/>
                <w:szCs w:val="22"/>
              </w:rPr>
            </w:pPr>
            <w:r w:rsidRPr="00F326F1">
              <w:rPr>
                <w:sz w:val="22"/>
                <w:szCs w:val="22"/>
              </w:rPr>
              <w:t>59,7</w:t>
            </w:r>
          </w:p>
        </w:tc>
        <w:tc>
          <w:tcPr>
            <w:tcW w:w="1121" w:type="dxa"/>
            <w:tcBorders>
              <w:top w:val="single" w:sz="4" w:space="0" w:color="auto"/>
              <w:left w:val="single" w:sz="4" w:space="0" w:color="auto"/>
              <w:bottom w:val="single" w:sz="4" w:space="0" w:color="auto"/>
              <w:right w:val="single" w:sz="4" w:space="0" w:color="auto"/>
            </w:tcBorders>
            <w:vAlign w:val="bottom"/>
          </w:tcPr>
          <w:p w14:paraId="3C8EE276" w14:textId="5F9B7F91" w:rsidR="00F326F1" w:rsidRPr="00F326F1" w:rsidRDefault="00F326F1" w:rsidP="00F326F1">
            <w:pPr>
              <w:pStyle w:val="5TextocomnIIGG"/>
              <w:spacing w:after="120"/>
              <w:jc w:val="right"/>
              <w:rPr>
                <w:sz w:val="22"/>
                <w:szCs w:val="22"/>
              </w:rPr>
            </w:pPr>
            <w:r w:rsidRPr="00F326F1">
              <w:rPr>
                <w:sz w:val="22"/>
                <w:szCs w:val="22"/>
              </w:rPr>
              <w:t>24.282</w:t>
            </w:r>
          </w:p>
        </w:tc>
        <w:tc>
          <w:tcPr>
            <w:tcW w:w="1141" w:type="dxa"/>
            <w:tcBorders>
              <w:top w:val="single" w:sz="4" w:space="0" w:color="auto"/>
              <w:left w:val="single" w:sz="4" w:space="0" w:color="auto"/>
              <w:bottom w:val="single" w:sz="4" w:space="0" w:color="auto"/>
              <w:right w:val="single" w:sz="4" w:space="0" w:color="auto"/>
            </w:tcBorders>
            <w:vAlign w:val="bottom"/>
          </w:tcPr>
          <w:p w14:paraId="50928F86" w14:textId="6B79BAE2" w:rsidR="00F326F1" w:rsidRPr="00F326F1" w:rsidRDefault="00F326F1" w:rsidP="00F326F1">
            <w:pPr>
              <w:pStyle w:val="5TextocomnIIGG"/>
              <w:spacing w:after="120"/>
              <w:jc w:val="right"/>
              <w:rPr>
                <w:sz w:val="22"/>
                <w:szCs w:val="22"/>
              </w:rPr>
            </w:pPr>
            <w:r w:rsidRPr="00F326F1">
              <w:rPr>
                <w:sz w:val="22"/>
                <w:szCs w:val="22"/>
              </w:rPr>
              <w:t>23.146</w:t>
            </w:r>
          </w:p>
        </w:tc>
        <w:tc>
          <w:tcPr>
            <w:tcW w:w="1082" w:type="dxa"/>
            <w:tcBorders>
              <w:top w:val="single" w:sz="4" w:space="0" w:color="auto"/>
              <w:left w:val="single" w:sz="4" w:space="0" w:color="auto"/>
              <w:bottom w:val="single" w:sz="4" w:space="0" w:color="auto"/>
              <w:right w:val="single" w:sz="4" w:space="0" w:color="auto"/>
            </w:tcBorders>
            <w:vAlign w:val="bottom"/>
          </w:tcPr>
          <w:p w14:paraId="2198EC89" w14:textId="38036ECE" w:rsidR="00F326F1" w:rsidRPr="00F326F1" w:rsidRDefault="00F326F1" w:rsidP="00F326F1">
            <w:pPr>
              <w:pStyle w:val="5TextocomnIIGG"/>
              <w:spacing w:after="120"/>
              <w:jc w:val="right"/>
              <w:rPr>
                <w:sz w:val="22"/>
                <w:szCs w:val="22"/>
              </w:rPr>
            </w:pPr>
            <w:r w:rsidRPr="00F326F1">
              <w:rPr>
                <w:sz w:val="22"/>
                <w:szCs w:val="22"/>
              </w:rPr>
              <w:t>11.308</w:t>
            </w:r>
          </w:p>
        </w:tc>
        <w:tc>
          <w:tcPr>
            <w:tcW w:w="612" w:type="dxa"/>
            <w:tcBorders>
              <w:top w:val="single" w:sz="4" w:space="0" w:color="auto"/>
              <w:left w:val="single" w:sz="4" w:space="0" w:color="auto"/>
              <w:bottom w:val="single" w:sz="4" w:space="0" w:color="auto"/>
              <w:right w:val="single" w:sz="4" w:space="0" w:color="auto"/>
            </w:tcBorders>
            <w:vAlign w:val="bottom"/>
          </w:tcPr>
          <w:p w14:paraId="02B709FB" w14:textId="76BEB4AB" w:rsidR="00F326F1" w:rsidRPr="00F326F1" w:rsidRDefault="00F326F1" w:rsidP="00F326F1">
            <w:pPr>
              <w:pStyle w:val="5TextocomnIIGG"/>
              <w:spacing w:after="120"/>
              <w:jc w:val="right"/>
              <w:rPr>
                <w:sz w:val="22"/>
                <w:szCs w:val="22"/>
              </w:rPr>
            </w:pPr>
            <w:r w:rsidRPr="00F326F1">
              <w:rPr>
                <w:sz w:val="22"/>
                <w:szCs w:val="22"/>
              </w:rPr>
              <w:t>48,9</w:t>
            </w:r>
          </w:p>
        </w:tc>
      </w:tr>
      <w:tr w:rsidR="00944569" w:rsidRPr="00C540A0" w14:paraId="6F66B1B6" w14:textId="77777777" w:rsidTr="00F326F1">
        <w:trPr>
          <w:jc w:val="center"/>
        </w:trPr>
        <w:tc>
          <w:tcPr>
            <w:tcW w:w="1261" w:type="dxa"/>
          </w:tcPr>
          <w:p w14:paraId="42E9EEED" w14:textId="2A4C1A7A" w:rsidR="00F326F1" w:rsidRPr="00F326F1" w:rsidRDefault="00F326F1" w:rsidP="00F326F1">
            <w:pPr>
              <w:pStyle w:val="5TextocomnIIGG"/>
              <w:spacing w:after="120"/>
              <w:rPr>
                <w:b/>
                <w:bCs/>
                <w:sz w:val="22"/>
                <w:szCs w:val="22"/>
              </w:rPr>
            </w:pPr>
            <w:r w:rsidRPr="00F326F1">
              <w:rPr>
                <w:b/>
                <w:bCs/>
                <w:sz w:val="22"/>
                <w:szCs w:val="22"/>
              </w:rPr>
              <w:t>Total</w:t>
            </w:r>
          </w:p>
        </w:tc>
        <w:tc>
          <w:tcPr>
            <w:tcW w:w="1121" w:type="dxa"/>
            <w:tcBorders>
              <w:top w:val="single" w:sz="4" w:space="0" w:color="auto"/>
              <w:left w:val="single" w:sz="4" w:space="0" w:color="auto"/>
              <w:bottom w:val="single" w:sz="4" w:space="0" w:color="auto"/>
              <w:right w:val="single" w:sz="4" w:space="0" w:color="auto"/>
            </w:tcBorders>
            <w:vAlign w:val="bottom"/>
          </w:tcPr>
          <w:p w14:paraId="237FDD01" w14:textId="2E3E65D7" w:rsidR="00F326F1" w:rsidRPr="00F326F1" w:rsidRDefault="00F326F1" w:rsidP="00F326F1">
            <w:pPr>
              <w:pStyle w:val="5TextocomnIIGG"/>
              <w:spacing w:after="120"/>
              <w:jc w:val="right"/>
              <w:rPr>
                <w:sz w:val="22"/>
                <w:szCs w:val="22"/>
              </w:rPr>
            </w:pPr>
            <w:r w:rsidRPr="00F326F1">
              <w:rPr>
                <w:sz w:val="22"/>
                <w:szCs w:val="22"/>
              </w:rPr>
              <w:t>904.378</w:t>
            </w:r>
          </w:p>
        </w:tc>
        <w:tc>
          <w:tcPr>
            <w:tcW w:w="1272" w:type="dxa"/>
            <w:tcBorders>
              <w:top w:val="single" w:sz="4" w:space="0" w:color="auto"/>
              <w:left w:val="single" w:sz="4" w:space="0" w:color="auto"/>
              <w:bottom w:val="single" w:sz="4" w:space="0" w:color="auto"/>
              <w:right w:val="single" w:sz="4" w:space="0" w:color="auto"/>
            </w:tcBorders>
            <w:vAlign w:val="bottom"/>
          </w:tcPr>
          <w:p w14:paraId="7B4E4035" w14:textId="2AD5A952" w:rsidR="00F326F1" w:rsidRPr="00F326F1" w:rsidRDefault="00F326F1" w:rsidP="00F326F1">
            <w:pPr>
              <w:pStyle w:val="5TextocomnIIGG"/>
              <w:spacing w:after="120"/>
              <w:jc w:val="right"/>
              <w:rPr>
                <w:sz w:val="22"/>
                <w:szCs w:val="22"/>
              </w:rPr>
            </w:pPr>
            <w:r w:rsidRPr="00F326F1">
              <w:rPr>
                <w:sz w:val="22"/>
                <w:szCs w:val="22"/>
              </w:rPr>
              <w:t>433.500</w:t>
            </w:r>
          </w:p>
        </w:tc>
        <w:tc>
          <w:tcPr>
            <w:tcW w:w="838" w:type="dxa"/>
            <w:tcBorders>
              <w:top w:val="single" w:sz="4" w:space="0" w:color="auto"/>
              <w:left w:val="single" w:sz="4" w:space="0" w:color="auto"/>
              <w:bottom w:val="single" w:sz="4" w:space="0" w:color="auto"/>
              <w:right w:val="single" w:sz="4" w:space="0" w:color="auto"/>
            </w:tcBorders>
            <w:vAlign w:val="bottom"/>
          </w:tcPr>
          <w:p w14:paraId="04023116" w14:textId="61CD7BD0" w:rsidR="00F326F1" w:rsidRPr="00F326F1" w:rsidRDefault="00F326F1" w:rsidP="00F326F1">
            <w:pPr>
              <w:pStyle w:val="5TextocomnIIGG"/>
              <w:spacing w:after="120"/>
              <w:jc w:val="right"/>
              <w:rPr>
                <w:sz w:val="22"/>
                <w:szCs w:val="22"/>
              </w:rPr>
            </w:pPr>
            <w:r w:rsidRPr="00F326F1">
              <w:rPr>
                <w:sz w:val="22"/>
                <w:szCs w:val="22"/>
              </w:rPr>
              <w:t>90.730</w:t>
            </w:r>
          </w:p>
        </w:tc>
        <w:tc>
          <w:tcPr>
            <w:tcW w:w="612" w:type="dxa"/>
            <w:tcBorders>
              <w:top w:val="single" w:sz="4" w:space="0" w:color="auto"/>
              <w:left w:val="single" w:sz="4" w:space="0" w:color="auto"/>
              <w:bottom w:val="single" w:sz="4" w:space="0" w:color="auto"/>
              <w:right w:val="single" w:sz="4" w:space="0" w:color="auto"/>
            </w:tcBorders>
            <w:vAlign w:val="bottom"/>
          </w:tcPr>
          <w:p w14:paraId="6321C7F8" w14:textId="2313D047" w:rsidR="00F326F1" w:rsidRPr="00F326F1" w:rsidRDefault="00F326F1" w:rsidP="00F326F1">
            <w:pPr>
              <w:pStyle w:val="5TextocomnIIGG"/>
              <w:spacing w:after="120"/>
              <w:jc w:val="right"/>
              <w:rPr>
                <w:sz w:val="22"/>
                <w:szCs w:val="22"/>
              </w:rPr>
            </w:pPr>
            <w:r w:rsidRPr="00F326F1">
              <w:rPr>
                <w:sz w:val="22"/>
                <w:szCs w:val="22"/>
              </w:rPr>
              <w:t>20,9</w:t>
            </w:r>
          </w:p>
        </w:tc>
        <w:tc>
          <w:tcPr>
            <w:tcW w:w="1121" w:type="dxa"/>
            <w:tcBorders>
              <w:top w:val="single" w:sz="4" w:space="0" w:color="auto"/>
              <w:left w:val="single" w:sz="4" w:space="0" w:color="auto"/>
              <w:bottom w:val="single" w:sz="4" w:space="0" w:color="auto"/>
              <w:right w:val="single" w:sz="4" w:space="0" w:color="auto"/>
            </w:tcBorders>
            <w:vAlign w:val="bottom"/>
          </w:tcPr>
          <w:p w14:paraId="22017107" w14:textId="0D25EA2D" w:rsidR="00F326F1" w:rsidRPr="00F326F1" w:rsidRDefault="00F326F1" w:rsidP="00F326F1">
            <w:pPr>
              <w:pStyle w:val="5TextocomnIIGG"/>
              <w:spacing w:after="120"/>
              <w:jc w:val="right"/>
              <w:rPr>
                <w:sz w:val="22"/>
                <w:szCs w:val="22"/>
              </w:rPr>
            </w:pPr>
            <w:r w:rsidRPr="00F326F1">
              <w:rPr>
                <w:sz w:val="22"/>
                <w:szCs w:val="22"/>
              </w:rPr>
              <w:t>973.822</w:t>
            </w:r>
          </w:p>
        </w:tc>
        <w:tc>
          <w:tcPr>
            <w:tcW w:w="1141" w:type="dxa"/>
            <w:tcBorders>
              <w:top w:val="single" w:sz="4" w:space="0" w:color="auto"/>
              <w:left w:val="single" w:sz="4" w:space="0" w:color="auto"/>
              <w:bottom w:val="single" w:sz="4" w:space="0" w:color="auto"/>
              <w:right w:val="single" w:sz="4" w:space="0" w:color="auto"/>
            </w:tcBorders>
            <w:vAlign w:val="bottom"/>
          </w:tcPr>
          <w:p w14:paraId="2C59DDA8" w14:textId="0295831D" w:rsidR="00F326F1" w:rsidRPr="00F326F1" w:rsidRDefault="00F326F1" w:rsidP="00F326F1">
            <w:pPr>
              <w:pStyle w:val="5TextocomnIIGG"/>
              <w:spacing w:after="120"/>
              <w:jc w:val="right"/>
              <w:rPr>
                <w:sz w:val="22"/>
                <w:szCs w:val="22"/>
              </w:rPr>
            </w:pPr>
            <w:r w:rsidRPr="00F326F1">
              <w:rPr>
                <w:sz w:val="22"/>
                <w:szCs w:val="22"/>
              </w:rPr>
              <w:t>485.768</w:t>
            </w:r>
          </w:p>
        </w:tc>
        <w:tc>
          <w:tcPr>
            <w:tcW w:w="1082" w:type="dxa"/>
            <w:tcBorders>
              <w:top w:val="single" w:sz="4" w:space="0" w:color="auto"/>
              <w:left w:val="single" w:sz="4" w:space="0" w:color="auto"/>
              <w:bottom w:val="single" w:sz="4" w:space="0" w:color="auto"/>
              <w:right w:val="single" w:sz="4" w:space="0" w:color="auto"/>
            </w:tcBorders>
            <w:vAlign w:val="bottom"/>
          </w:tcPr>
          <w:p w14:paraId="0E992DC8" w14:textId="3CD39CF1" w:rsidR="00F326F1" w:rsidRPr="00F326F1" w:rsidRDefault="00F326F1" w:rsidP="00F326F1">
            <w:pPr>
              <w:pStyle w:val="5TextocomnIIGG"/>
              <w:spacing w:after="120"/>
              <w:jc w:val="right"/>
              <w:rPr>
                <w:sz w:val="22"/>
                <w:szCs w:val="22"/>
              </w:rPr>
            </w:pPr>
            <w:r w:rsidRPr="00F326F1">
              <w:rPr>
                <w:sz w:val="22"/>
                <w:szCs w:val="22"/>
              </w:rPr>
              <w:t>100.708</w:t>
            </w:r>
          </w:p>
        </w:tc>
        <w:tc>
          <w:tcPr>
            <w:tcW w:w="612" w:type="dxa"/>
            <w:tcBorders>
              <w:top w:val="single" w:sz="4" w:space="0" w:color="auto"/>
              <w:left w:val="single" w:sz="4" w:space="0" w:color="auto"/>
              <w:bottom w:val="single" w:sz="4" w:space="0" w:color="auto"/>
              <w:right w:val="single" w:sz="4" w:space="0" w:color="auto"/>
            </w:tcBorders>
            <w:vAlign w:val="bottom"/>
          </w:tcPr>
          <w:p w14:paraId="257E0A87" w14:textId="1D38A63E" w:rsidR="00F326F1" w:rsidRPr="00F326F1" w:rsidRDefault="00F326F1" w:rsidP="00F326F1">
            <w:pPr>
              <w:pStyle w:val="5TextocomnIIGG"/>
              <w:spacing w:after="120"/>
              <w:jc w:val="right"/>
              <w:rPr>
                <w:sz w:val="22"/>
                <w:szCs w:val="22"/>
              </w:rPr>
            </w:pPr>
            <w:r w:rsidRPr="00F326F1">
              <w:rPr>
                <w:sz w:val="22"/>
                <w:szCs w:val="22"/>
              </w:rPr>
              <w:t>20,7</w:t>
            </w:r>
          </w:p>
        </w:tc>
      </w:tr>
    </w:tbl>
    <w:p w14:paraId="016CD484" w14:textId="77777777" w:rsidR="00040A09" w:rsidRDefault="00040A09" w:rsidP="00325DC9">
      <w:pPr>
        <w:pStyle w:val="5TextocomnIIGG"/>
        <w:spacing w:after="120"/>
        <w:ind w:firstLine="567"/>
      </w:pPr>
    </w:p>
    <w:p w14:paraId="5F2714C0" w14:textId="03007418" w:rsidR="00944569" w:rsidRPr="00F90F49" w:rsidRDefault="00944569" w:rsidP="00944569">
      <w:pPr>
        <w:pStyle w:val="7FigurasytablasencabezadoIIGG"/>
        <w:rPr>
          <w:b/>
          <w:bCs/>
        </w:rPr>
      </w:pPr>
      <w:r w:rsidRPr="00F90F49">
        <w:rPr>
          <w:b/>
          <w:bCs/>
        </w:rPr>
        <w:t>Tabla 3. Partidos del sudeste de la Provincia de Buenos Aires: población, viviendas particulares, viviendas de potencial uso turístico (VPUT) y tasas de crecimiento anual intercensal (TCAI) (‰), 1991, 2001, 2010 y 2022 (continuación)</w:t>
      </w:r>
    </w:p>
    <w:tbl>
      <w:tblPr>
        <w:tblStyle w:val="Tablaconcuadrcula"/>
        <w:tblW w:w="0" w:type="auto"/>
        <w:jc w:val="center"/>
        <w:tblLook w:val="04A0" w:firstRow="1" w:lastRow="0" w:firstColumn="1" w:lastColumn="0" w:noHBand="0" w:noVBand="1"/>
      </w:tblPr>
      <w:tblGrid>
        <w:gridCol w:w="1256"/>
        <w:gridCol w:w="1117"/>
        <w:gridCol w:w="1268"/>
        <w:gridCol w:w="823"/>
        <w:gridCol w:w="601"/>
        <w:gridCol w:w="1118"/>
        <w:gridCol w:w="1243"/>
        <w:gridCol w:w="1033"/>
        <w:gridCol w:w="601"/>
      </w:tblGrid>
      <w:tr w:rsidR="00944569" w:rsidRPr="00C540A0" w14:paraId="7EEF22D6" w14:textId="77777777" w:rsidTr="00944569">
        <w:trPr>
          <w:jc w:val="center"/>
        </w:trPr>
        <w:tc>
          <w:tcPr>
            <w:tcW w:w="1258" w:type="dxa"/>
            <w:vMerge w:val="restart"/>
          </w:tcPr>
          <w:p w14:paraId="3717D2E4" w14:textId="77777777" w:rsidR="00944569" w:rsidRPr="00D821B0" w:rsidRDefault="00944569" w:rsidP="00926D32">
            <w:pPr>
              <w:pStyle w:val="5TextocomnIIGG"/>
              <w:spacing w:after="120"/>
              <w:jc w:val="center"/>
              <w:rPr>
                <w:b/>
              </w:rPr>
            </w:pPr>
            <w:r>
              <w:rPr>
                <w:b/>
              </w:rPr>
              <w:t>Partido</w:t>
            </w:r>
          </w:p>
        </w:tc>
        <w:tc>
          <w:tcPr>
            <w:tcW w:w="3803" w:type="dxa"/>
            <w:gridSpan w:val="4"/>
          </w:tcPr>
          <w:p w14:paraId="28023425" w14:textId="4F7B4503" w:rsidR="00944569" w:rsidRPr="00D821B0" w:rsidRDefault="00944569" w:rsidP="00926D32">
            <w:pPr>
              <w:pStyle w:val="5TextocomnIIGG"/>
              <w:spacing w:after="120"/>
              <w:jc w:val="center"/>
              <w:rPr>
                <w:b/>
              </w:rPr>
            </w:pPr>
            <w:r>
              <w:rPr>
                <w:b/>
              </w:rPr>
              <w:t>27 de octubre de 2010</w:t>
            </w:r>
          </w:p>
        </w:tc>
        <w:tc>
          <w:tcPr>
            <w:tcW w:w="3999" w:type="dxa"/>
            <w:gridSpan w:val="4"/>
          </w:tcPr>
          <w:p w14:paraId="77973592" w14:textId="3BF9DA41" w:rsidR="00944569" w:rsidRPr="00D821B0" w:rsidRDefault="00944569" w:rsidP="00926D32">
            <w:pPr>
              <w:pStyle w:val="5TextocomnIIGG"/>
              <w:spacing w:after="120"/>
              <w:jc w:val="center"/>
              <w:rPr>
                <w:b/>
              </w:rPr>
            </w:pPr>
            <w:r>
              <w:rPr>
                <w:b/>
              </w:rPr>
              <w:t>18 de mayo de 2022</w:t>
            </w:r>
          </w:p>
        </w:tc>
      </w:tr>
      <w:tr w:rsidR="00944569" w:rsidRPr="00C540A0" w14:paraId="79ED38E0" w14:textId="77777777" w:rsidTr="00944569">
        <w:trPr>
          <w:jc w:val="center"/>
        </w:trPr>
        <w:tc>
          <w:tcPr>
            <w:tcW w:w="1258" w:type="dxa"/>
            <w:vMerge/>
          </w:tcPr>
          <w:p w14:paraId="3718753D" w14:textId="77777777" w:rsidR="00944569" w:rsidRPr="00C540A0" w:rsidRDefault="00944569" w:rsidP="00926D32">
            <w:pPr>
              <w:pStyle w:val="5TextocomnIIGG"/>
              <w:spacing w:after="120"/>
            </w:pPr>
          </w:p>
        </w:tc>
        <w:tc>
          <w:tcPr>
            <w:tcW w:w="1119" w:type="dxa"/>
            <w:vMerge w:val="restart"/>
          </w:tcPr>
          <w:p w14:paraId="405664A0" w14:textId="77777777" w:rsidR="00944569" w:rsidRPr="00944569" w:rsidRDefault="00944569" w:rsidP="00926D32">
            <w:pPr>
              <w:pStyle w:val="5TextocomnIIGG"/>
              <w:spacing w:after="120"/>
              <w:jc w:val="center"/>
              <w:rPr>
                <w:sz w:val="22"/>
                <w:szCs w:val="22"/>
              </w:rPr>
            </w:pPr>
            <w:r w:rsidRPr="00944569">
              <w:rPr>
                <w:sz w:val="22"/>
                <w:szCs w:val="22"/>
              </w:rPr>
              <w:t>Población</w:t>
            </w:r>
          </w:p>
        </w:tc>
        <w:tc>
          <w:tcPr>
            <w:tcW w:w="1269" w:type="dxa"/>
            <w:vMerge w:val="restart"/>
          </w:tcPr>
          <w:p w14:paraId="4D5F2232" w14:textId="77777777" w:rsidR="00944569" w:rsidRPr="00944569" w:rsidRDefault="00944569" w:rsidP="00926D32">
            <w:pPr>
              <w:pStyle w:val="5TextocomnIIGG"/>
              <w:spacing w:after="120"/>
              <w:jc w:val="center"/>
              <w:rPr>
                <w:sz w:val="22"/>
                <w:szCs w:val="22"/>
              </w:rPr>
            </w:pPr>
            <w:r w:rsidRPr="00944569">
              <w:rPr>
                <w:sz w:val="22"/>
                <w:szCs w:val="22"/>
              </w:rPr>
              <w:t>Viviendas particulares</w:t>
            </w:r>
          </w:p>
        </w:tc>
        <w:tc>
          <w:tcPr>
            <w:tcW w:w="1415" w:type="dxa"/>
            <w:gridSpan w:val="2"/>
          </w:tcPr>
          <w:p w14:paraId="55AFAA5C" w14:textId="77777777" w:rsidR="00944569" w:rsidRPr="00944569" w:rsidRDefault="00944569" w:rsidP="00926D32">
            <w:pPr>
              <w:pStyle w:val="5TextocomnIIGG"/>
              <w:spacing w:after="120"/>
              <w:jc w:val="center"/>
              <w:rPr>
                <w:sz w:val="22"/>
                <w:szCs w:val="22"/>
              </w:rPr>
            </w:pPr>
            <w:r w:rsidRPr="00944569">
              <w:rPr>
                <w:sz w:val="22"/>
                <w:szCs w:val="22"/>
              </w:rPr>
              <w:t>VPUT</w:t>
            </w:r>
          </w:p>
        </w:tc>
        <w:tc>
          <w:tcPr>
            <w:tcW w:w="1119" w:type="dxa"/>
            <w:vMerge w:val="restart"/>
          </w:tcPr>
          <w:p w14:paraId="4F276F3A" w14:textId="77777777" w:rsidR="00944569" w:rsidRPr="00944569" w:rsidRDefault="00944569" w:rsidP="00926D32">
            <w:pPr>
              <w:pStyle w:val="5TextocomnIIGG"/>
              <w:spacing w:after="120"/>
              <w:jc w:val="center"/>
              <w:rPr>
                <w:sz w:val="22"/>
                <w:szCs w:val="22"/>
              </w:rPr>
            </w:pPr>
            <w:r w:rsidRPr="00944569">
              <w:rPr>
                <w:sz w:val="22"/>
                <w:szCs w:val="22"/>
              </w:rPr>
              <w:t>Población</w:t>
            </w:r>
          </w:p>
        </w:tc>
        <w:tc>
          <w:tcPr>
            <w:tcW w:w="1243" w:type="dxa"/>
            <w:vMerge w:val="restart"/>
          </w:tcPr>
          <w:p w14:paraId="36E2DBD0" w14:textId="77777777" w:rsidR="00944569" w:rsidRPr="00944569" w:rsidRDefault="00944569" w:rsidP="00926D32">
            <w:pPr>
              <w:pStyle w:val="5TextocomnIIGG"/>
              <w:spacing w:after="120"/>
              <w:jc w:val="center"/>
              <w:rPr>
                <w:sz w:val="22"/>
                <w:szCs w:val="22"/>
              </w:rPr>
            </w:pPr>
            <w:r w:rsidRPr="00944569">
              <w:rPr>
                <w:sz w:val="22"/>
                <w:szCs w:val="22"/>
              </w:rPr>
              <w:t>Viviendas particulares</w:t>
            </w:r>
          </w:p>
        </w:tc>
        <w:tc>
          <w:tcPr>
            <w:tcW w:w="1637" w:type="dxa"/>
            <w:gridSpan w:val="2"/>
          </w:tcPr>
          <w:p w14:paraId="381788F0" w14:textId="77777777" w:rsidR="00944569" w:rsidRPr="00944569" w:rsidRDefault="00944569" w:rsidP="00926D32">
            <w:pPr>
              <w:pStyle w:val="5TextocomnIIGG"/>
              <w:spacing w:after="120"/>
              <w:jc w:val="center"/>
              <w:rPr>
                <w:sz w:val="22"/>
                <w:szCs w:val="22"/>
              </w:rPr>
            </w:pPr>
            <w:r w:rsidRPr="00944569">
              <w:rPr>
                <w:sz w:val="22"/>
                <w:szCs w:val="22"/>
              </w:rPr>
              <w:t>VPUT</w:t>
            </w:r>
          </w:p>
        </w:tc>
      </w:tr>
      <w:tr w:rsidR="00FB57D7" w:rsidRPr="00C540A0" w14:paraId="1E1EF1E7" w14:textId="77777777" w:rsidTr="00944569">
        <w:trPr>
          <w:jc w:val="center"/>
        </w:trPr>
        <w:tc>
          <w:tcPr>
            <w:tcW w:w="1258" w:type="dxa"/>
            <w:vMerge/>
          </w:tcPr>
          <w:p w14:paraId="1CABD37A" w14:textId="77777777" w:rsidR="00944569" w:rsidRPr="00C540A0" w:rsidRDefault="00944569" w:rsidP="00926D32">
            <w:pPr>
              <w:pStyle w:val="5TextocomnIIGG"/>
              <w:spacing w:after="120"/>
            </w:pPr>
          </w:p>
        </w:tc>
        <w:tc>
          <w:tcPr>
            <w:tcW w:w="1119" w:type="dxa"/>
            <w:vMerge/>
            <w:tcBorders>
              <w:bottom w:val="single" w:sz="4" w:space="0" w:color="auto"/>
            </w:tcBorders>
          </w:tcPr>
          <w:p w14:paraId="06DCAA98" w14:textId="77777777" w:rsidR="00944569" w:rsidRPr="00944569" w:rsidRDefault="00944569" w:rsidP="00926D32">
            <w:pPr>
              <w:pStyle w:val="5TextocomnIIGG"/>
              <w:spacing w:after="120"/>
              <w:jc w:val="center"/>
              <w:rPr>
                <w:sz w:val="22"/>
                <w:szCs w:val="22"/>
              </w:rPr>
            </w:pPr>
          </w:p>
        </w:tc>
        <w:tc>
          <w:tcPr>
            <w:tcW w:w="1269" w:type="dxa"/>
            <w:vMerge/>
            <w:tcBorders>
              <w:bottom w:val="single" w:sz="4" w:space="0" w:color="auto"/>
            </w:tcBorders>
          </w:tcPr>
          <w:p w14:paraId="5A893054" w14:textId="77777777" w:rsidR="00944569" w:rsidRPr="00944569" w:rsidRDefault="00944569" w:rsidP="00926D32">
            <w:pPr>
              <w:pStyle w:val="5TextocomnIIGG"/>
              <w:spacing w:after="120"/>
              <w:jc w:val="center"/>
              <w:rPr>
                <w:sz w:val="22"/>
                <w:szCs w:val="22"/>
              </w:rPr>
            </w:pPr>
          </w:p>
        </w:tc>
        <w:tc>
          <w:tcPr>
            <w:tcW w:w="823" w:type="dxa"/>
            <w:tcBorders>
              <w:bottom w:val="single" w:sz="4" w:space="0" w:color="auto"/>
            </w:tcBorders>
          </w:tcPr>
          <w:p w14:paraId="5C0FFFAC" w14:textId="77777777" w:rsidR="00944569" w:rsidRPr="00944569" w:rsidRDefault="00944569" w:rsidP="00926D32">
            <w:pPr>
              <w:pStyle w:val="5TextocomnIIGG"/>
              <w:spacing w:after="120"/>
              <w:jc w:val="center"/>
              <w:rPr>
                <w:sz w:val="22"/>
                <w:szCs w:val="22"/>
              </w:rPr>
            </w:pPr>
            <w:r w:rsidRPr="00944569">
              <w:rPr>
                <w:sz w:val="22"/>
                <w:szCs w:val="22"/>
              </w:rPr>
              <w:t>Total</w:t>
            </w:r>
          </w:p>
        </w:tc>
        <w:tc>
          <w:tcPr>
            <w:tcW w:w="592" w:type="dxa"/>
            <w:tcBorders>
              <w:bottom w:val="single" w:sz="4" w:space="0" w:color="auto"/>
            </w:tcBorders>
          </w:tcPr>
          <w:p w14:paraId="6CD05EAB" w14:textId="77777777" w:rsidR="00944569" w:rsidRPr="00944569" w:rsidRDefault="00944569" w:rsidP="00926D32">
            <w:pPr>
              <w:pStyle w:val="5TextocomnIIGG"/>
              <w:spacing w:after="120"/>
              <w:jc w:val="center"/>
              <w:rPr>
                <w:sz w:val="22"/>
                <w:szCs w:val="22"/>
              </w:rPr>
            </w:pPr>
            <w:r w:rsidRPr="00944569">
              <w:rPr>
                <w:sz w:val="22"/>
                <w:szCs w:val="22"/>
              </w:rPr>
              <w:t>%</w:t>
            </w:r>
          </w:p>
        </w:tc>
        <w:tc>
          <w:tcPr>
            <w:tcW w:w="1119" w:type="dxa"/>
            <w:vMerge/>
            <w:tcBorders>
              <w:bottom w:val="single" w:sz="4" w:space="0" w:color="auto"/>
            </w:tcBorders>
          </w:tcPr>
          <w:p w14:paraId="10CCC9A0" w14:textId="77777777" w:rsidR="00944569" w:rsidRPr="00944569" w:rsidRDefault="00944569" w:rsidP="00926D32">
            <w:pPr>
              <w:pStyle w:val="5TextocomnIIGG"/>
              <w:spacing w:after="120"/>
              <w:jc w:val="center"/>
              <w:rPr>
                <w:sz w:val="22"/>
                <w:szCs w:val="22"/>
              </w:rPr>
            </w:pPr>
          </w:p>
        </w:tc>
        <w:tc>
          <w:tcPr>
            <w:tcW w:w="1243" w:type="dxa"/>
            <w:vMerge/>
            <w:tcBorders>
              <w:bottom w:val="single" w:sz="4" w:space="0" w:color="auto"/>
            </w:tcBorders>
          </w:tcPr>
          <w:p w14:paraId="1B5FAA36" w14:textId="77777777" w:rsidR="00944569" w:rsidRPr="00944569" w:rsidRDefault="00944569" w:rsidP="00926D32">
            <w:pPr>
              <w:pStyle w:val="5TextocomnIIGG"/>
              <w:spacing w:after="120"/>
              <w:jc w:val="center"/>
              <w:rPr>
                <w:sz w:val="22"/>
                <w:szCs w:val="22"/>
              </w:rPr>
            </w:pPr>
          </w:p>
        </w:tc>
        <w:tc>
          <w:tcPr>
            <w:tcW w:w="1045" w:type="dxa"/>
            <w:tcBorders>
              <w:bottom w:val="single" w:sz="4" w:space="0" w:color="auto"/>
            </w:tcBorders>
          </w:tcPr>
          <w:p w14:paraId="40119E1A" w14:textId="77777777" w:rsidR="00944569" w:rsidRPr="00944569" w:rsidRDefault="00944569" w:rsidP="00926D32">
            <w:pPr>
              <w:pStyle w:val="5TextocomnIIGG"/>
              <w:spacing w:after="120"/>
              <w:jc w:val="center"/>
              <w:rPr>
                <w:sz w:val="22"/>
                <w:szCs w:val="22"/>
              </w:rPr>
            </w:pPr>
            <w:r w:rsidRPr="00944569">
              <w:rPr>
                <w:sz w:val="22"/>
                <w:szCs w:val="22"/>
              </w:rPr>
              <w:t>Total</w:t>
            </w:r>
          </w:p>
        </w:tc>
        <w:tc>
          <w:tcPr>
            <w:tcW w:w="592" w:type="dxa"/>
            <w:tcBorders>
              <w:bottom w:val="single" w:sz="4" w:space="0" w:color="auto"/>
            </w:tcBorders>
          </w:tcPr>
          <w:p w14:paraId="7EEB2608" w14:textId="77777777" w:rsidR="00944569" w:rsidRPr="00944569" w:rsidRDefault="00944569" w:rsidP="00926D32">
            <w:pPr>
              <w:pStyle w:val="5TextocomnIIGG"/>
              <w:spacing w:after="120"/>
              <w:jc w:val="center"/>
              <w:rPr>
                <w:sz w:val="22"/>
                <w:szCs w:val="22"/>
              </w:rPr>
            </w:pPr>
            <w:r w:rsidRPr="00944569">
              <w:rPr>
                <w:sz w:val="22"/>
                <w:szCs w:val="22"/>
              </w:rPr>
              <w:t>%</w:t>
            </w:r>
          </w:p>
        </w:tc>
      </w:tr>
      <w:tr w:rsidR="00944569" w:rsidRPr="00C540A0" w14:paraId="42E95F8E" w14:textId="77777777" w:rsidTr="00944569">
        <w:trPr>
          <w:jc w:val="center"/>
        </w:trPr>
        <w:tc>
          <w:tcPr>
            <w:tcW w:w="1258" w:type="dxa"/>
          </w:tcPr>
          <w:p w14:paraId="2432DB19" w14:textId="77777777" w:rsidR="00944569" w:rsidRPr="00F326F1" w:rsidRDefault="00944569" w:rsidP="00944569">
            <w:pPr>
              <w:pStyle w:val="5TextocomnIIGG"/>
              <w:spacing w:after="120"/>
              <w:rPr>
                <w:sz w:val="22"/>
                <w:szCs w:val="22"/>
              </w:rPr>
            </w:pPr>
            <w:r w:rsidRPr="00F326F1">
              <w:rPr>
                <w:sz w:val="22"/>
                <w:szCs w:val="22"/>
              </w:rPr>
              <w:t>Ayacucho</w:t>
            </w:r>
          </w:p>
        </w:tc>
        <w:tc>
          <w:tcPr>
            <w:tcW w:w="1119" w:type="dxa"/>
            <w:tcBorders>
              <w:top w:val="single" w:sz="4" w:space="0" w:color="auto"/>
              <w:left w:val="single" w:sz="4" w:space="0" w:color="auto"/>
              <w:bottom w:val="single" w:sz="4" w:space="0" w:color="auto"/>
              <w:right w:val="single" w:sz="4" w:space="0" w:color="auto"/>
            </w:tcBorders>
            <w:vAlign w:val="bottom"/>
          </w:tcPr>
          <w:p w14:paraId="4E0C200E" w14:textId="74EE4BC3" w:rsidR="00944569" w:rsidRPr="00F326F1" w:rsidRDefault="00944569" w:rsidP="00944569">
            <w:pPr>
              <w:pStyle w:val="5TextocomnIIGG"/>
              <w:spacing w:after="120"/>
              <w:jc w:val="right"/>
              <w:rPr>
                <w:sz w:val="22"/>
                <w:szCs w:val="22"/>
              </w:rPr>
            </w:pPr>
            <w:r w:rsidRPr="00944569">
              <w:rPr>
                <w:sz w:val="22"/>
                <w:szCs w:val="22"/>
              </w:rPr>
              <w:t>20.337</w:t>
            </w:r>
          </w:p>
        </w:tc>
        <w:tc>
          <w:tcPr>
            <w:tcW w:w="1269" w:type="dxa"/>
            <w:tcBorders>
              <w:top w:val="single" w:sz="4" w:space="0" w:color="auto"/>
              <w:left w:val="single" w:sz="4" w:space="0" w:color="auto"/>
              <w:bottom w:val="single" w:sz="4" w:space="0" w:color="auto"/>
              <w:right w:val="single" w:sz="4" w:space="0" w:color="auto"/>
            </w:tcBorders>
            <w:vAlign w:val="bottom"/>
          </w:tcPr>
          <w:p w14:paraId="423687FC" w14:textId="74DD66F5" w:rsidR="00944569" w:rsidRPr="00F326F1" w:rsidRDefault="00944569" w:rsidP="00944569">
            <w:pPr>
              <w:pStyle w:val="5TextocomnIIGG"/>
              <w:spacing w:after="120"/>
              <w:jc w:val="right"/>
              <w:rPr>
                <w:sz w:val="22"/>
                <w:szCs w:val="22"/>
              </w:rPr>
            </w:pPr>
            <w:r w:rsidRPr="00944569">
              <w:rPr>
                <w:sz w:val="22"/>
                <w:szCs w:val="22"/>
              </w:rPr>
              <w:t>8.408</w:t>
            </w:r>
          </w:p>
        </w:tc>
        <w:tc>
          <w:tcPr>
            <w:tcW w:w="823" w:type="dxa"/>
            <w:tcBorders>
              <w:top w:val="single" w:sz="4" w:space="0" w:color="auto"/>
              <w:left w:val="single" w:sz="4" w:space="0" w:color="auto"/>
              <w:bottom w:val="single" w:sz="4" w:space="0" w:color="auto"/>
              <w:right w:val="single" w:sz="4" w:space="0" w:color="auto"/>
            </w:tcBorders>
            <w:vAlign w:val="bottom"/>
          </w:tcPr>
          <w:p w14:paraId="410BB2A7" w14:textId="6CC3AD3A" w:rsidR="00944569" w:rsidRPr="00F326F1" w:rsidRDefault="00944569" w:rsidP="00944569">
            <w:pPr>
              <w:pStyle w:val="5TextocomnIIGG"/>
              <w:spacing w:after="120"/>
              <w:jc w:val="right"/>
              <w:rPr>
                <w:sz w:val="22"/>
                <w:szCs w:val="22"/>
              </w:rPr>
            </w:pPr>
            <w:r w:rsidRPr="00944569">
              <w:rPr>
                <w:sz w:val="22"/>
                <w:szCs w:val="22"/>
              </w:rPr>
              <w:t>110</w:t>
            </w:r>
          </w:p>
        </w:tc>
        <w:tc>
          <w:tcPr>
            <w:tcW w:w="592" w:type="dxa"/>
            <w:tcBorders>
              <w:top w:val="single" w:sz="4" w:space="0" w:color="auto"/>
              <w:left w:val="single" w:sz="4" w:space="0" w:color="auto"/>
              <w:bottom w:val="single" w:sz="4" w:space="0" w:color="auto"/>
              <w:right w:val="single" w:sz="4" w:space="0" w:color="auto"/>
            </w:tcBorders>
            <w:vAlign w:val="bottom"/>
          </w:tcPr>
          <w:p w14:paraId="78D17DEA" w14:textId="29D97D63" w:rsidR="00944569" w:rsidRPr="00F326F1" w:rsidRDefault="00944569" w:rsidP="00944569">
            <w:pPr>
              <w:pStyle w:val="5TextocomnIIGG"/>
              <w:spacing w:after="120"/>
              <w:jc w:val="right"/>
              <w:rPr>
                <w:sz w:val="22"/>
                <w:szCs w:val="22"/>
              </w:rPr>
            </w:pPr>
            <w:r w:rsidRPr="00944569">
              <w:rPr>
                <w:sz w:val="22"/>
                <w:szCs w:val="22"/>
              </w:rPr>
              <w:t>1,3</w:t>
            </w:r>
          </w:p>
        </w:tc>
        <w:tc>
          <w:tcPr>
            <w:tcW w:w="1119" w:type="dxa"/>
            <w:tcBorders>
              <w:top w:val="single" w:sz="4" w:space="0" w:color="auto"/>
              <w:left w:val="single" w:sz="4" w:space="0" w:color="auto"/>
              <w:bottom w:val="single" w:sz="4" w:space="0" w:color="auto"/>
              <w:right w:val="single" w:sz="4" w:space="0" w:color="auto"/>
            </w:tcBorders>
            <w:vAlign w:val="bottom"/>
          </w:tcPr>
          <w:p w14:paraId="17D884A1" w14:textId="4DCFF7A7" w:rsidR="00944569" w:rsidRPr="00F326F1" w:rsidRDefault="00944569" w:rsidP="00944569">
            <w:pPr>
              <w:pStyle w:val="5TextocomnIIGG"/>
              <w:spacing w:after="120"/>
              <w:jc w:val="right"/>
              <w:rPr>
                <w:sz w:val="22"/>
                <w:szCs w:val="22"/>
              </w:rPr>
            </w:pPr>
            <w:r w:rsidRPr="00944569">
              <w:rPr>
                <w:sz w:val="22"/>
                <w:szCs w:val="22"/>
              </w:rPr>
              <w:t>21.977</w:t>
            </w:r>
          </w:p>
        </w:tc>
        <w:tc>
          <w:tcPr>
            <w:tcW w:w="1243" w:type="dxa"/>
            <w:tcBorders>
              <w:top w:val="single" w:sz="4" w:space="0" w:color="auto"/>
              <w:left w:val="single" w:sz="4" w:space="0" w:color="auto"/>
              <w:bottom w:val="single" w:sz="4" w:space="0" w:color="auto"/>
              <w:right w:val="single" w:sz="4" w:space="0" w:color="auto"/>
            </w:tcBorders>
            <w:vAlign w:val="bottom"/>
          </w:tcPr>
          <w:p w14:paraId="6864C976" w14:textId="3E5C9AAF" w:rsidR="00944569" w:rsidRPr="00F326F1" w:rsidRDefault="00944569" w:rsidP="00944569">
            <w:pPr>
              <w:pStyle w:val="5TextocomnIIGG"/>
              <w:spacing w:after="120"/>
              <w:jc w:val="right"/>
              <w:rPr>
                <w:sz w:val="22"/>
                <w:szCs w:val="22"/>
              </w:rPr>
            </w:pPr>
            <w:r w:rsidRPr="00944569">
              <w:rPr>
                <w:sz w:val="22"/>
                <w:szCs w:val="22"/>
              </w:rPr>
              <w:t>9.864</w:t>
            </w:r>
          </w:p>
        </w:tc>
        <w:tc>
          <w:tcPr>
            <w:tcW w:w="1045" w:type="dxa"/>
            <w:tcBorders>
              <w:top w:val="single" w:sz="4" w:space="0" w:color="auto"/>
              <w:left w:val="single" w:sz="4" w:space="0" w:color="auto"/>
              <w:bottom w:val="single" w:sz="4" w:space="0" w:color="auto"/>
              <w:right w:val="single" w:sz="4" w:space="0" w:color="auto"/>
            </w:tcBorders>
            <w:vAlign w:val="bottom"/>
          </w:tcPr>
          <w:p w14:paraId="7D919DD0" w14:textId="01A6FD53" w:rsidR="00944569" w:rsidRPr="00F326F1" w:rsidRDefault="00944569" w:rsidP="00944569">
            <w:pPr>
              <w:pStyle w:val="5TextocomnIIGG"/>
              <w:spacing w:after="120"/>
              <w:jc w:val="right"/>
              <w:rPr>
                <w:sz w:val="22"/>
                <w:szCs w:val="22"/>
              </w:rPr>
            </w:pPr>
            <w:r w:rsidRPr="00944569">
              <w:rPr>
                <w:sz w:val="22"/>
                <w:szCs w:val="22"/>
              </w:rPr>
              <w:t>365</w:t>
            </w:r>
          </w:p>
        </w:tc>
        <w:tc>
          <w:tcPr>
            <w:tcW w:w="592" w:type="dxa"/>
            <w:tcBorders>
              <w:top w:val="single" w:sz="4" w:space="0" w:color="auto"/>
              <w:left w:val="single" w:sz="4" w:space="0" w:color="auto"/>
              <w:bottom w:val="single" w:sz="4" w:space="0" w:color="auto"/>
              <w:right w:val="single" w:sz="4" w:space="0" w:color="auto"/>
            </w:tcBorders>
            <w:vAlign w:val="bottom"/>
          </w:tcPr>
          <w:p w14:paraId="56602E9F" w14:textId="7E511325" w:rsidR="00944569" w:rsidRPr="00F326F1" w:rsidRDefault="00944569" w:rsidP="00944569">
            <w:pPr>
              <w:pStyle w:val="5TextocomnIIGG"/>
              <w:spacing w:after="120"/>
              <w:jc w:val="right"/>
              <w:rPr>
                <w:sz w:val="22"/>
                <w:szCs w:val="22"/>
              </w:rPr>
            </w:pPr>
            <w:r w:rsidRPr="00944569">
              <w:rPr>
                <w:sz w:val="22"/>
                <w:szCs w:val="22"/>
              </w:rPr>
              <w:t>3,7</w:t>
            </w:r>
          </w:p>
        </w:tc>
      </w:tr>
      <w:tr w:rsidR="00944569" w:rsidRPr="00C540A0" w14:paraId="4C866C8A" w14:textId="77777777" w:rsidTr="00944569">
        <w:trPr>
          <w:jc w:val="center"/>
        </w:trPr>
        <w:tc>
          <w:tcPr>
            <w:tcW w:w="1258" w:type="dxa"/>
          </w:tcPr>
          <w:p w14:paraId="0E03A39B" w14:textId="77777777" w:rsidR="00944569" w:rsidRPr="00F326F1" w:rsidRDefault="00944569" w:rsidP="00944569">
            <w:pPr>
              <w:pStyle w:val="5TextocomnIIGG"/>
              <w:spacing w:after="120"/>
              <w:rPr>
                <w:sz w:val="22"/>
                <w:szCs w:val="22"/>
              </w:rPr>
            </w:pPr>
            <w:r w:rsidRPr="00F326F1">
              <w:rPr>
                <w:sz w:val="22"/>
                <w:szCs w:val="22"/>
              </w:rPr>
              <w:t>Balcarce</w:t>
            </w:r>
          </w:p>
        </w:tc>
        <w:tc>
          <w:tcPr>
            <w:tcW w:w="1119" w:type="dxa"/>
            <w:tcBorders>
              <w:top w:val="single" w:sz="4" w:space="0" w:color="auto"/>
              <w:left w:val="single" w:sz="4" w:space="0" w:color="auto"/>
              <w:bottom w:val="single" w:sz="4" w:space="0" w:color="auto"/>
              <w:right w:val="single" w:sz="4" w:space="0" w:color="auto"/>
            </w:tcBorders>
            <w:vAlign w:val="bottom"/>
          </w:tcPr>
          <w:p w14:paraId="3CA81CB1" w14:textId="17AC076C" w:rsidR="00944569" w:rsidRPr="00F326F1" w:rsidRDefault="00944569" w:rsidP="00944569">
            <w:pPr>
              <w:pStyle w:val="5TextocomnIIGG"/>
              <w:spacing w:after="120"/>
              <w:jc w:val="right"/>
              <w:rPr>
                <w:sz w:val="22"/>
                <w:szCs w:val="22"/>
              </w:rPr>
            </w:pPr>
            <w:r w:rsidRPr="00944569">
              <w:rPr>
                <w:sz w:val="22"/>
                <w:szCs w:val="22"/>
              </w:rPr>
              <w:t>43.823</w:t>
            </w:r>
          </w:p>
        </w:tc>
        <w:tc>
          <w:tcPr>
            <w:tcW w:w="1269" w:type="dxa"/>
            <w:tcBorders>
              <w:top w:val="single" w:sz="4" w:space="0" w:color="auto"/>
              <w:left w:val="single" w:sz="4" w:space="0" w:color="auto"/>
              <w:bottom w:val="single" w:sz="4" w:space="0" w:color="auto"/>
              <w:right w:val="single" w:sz="4" w:space="0" w:color="auto"/>
            </w:tcBorders>
            <w:vAlign w:val="bottom"/>
          </w:tcPr>
          <w:p w14:paraId="186192A9" w14:textId="3DA58683" w:rsidR="00944569" w:rsidRPr="00F326F1" w:rsidRDefault="00944569" w:rsidP="00944569">
            <w:pPr>
              <w:pStyle w:val="5TextocomnIIGG"/>
              <w:spacing w:after="120"/>
              <w:jc w:val="right"/>
              <w:rPr>
                <w:sz w:val="22"/>
                <w:szCs w:val="22"/>
              </w:rPr>
            </w:pPr>
            <w:r w:rsidRPr="00944569">
              <w:rPr>
                <w:sz w:val="22"/>
                <w:szCs w:val="22"/>
              </w:rPr>
              <w:t>17.444</w:t>
            </w:r>
          </w:p>
        </w:tc>
        <w:tc>
          <w:tcPr>
            <w:tcW w:w="823" w:type="dxa"/>
            <w:tcBorders>
              <w:top w:val="single" w:sz="4" w:space="0" w:color="auto"/>
              <w:left w:val="single" w:sz="4" w:space="0" w:color="auto"/>
              <w:bottom w:val="single" w:sz="4" w:space="0" w:color="auto"/>
              <w:right w:val="single" w:sz="4" w:space="0" w:color="auto"/>
            </w:tcBorders>
            <w:vAlign w:val="bottom"/>
          </w:tcPr>
          <w:p w14:paraId="7244277F" w14:textId="122625FC" w:rsidR="00944569" w:rsidRPr="00F326F1" w:rsidRDefault="00944569" w:rsidP="00944569">
            <w:pPr>
              <w:pStyle w:val="5TextocomnIIGG"/>
              <w:spacing w:after="120"/>
              <w:jc w:val="right"/>
              <w:rPr>
                <w:sz w:val="22"/>
                <w:szCs w:val="22"/>
              </w:rPr>
            </w:pPr>
            <w:r w:rsidRPr="00944569">
              <w:rPr>
                <w:sz w:val="22"/>
                <w:szCs w:val="22"/>
              </w:rPr>
              <w:t>282</w:t>
            </w:r>
          </w:p>
        </w:tc>
        <w:tc>
          <w:tcPr>
            <w:tcW w:w="592" w:type="dxa"/>
            <w:tcBorders>
              <w:top w:val="single" w:sz="4" w:space="0" w:color="auto"/>
              <w:left w:val="single" w:sz="4" w:space="0" w:color="auto"/>
              <w:bottom w:val="single" w:sz="4" w:space="0" w:color="auto"/>
              <w:right w:val="single" w:sz="4" w:space="0" w:color="auto"/>
            </w:tcBorders>
            <w:vAlign w:val="bottom"/>
          </w:tcPr>
          <w:p w14:paraId="3BAC25A1" w14:textId="5C8BF895" w:rsidR="00944569" w:rsidRPr="00F326F1" w:rsidRDefault="00944569" w:rsidP="00944569">
            <w:pPr>
              <w:pStyle w:val="5TextocomnIIGG"/>
              <w:spacing w:after="120"/>
              <w:jc w:val="right"/>
              <w:rPr>
                <w:sz w:val="22"/>
                <w:szCs w:val="22"/>
              </w:rPr>
            </w:pPr>
            <w:r w:rsidRPr="00944569">
              <w:rPr>
                <w:sz w:val="22"/>
                <w:szCs w:val="22"/>
              </w:rPr>
              <w:t>1,6</w:t>
            </w:r>
          </w:p>
        </w:tc>
        <w:tc>
          <w:tcPr>
            <w:tcW w:w="1119" w:type="dxa"/>
            <w:tcBorders>
              <w:top w:val="single" w:sz="4" w:space="0" w:color="auto"/>
              <w:left w:val="single" w:sz="4" w:space="0" w:color="auto"/>
              <w:bottom w:val="single" w:sz="4" w:space="0" w:color="auto"/>
              <w:right w:val="single" w:sz="4" w:space="0" w:color="auto"/>
            </w:tcBorders>
            <w:vAlign w:val="bottom"/>
          </w:tcPr>
          <w:p w14:paraId="562C59F1" w14:textId="075862EA" w:rsidR="00944569" w:rsidRPr="00F326F1" w:rsidRDefault="00944569" w:rsidP="00944569">
            <w:pPr>
              <w:pStyle w:val="5TextocomnIIGG"/>
              <w:spacing w:after="120"/>
              <w:jc w:val="right"/>
              <w:rPr>
                <w:sz w:val="22"/>
                <w:szCs w:val="22"/>
              </w:rPr>
            </w:pPr>
            <w:r w:rsidRPr="00944569">
              <w:rPr>
                <w:sz w:val="22"/>
                <w:szCs w:val="22"/>
              </w:rPr>
              <w:t>48.982</w:t>
            </w:r>
          </w:p>
        </w:tc>
        <w:tc>
          <w:tcPr>
            <w:tcW w:w="1243" w:type="dxa"/>
            <w:tcBorders>
              <w:top w:val="single" w:sz="4" w:space="0" w:color="auto"/>
              <w:left w:val="single" w:sz="4" w:space="0" w:color="auto"/>
              <w:bottom w:val="single" w:sz="4" w:space="0" w:color="auto"/>
              <w:right w:val="single" w:sz="4" w:space="0" w:color="auto"/>
            </w:tcBorders>
            <w:vAlign w:val="bottom"/>
          </w:tcPr>
          <w:p w14:paraId="7E836530" w14:textId="64D75C62" w:rsidR="00944569" w:rsidRPr="00F326F1" w:rsidRDefault="00944569" w:rsidP="00944569">
            <w:pPr>
              <w:pStyle w:val="5TextocomnIIGG"/>
              <w:spacing w:after="120"/>
              <w:jc w:val="right"/>
              <w:rPr>
                <w:sz w:val="22"/>
                <w:szCs w:val="22"/>
              </w:rPr>
            </w:pPr>
            <w:r w:rsidRPr="00944569">
              <w:rPr>
                <w:sz w:val="22"/>
                <w:szCs w:val="22"/>
              </w:rPr>
              <w:t>20.449</w:t>
            </w:r>
          </w:p>
        </w:tc>
        <w:tc>
          <w:tcPr>
            <w:tcW w:w="1045" w:type="dxa"/>
            <w:tcBorders>
              <w:top w:val="single" w:sz="4" w:space="0" w:color="auto"/>
              <w:left w:val="single" w:sz="4" w:space="0" w:color="auto"/>
              <w:bottom w:val="single" w:sz="4" w:space="0" w:color="auto"/>
              <w:right w:val="single" w:sz="4" w:space="0" w:color="auto"/>
            </w:tcBorders>
            <w:vAlign w:val="bottom"/>
          </w:tcPr>
          <w:p w14:paraId="11CDDF32" w14:textId="35001057" w:rsidR="00944569" w:rsidRPr="00F326F1" w:rsidRDefault="00944569" w:rsidP="00944569">
            <w:pPr>
              <w:pStyle w:val="5TextocomnIIGG"/>
              <w:spacing w:after="120"/>
              <w:jc w:val="right"/>
              <w:rPr>
                <w:sz w:val="22"/>
                <w:szCs w:val="22"/>
              </w:rPr>
            </w:pPr>
            <w:r w:rsidRPr="00944569">
              <w:rPr>
                <w:sz w:val="22"/>
                <w:szCs w:val="22"/>
              </w:rPr>
              <w:t>330</w:t>
            </w:r>
          </w:p>
        </w:tc>
        <w:tc>
          <w:tcPr>
            <w:tcW w:w="592" w:type="dxa"/>
            <w:tcBorders>
              <w:top w:val="single" w:sz="4" w:space="0" w:color="auto"/>
              <w:left w:val="single" w:sz="4" w:space="0" w:color="auto"/>
              <w:bottom w:val="single" w:sz="4" w:space="0" w:color="auto"/>
              <w:right w:val="single" w:sz="4" w:space="0" w:color="auto"/>
            </w:tcBorders>
            <w:vAlign w:val="bottom"/>
          </w:tcPr>
          <w:p w14:paraId="21F84547" w14:textId="5E7FB34B" w:rsidR="00944569" w:rsidRPr="00F326F1" w:rsidRDefault="00944569" w:rsidP="00944569">
            <w:pPr>
              <w:pStyle w:val="5TextocomnIIGG"/>
              <w:spacing w:after="120"/>
              <w:jc w:val="right"/>
              <w:rPr>
                <w:sz w:val="22"/>
                <w:szCs w:val="22"/>
              </w:rPr>
            </w:pPr>
            <w:r w:rsidRPr="00944569">
              <w:rPr>
                <w:sz w:val="22"/>
                <w:szCs w:val="22"/>
              </w:rPr>
              <w:t>1,6</w:t>
            </w:r>
          </w:p>
        </w:tc>
      </w:tr>
      <w:tr w:rsidR="00944569" w:rsidRPr="00C540A0" w14:paraId="51BD0B82" w14:textId="77777777" w:rsidTr="00944569">
        <w:trPr>
          <w:jc w:val="center"/>
        </w:trPr>
        <w:tc>
          <w:tcPr>
            <w:tcW w:w="1258" w:type="dxa"/>
          </w:tcPr>
          <w:p w14:paraId="5BFEC95E" w14:textId="77777777" w:rsidR="00944569" w:rsidRPr="00F326F1" w:rsidRDefault="00944569" w:rsidP="00944569">
            <w:pPr>
              <w:pStyle w:val="5TextocomnIIGG"/>
              <w:spacing w:after="120"/>
              <w:rPr>
                <w:sz w:val="22"/>
                <w:szCs w:val="22"/>
              </w:rPr>
            </w:pPr>
            <w:r w:rsidRPr="00F326F1">
              <w:rPr>
                <w:sz w:val="22"/>
                <w:szCs w:val="22"/>
              </w:rPr>
              <w:t>Gral. Alvarado</w:t>
            </w:r>
          </w:p>
        </w:tc>
        <w:tc>
          <w:tcPr>
            <w:tcW w:w="1119" w:type="dxa"/>
            <w:tcBorders>
              <w:top w:val="single" w:sz="4" w:space="0" w:color="auto"/>
              <w:left w:val="single" w:sz="4" w:space="0" w:color="auto"/>
              <w:bottom w:val="single" w:sz="4" w:space="0" w:color="auto"/>
              <w:right w:val="single" w:sz="4" w:space="0" w:color="auto"/>
            </w:tcBorders>
            <w:vAlign w:val="bottom"/>
          </w:tcPr>
          <w:p w14:paraId="587FEFD1" w14:textId="00CC4346" w:rsidR="00944569" w:rsidRPr="00F326F1" w:rsidRDefault="00944569" w:rsidP="00944569">
            <w:pPr>
              <w:pStyle w:val="5TextocomnIIGG"/>
              <w:spacing w:after="120"/>
              <w:jc w:val="right"/>
              <w:rPr>
                <w:sz w:val="22"/>
                <w:szCs w:val="22"/>
              </w:rPr>
            </w:pPr>
            <w:r w:rsidRPr="00944569">
              <w:rPr>
                <w:sz w:val="22"/>
                <w:szCs w:val="22"/>
              </w:rPr>
              <w:t>39.594</w:t>
            </w:r>
          </w:p>
        </w:tc>
        <w:tc>
          <w:tcPr>
            <w:tcW w:w="1269" w:type="dxa"/>
            <w:tcBorders>
              <w:top w:val="single" w:sz="4" w:space="0" w:color="auto"/>
              <w:left w:val="single" w:sz="4" w:space="0" w:color="auto"/>
              <w:bottom w:val="single" w:sz="4" w:space="0" w:color="auto"/>
              <w:right w:val="single" w:sz="4" w:space="0" w:color="auto"/>
            </w:tcBorders>
            <w:vAlign w:val="bottom"/>
          </w:tcPr>
          <w:p w14:paraId="3F200881" w14:textId="373D916C" w:rsidR="00944569" w:rsidRPr="00F326F1" w:rsidRDefault="00944569" w:rsidP="00944569">
            <w:pPr>
              <w:pStyle w:val="5TextocomnIIGG"/>
              <w:spacing w:after="120"/>
              <w:jc w:val="right"/>
              <w:rPr>
                <w:sz w:val="22"/>
                <w:szCs w:val="22"/>
              </w:rPr>
            </w:pPr>
            <w:r w:rsidRPr="00944569">
              <w:rPr>
                <w:sz w:val="22"/>
                <w:szCs w:val="22"/>
              </w:rPr>
              <w:t>25.095</w:t>
            </w:r>
          </w:p>
        </w:tc>
        <w:tc>
          <w:tcPr>
            <w:tcW w:w="823" w:type="dxa"/>
            <w:tcBorders>
              <w:top w:val="single" w:sz="4" w:space="0" w:color="auto"/>
              <w:left w:val="single" w:sz="4" w:space="0" w:color="auto"/>
              <w:bottom w:val="single" w:sz="4" w:space="0" w:color="auto"/>
              <w:right w:val="single" w:sz="4" w:space="0" w:color="auto"/>
            </w:tcBorders>
            <w:vAlign w:val="bottom"/>
          </w:tcPr>
          <w:p w14:paraId="4AF32610" w14:textId="5000B087" w:rsidR="00944569" w:rsidRPr="00F326F1" w:rsidRDefault="00944569" w:rsidP="00944569">
            <w:pPr>
              <w:pStyle w:val="5TextocomnIIGG"/>
              <w:spacing w:after="120"/>
              <w:jc w:val="right"/>
              <w:rPr>
                <w:sz w:val="22"/>
                <w:szCs w:val="22"/>
              </w:rPr>
            </w:pPr>
            <w:r w:rsidRPr="00944569">
              <w:rPr>
                <w:sz w:val="22"/>
                <w:szCs w:val="22"/>
              </w:rPr>
              <w:t>7.412</w:t>
            </w:r>
          </w:p>
        </w:tc>
        <w:tc>
          <w:tcPr>
            <w:tcW w:w="592" w:type="dxa"/>
            <w:tcBorders>
              <w:top w:val="single" w:sz="4" w:space="0" w:color="auto"/>
              <w:left w:val="single" w:sz="4" w:space="0" w:color="auto"/>
              <w:bottom w:val="single" w:sz="4" w:space="0" w:color="auto"/>
              <w:right w:val="single" w:sz="4" w:space="0" w:color="auto"/>
            </w:tcBorders>
            <w:vAlign w:val="bottom"/>
          </w:tcPr>
          <w:p w14:paraId="6D080E8C" w14:textId="45811D9C" w:rsidR="00944569" w:rsidRPr="00F326F1" w:rsidRDefault="00944569" w:rsidP="00944569">
            <w:pPr>
              <w:pStyle w:val="5TextocomnIIGG"/>
              <w:spacing w:after="120"/>
              <w:jc w:val="right"/>
              <w:rPr>
                <w:sz w:val="22"/>
                <w:szCs w:val="22"/>
              </w:rPr>
            </w:pPr>
            <w:r w:rsidRPr="00944569">
              <w:rPr>
                <w:sz w:val="22"/>
                <w:szCs w:val="22"/>
              </w:rPr>
              <w:t>29,5</w:t>
            </w:r>
          </w:p>
        </w:tc>
        <w:tc>
          <w:tcPr>
            <w:tcW w:w="1119" w:type="dxa"/>
            <w:tcBorders>
              <w:top w:val="single" w:sz="4" w:space="0" w:color="auto"/>
              <w:left w:val="single" w:sz="4" w:space="0" w:color="auto"/>
              <w:bottom w:val="single" w:sz="4" w:space="0" w:color="auto"/>
              <w:right w:val="single" w:sz="4" w:space="0" w:color="auto"/>
            </w:tcBorders>
            <w:vAlign w:val="bottom"/>
          </w:tcPr>
          <w:p w14:paraId="69230FC9" w14:textId="640E2E58" w:rsidR="00944569" w:rsidRPr="00F326F1" w:rsidRDefault="00944569" w:rsidP="00944569">
            <w:pPr>
              <w:pStyle w:val="5TextocomnIIGG"/>
              <w:spacing w:after="120"/>
              <w:jc w:val="right"/>
              <w:rPr>
                <w:sz w:val="22"/>
                <w:szCs w:val="22"/>
              </w:rPr>
            </w:pPr>
            <w:r w:rsidRPr="00944569">
              <w:rPr>
                <w:sz w:val="22"/>
                <w:szCs w:val="22"/>
              </w:rPr>
              <w:t>45.526</w:t>
            </w:r>
          </w:p>
        </w:tc>
        <w:tc>
          <w:tcPr>
            <w:tcW w:w="1243" w:type="dxa"/>
            <w:tcBorders>
              <w:top w:val="single" w:sz="4" w:space="0" w:color="auto"/>
              <w:left w:val="single" w:sz="4" w:space="0" w:color="auto"/>
              <w:bottom w:val="single" w:sz="4" w:space="0" w:color="auto"/>
              <w:right w:val="single" w:sz="4" w:space="0" w:color="auto"/>
            </w:tcBorders>
            <w:vAlign w:val="bottom"/>
          </w:tcPr>
          <w:p w14:paraId="012186D6" w14:textId="0F14C79B" w:rsidR="00944569" w:rsidRPr="00F326F1" w:rsidRDefault="00944569" w:rsidP="00944569">
            <w:pPr>
              <w:pStyle w:val="5TextocomnIIGG"/>
              <w:spacing w:after="120"/>
              <w:jc w:val="right"/>
              <w:rPr>
                <w:sz w:val="22"/>
                <w:szCs w:val="22"/>
              </w:rPr>
            </w:pPr>
            <w:r w:rsidRPr="00944569">
              <w:rPr>
                <w:sz w:val="22"/>
                <w:szCs w:val="22"/>
              </w:rPr>
              <w:t>28.946</w:t>
            </w:r>
          </w:p>
        </w:tc>
        <w:tc>
          <w:tcPr>
            <w:tcW w:w="1045" w:type="dxa"/>
            <w:tcBorders>
              <w:top w:val="single" w:sz="4" w:space="0" w:color="auto"/>
              <w:left w:val="single" w:sz="4" w:space="0" w:color="auto"/>
              <w:bottom w:val="single" w:sz="4" w:space="0" w:color="auto"/>
              <w:right w:val="single" w:sz="4" w:space="0" w:color="auto"/>
            </w:tcBorders>
            <w:vAlign w:val="bottom"/>
          </w:tcPr>
          <w:p w14:paraId="7E3E7A08" w14:textId="2B3A2C6C" w:rsidR="00944569" w:rsidRPr="00F326F1" w:rsidRDefault="00944569" w:rsidP="00944569">
            <w:pPr>
              <w:pStyle w:val="5TextocomnIIGG"/>
              <w:spacing w:after="120"/>
              <w:jc w:val="right"/>
              <w:rPr>
                <w:sz w:val="22"/>
                <w:szCs w:val="22"/>
              </w:rPr>
            </w:pPr>
            <w:r w:rsidRPr="00944569">
              <w:rPr>
                <w:sz w:val="22"/>
                <w:szCs w:val="22"/>
              </w:rPr>
              <w:t>9.004</w:t>
            </w:r>
          </w:p>
        </w:tc>
        <w:tc>
          <w:tcPr>
            <w:tcW w:w="592" w:type="dxa"/>
            <w:tcBorders>
              <w:top w:val="single" w:sz="4" w:space="0" w:color="auto"/>
              <w:left w:val="single" w:sz="4" w:space="0" w:color="auto"/>
              <w:bottom w:val="single" w:sz="4" w:space="0" w:color="auto"/>
              <w:right w:val="single" w:sz="4" w:space="0" w:color="auto"/>
            </w:tcBorders>
            <w:vAlign w:val="bottom"/>
          </w:tcPr>
          <w:p w14:paraId="3DDC9140" w14:textId="71C6FE07" w:rsidR="00944569" w:rsidRPr="00F326F1" w:rsidRDefault="00944569" w:rsidP="00944569">
            <w:pPr>
              <w:pStyle w:val="5TextocomnIIGG"/>
              <w:spacing w:after="120"/>
              <w:jc w:val="right"/>
              <w:rPr>
                <w:sz w:val="22"/>
                <w:szCs w:val="22"/>
              </w:rPr>
            </w:pPr>
            <w:r w:rsidRPr="00944569">
              <w:rPr>
                <w:sz w:val="22"/>
                <w:szCs w:val="22"/>
              </w:rPr>
              <w:t>31,1</w:t>
            </w:r>
          </w:p>
        </w:tc>
      </w:tr>
      <w:tr w:rsidR="00944569" w:rsidRPr="00C540A0" w14:paraId="48F2CC5B" w14:textId="77777777" w:rsidTr="00944569">
        <w:trPr>
          <w:jc w:val="center"/>
        </w:trPr>
        <w:tc>
          <w:tcPr>
            <w:tcW w:w="1258" w:type="dxa"/>
          </w:tcPr>
          <w:p w14:paraId="5C6F4A19" w14:textId="5C296C14" w:rsidR="00944569" w:rsidRPr="00F326F1" w:rsidRDefault="00944569" w:rsidP="00944569">
            <w:pPr>
              <w:pStyle w:val="5TextocomnIIGG"/>
              <w:spacing w:after="120"/>
              <w:rPr>
                <w:sz w:val="22"/>
                <w:szCs w:val="22"/>
              </w:rPr>
            </w:pPr>
            <w:r w:rsidRPr="00F326F1">
              <w:rPr>
                <w:sz w:val="22"/>
                <w:szCs w:val="22"/>
              </w:rPr>
              <w:t>Gral.  Madariaga</w:t>
            </w:r>
          </w:p>
        </w:tc>
        <w:tc>
          <w:tcPr>
            <w:tcW w:w="1119" w:type="dxa"/>
            <w:tcBorders>
              <w:top w:val="single" w:sz="4" w:space="0" w:color="auto"/>
              <w:left w:val="single" w:sz="4" w:space="0" w:color="auto"/>
              <w:bottom w:val="single" w:sz="4" w:space="0" w:color="auto"/>
              <w:right w:val="single" w:sz="4" w:space="0" w:color="auto"/>
            </w:tcBorders>
            <w:vAlign w:val="bottom"/>
          </w:tcPr>
          <w:p w14:paraId="347A930D" w14:textId="0559B91A" w:rsidR="00944569" w:rsidRPr="00F326F1" w:rsidRDefault="00944569" w:rsidP="00944569">
            <w:pPr>
              <w:pStyle w:val="5TextocomnIIGG"/>
              <w:spacing w:after="120"/>
              <w:jc w:val="right"/>
              <w:rPr>
                <w:sz w:val="22"/>
                <w:szCs w:val="22"/>
              </w:rPr>
            </w:pPr>
            <w:r w:rsidRPr="00944569">
              <w:rPr>
                <w:sz w:val="22"/>
                <w:szCs w:val="22"/>
              </w:rPr>
              <w:t>19.747</w:t>
            </w:r>
          </w:p>
        </w:tc>
        <w:tc>
          <w:tcPr>
            <w:tcW w:w="1269" w:type="dxa"/>
            <w:tcBorders>
              <w:top w:val="single" w:sz="4" w:space="0" w:color="auto"/>
              <w:left w:val="single" w:sz="4" w:space="0" w:color="auto"/>
              <w:bottom w:val="single" w:sz="4" w:space="0" w:color="auto"/>
              <w:right w:val="single" w:sz="4" w:space="0" w:color="auto"/>
            </w:tcBorders>
            <w:vAlign w:val="bottom"/>
          </w:tcPr>
          <w:p w14:paraId="5D6817C3" w14:textId="5E1EBC3D" w:rsidR="00944569" w:rsidRPr="00F326F1" w:rsidRDefault="00944569" w:rsidP="00944569">
            <w:pPr>
              <w:pStyle w:val="5TextocomnIIGG"/>
              <w:spacing w:after="120"/>
              <w:jc w:val="right"/>
              <w:rPr>
                <w:sz w:val="22"/>
                <w:szCs w:val="22"/>
              </w:rPr>
            </w:pPr>
            <w:r w:rsidRPr="00944569">
              <w:rPr>
                <w:sz w:val="22"/>
                <w:szCs w:val="22"/>
              </w:rPr>
              <w:t>7.636</w:t>
            </w:r>
          </w:p>
        </w:tc>
        <w:tc>
          <w:tcPr>
            <w:tcW w:w="823" w:type="dxa"/>
            <w:tcBorders>
              <w:top w:val="single" w:sz="4" w:space="0" w:color="auto"/>
              <w:left w:val="single" w:sz="4" w:space="0" w:color="auto"/>
              <w:bottom w:val="single" w:sz="4" w:space="0" w:color="auto"/>
              <w:right w:val="single" w:sz="4" w:space="0" w:color="auto"/>
            </w:tcBorders>
            <w:vAlign w:val="bottom"/>
          </w:tcPr>
          <w:p w14:paraId="7D647CF6" w14:textId="5C2846ED" w:rsidR="00944569" w:rsidRPr="00F326F1" w:rsidRDefault="00944569" w:rsidP="00944569">
            <w:pPr>
              <w:pStyle w:val="5TextocomnIIGG"/>
              <w:spacing w:after="120"/>
              <w:jc w:val="right"/>
              <w:rPr>
                <w:sz w:val="22"/>
                <w:szCs w:val="22"/>
              </w:rPr>
            </w:pPr>
            <w:r w:rsidRPr="00944569">
              <w:rPr>
                <w:sz w:val="22"/>
                <w:szCs w:val="22"/>
              </w:rPr>
              <w:t>144</w:t>
            </w:r>
          </w:p>
        </w:tc>
        <w:tc>
          <w:tcPr>
            <w:tcW w:w="592" w:type="dxa"/>
            <w:tcBorders>
              <w:top w:val="single" w:sz="4" w:space="0" w:color="auto"/>
              <w:left w:val="single" w:sz="4" w:space="0" w:color="auto"/>
              <w:bottom w:val="single" w:sz="4" w:space="0" w:color="auto"/>
              <w:right w:val="single" w:sz="4" w:space="0" w:color="auto"/>
            </w:tcBorders>
            <w:vAlign w:val="bottom"/>
          </w:tcPr>
          <w:p w14:paraId="131AE381" w14:textId="1035D8FA" w:rsidR="00944569" w:rsidRPr="00F326F1" w:rsidRDefault="00944569" w:rsidP="00944569">
            <w:pPr>
              <w:pStyle w:val="5TextocomnIIGG"/>
              <w:spacing w:after="120"/>
              <w:jc w:val="right"/>
              <w:rPr>
                <w:sz w:val="22"/>
                <w:szCs w:val="22"/>
              </w:rPr>
            </w:pPr>
            <w:r w:rsidRPr="00944569">
              <w:rPr>
                <w:sz w:val="22"/>
                <w:szCs w:val="22"/>
              </w:rPr>
              <w:t>1,9</w:t>
            </w:r>
          </w:p>
        </w:tc>
        <w:tc>
          <w:tcPr>
            <w:tcW w:w="1119" w:type="dxa"/>
            <w:tcBorders>
              <w:top w:val="single" w:sz="4" w:space="0" w:color="auto"/>
              <w:left w:val="single" w:sz="4" w:space="0" w:color="auto"/>
              <w:bottom w:val="single" w:sz="4" w:space="0" w:color="auto"/>
              <w:right w:val="single" w:sz="4" w:space="0" w:color="auto"/>
            </w:tcBorders>
            <w:vAlign w:val="bottom"/>
          </w:tcPr>
          <w:p w14:paraId="09968257" w14:textId="7A0C47BA" w:rsidR="00944569" w:rsidRPr="00F326F1" w:rsidRDefault="00944569" w:rsidP="00944569">
            <w:pPr>
              <w:pStyle w:val="5TextocomnIIGG"/>
              <w:spacing w:after="120"/>
              <w:jc w:val="right"/>
              <w:rPr>
                <w:sz w:val="22"/>
                <w:szCs w:val="22"/>
              </w:rPr>
            </w:pPr>
            <w:r w:rsidRPr="00944569">
              <w:rPr>
                <w:sz w:val="22"/>
                <w:szCs w:val="22"/>
              </w:rPr>
              <w:t>22.624</w:t>
            </w:r>
          </w:p>
        </w:tc>
        <w:tc>
          <w:tcPr>
            <w:tcW w:w="1243" w:type="dxa"/>
            <w:tcBorders>
              <w:top w:val="single" w:sz="4" w:space="0" w:color="auto"/>
              <w:left w:val="single" w:sz="4" w:space="0" w:color="auto"/>
              <w:bottom w:val="single" w:sz="4" w:space="0" w:color="auto"/>
              <w:right w:val="single" w:sz="4" w:space="0" w:color="auto"/>
            </w:tcBorders>
            <w:vAlign w:val="bottom"/>
          </w:tcPr>
          <w:p w14:paraId="6E12F91A" w14:textId="4428AE12" w:rsidR="00944569" w:rsidRPr="00F326F1" w:rsidRDefault="00944569" w:rsidP="00944569">
            <w:pPr>
              <w:pStyle w:val="5TextocomnIIGG"/>
              <w:spacing w:after="120"/>
              <w:jc w:val="right"/>
              <w:rPr>
                <w:sz w:val="22"/>
                <w:szCs w:val="22"/>
              </w:rPr>
            </w:pPr>
            <w:r w:rsidRPr="00944569">
              <w:rPr>
                <w:sz w:val="22"/>
                <w:szCs w:val="22"/>
              </w:rPr>
              <w:t>9.204</w:t>
            </w:r>
          </w:p>
        </w:tc>
        <w:tc>
          <w:tcPr>
            <w:tcW w:w="1045" w:type="dxa"/>
            <w:tcBorders>
              <w:top w:val="single" w:sz="4" w:space="0" w:color="auto"/>
              <w:left w:val="single" w:sz="4" w:space="0" w:color="auto"/>
              <w:bottom w:val="single" w:sz="4" w:space="0" w:color="auto"/>
              <w:right w:val="single" w:sz="4" w:space="0" w:color="auto"/>
            </w:tcBorders>
            <w:vAlign w:val="bottom"/>
          </w:tcPr>
          <w:p w14:paraId="68EB4ECF" w14:textId="67AAB9FC" w:rsidR="00944569" w:rsidRPr="00F326F1" w:rsidRDefault="00944569" w:rsidP="00944569">
            <w:pPr>
              <w:pStyle w:val="5TextocomnIIGG"/>
              <w:spacing w:after="120"/>
              <w:jc w:val="right"/>
              <w:rPr>
                <w:sz w:val="22"/>
                <w:szCs w:val="22"/>
              </w:rPr>
            </w:pPr>
            <w:r w:rsidRPr="00944569">
              <w:rPr>
                <w:sz w:val="22"/>
                <w:szCs w:val="22"/>
              </w:rPr>
              <w:t>202</w:t>
            </w:r>
          </w:p>
        </w:tc>
        <w:tc>
          <w:tcPr>
            <w:tcW w:w="592" w:type="dxa"/>
            <w:tcBorders>
              <w:top w:val="single" w:sz="4" w:space="0" w:color="auto"/>
              <w:left w:val="single" w:sz="4" w:space="0" w:color="auto"/>
              <w:bottom w:val="single" w:sz="4" w:space="0" w:color="auto"/>
              <w:right w:val="single" w:sz="4" w:space="0" w:color="auto"/>
            </w:tcBorders>
            <w:vAlign w:val="bottom"/>
          </w:tcPr>
          <w:p w14:paraId="263B387D" w14:textId="1BADE366" w:rsidR="00944569" w:rsidRPr="00F326F1" w:rsidRDefault="00944569" w:rsidP="00944569">
            <w:pPr>
              <w:pStyle w:val="5TextocomnIIGG"/>
              <w:spacing w:after="120"/>
              <w:jc w:val="right"/>
              <w:rPr>
                <w:sz w:val="22"/>
                <w:szCs w:val="22"/>
              </w:rPr>
            </w:pPr>
            <w:r w:rsidRPr="00944569">
              <w:rPr>
                <w:sz w:val="22"/>
                <w:szCs w:val="22"/>
              </w:rPr>
              <w:t>2,2</w:t>
            </w:r>
          </w:p>
        </w:tc>
      </w:tr>
      <w:tr w:rsidR="00944569" w:rsidRPr="00C540A0" w14:paraId="446CB864" w14:textId="77777777" w:rsidTr="00944569">
        <w:trPr>
          <w:jc w:val="center"/>
        </w:trPr>
        <w:tc>
          <w:tcPr>
            <w:tcW w:w="1258" w:type="dxa"/>
          </w:tcPr>
          <w:p w14:paraId="25969AB3" w14:textId="60C5B356" w:rsidR="00944569" w:rsidRPr="00F326F1" w:rsidRDefault="00944569" w:rsidP="00944569">
            <w:pPr>
              <w:pStyle w:val="5TextocomnIIGG"/>
              <w:spacing w:after="120"/>
              <w:rPr>
                <w:sz w:val="22"/>
                <w:szCs w:val="22"/>
              </w:rPr>
            </w:pPr>
            <w:r w:rsidRPr="00F326F1">
              <w:rPr>
                <w:sz w:val="22"/>
                <w:szCs w:val="22"/>
              </w:rPr>
              <w:lastRenderedPageBreak/>
              <w:t>Gral. Pueyrred</w:t>
            </w:r>
            <w:r w:rsidR="00FB57D7">
              <w:rPr>
                <w:sz w:val="22"/>
                <w:szCs w:val="22"/>
              </w:rPr>
              <w:t>o</w:t>
            </w:r>
            <w:r w:rsidRPr="00F326F1">
              <w:rPr>
                <w:sz w:val="22"/>
                <w:szCs w:val="22"/>
              </w:rPr>
              <w:t>n</w:t>
            </w:r>
          </w:p>
        </w:tc>
        <w:tc>
          <w:tcPr>
            <w:tcW w:w="1119" w:type="dxa"/>
            <w:tcBorders>
              <w:top w:val="single" w:sz="4" w:space="0" w:color="auto"/>
              <w:left w:val="single" w:sz="4" w:space="0" w:color="auto"/>
              <w:bottom w:val="single" w:sz="4" w:space="0" w:color="auto"/>
              <w:right w:val="single" w:sz="4" w:space="0" w:color="auto"/>
            </w:tcBorders>
            <w:vAlign w:val="bottom"/>
          </w:tcPr>
          <w:p w14:paraId="1DB97E20" w14:textId="7CD1B15A" w:rsidR="00944569" w:rsidRPr="00F326F1" w:rsidRDefault="00944569" w:rsidP="00944569">
            <w:pPr>
              <w:pStyle w:val="5TextocomnIIGG"/>
              <w:spacing w:after="120"/>
              <w:jc w:val="right"/>
              <w:rPr>
                <w:sz w:val="22"/>
                <w:szCs w:val="22"/>
              </w:rPr>
            </w:pPr>
            <w:r w:rsidRPr="00944569">
              <w:rPr>
                <w:sz w:val="22"/>
                <w:szCs w:val="22"/>
              </w:rPr>
              <w:t>618.989</w:t>
            </w:r>
          </w:p>
        </w:tc>
        <w:tc>
          <w:tcPr>
            <w:tcW w:w="1269" w:type="dxa"/>
            <w:tcBorders>
              <w:top w:val="single" w:sz="4" w:space="0" w:color="auto"/>
              <w:left w:val="single" w:sz="4" w:space="0" w:color="auto"/>
              <w:bottom w:val="single" w:sz="4" w:space="0" w:color="auto"/>
              <w:right w:val="single" w:sz="4" w:space="0" w:color="auto"/>
            </w:tcBorders>
            <w:vAlign w:val="bottom"/>
          </w:tcPr>
          <w:p w14:paraId="702854D5" w14:textId="138DD54A" w:rsidR="00944569" w:rsidRPr="00F326F1" w:rsidRDefault="00944569" w:rsidP="00944569">
            <w:pPr>
              <w:pStyle w:val="5TextocomnIIGG"/>
              <w:spacing w:after="120"/>
              <w:jc w:val="right"/>
              <w:rPr>
                <w:sz w:val="22"/>
                <w:szCs w:val="22"/>
              </w:rPr>
            </w:pPr>
            <w:r w:rsidRPr="00944569">
              <w:rPr>
                <w:sz w:val="22"/>
                <w:szCs w:val="22"/>
              </w:rPr>
              <w:t>307.404</w:t>
            </w:r>
          </w:p>
        </w:tc>
        <w:tc>
          <w:tcPr>
            <w:tcW w:w="823" w:type="dxa"/>
            <w:tcBorders>
              <w:top w:val="single" w:sz="4" w:space="0" w:color="auto"/>
              <w:left w:val="single" w:sz="4" w:space="0" w:color="auto"/>
              <w:bottom w:val="single" w:sz="4" w:space="0" w:color="auto"/>
              <w:right w:val="single" w:sz="4" w:space="0" w:color="auto"/>
            </w:tcBorders>
            <w:vAlign w:val="bottom"/>
          </w:tcPr>
          <w:p w14:paraId="564B6CF5" w14:textId="433C3AA5" w:rsidR="00944569" w:rsidRPr="00F326F1" w:rsidRDefault="00944569" w:rsidP="00944569">
            <w:pPr>
              <w:pStyle w:val="5TextocomnIIGG"/>
              <w:spacing w:after="120"/>
              <w:jc w:val="right"/>
              <w:rPr>
                <w:sz w:val="22"/>
                <w:szCs w:val="22"/>
              </w:rPr>
            </w:pPr>
            <w:r w:rsidRPr="00944569">
              <w:rPr>
                <w:sz w:val="22"/>
                <w:szCs w:val="22"/>
              </w:rPr>
              <w:t>49.036</w:t>
            </w:r>
          </w:p>
        </w:tc>
        <w:tc>
          <w:tcPr>
            <w:tcW w:w="592" w:type="dxa"/>
            <w:tcBorders>
              <w:top w:val="single" w:sz="4" w:space="0" w:color="auto"/>
              <w:left w:val="single" w:sz="4" w:space="0" w:color="auto"/>
              <w:bottom w:val="single" w:sz="4" w:space="0" w:color="auto"/>
              <w:right w:val="single" w:sz="4" w:space="0" w:color="auto"/>
            </w:tcBorders>
            <w:vAlign w:val="bottom"/>
          </w:tcPr>
          <w:p w14:paraId="269FDD54" w14:textId="78A29FB5" w:rsidR="00944569" w:rsidRPr="00F326F1" w:rsidRDefault="00944569" w:rsidP="00944569">
            <w:pPr>
              <w:pStyle w:val="5TextocomnIIGG"/>
              <w:spacing w:after="120"/>
              <w:jc w:val="right"/>
              <w:rPr>
                <w:sz w:val="22"/>
                <w:szCs w:val="22"/>
              </w:rPr>
            </w:pPr>
            <w:r w:rsidRPr="00944569">
              <w:rPr>
                <w:sz w:val="22"/>
                <w:szCs w:val="22"/>
              </w:rPr>
              <w:t>16,0</w:t>
            </w:r>
          </w:p>
        </w:tc>
        <w:tc>
          <w:tcPr>
            <w:tcW w:w="1119" w:type="dxa"/>
            <w:tcBorders>
              <w:top w:val="single" w:sz="4" w:space="0" w:color="auto"/>
              <w:left w:val="single" w:sz="4" w:space="0" w:color="auto"/>
              <w:bottom w:val="single" w:sz="4" w:space="0" w:color="auto"/>
              <w:right w:val="single" w:sz="4" w:space="0" w:color="auto"/>
            </w:tcBorders>
            <w:vAlign w:val="bottom"/>
          </w:tcPr>
          <w:p w14:paraId="5DFAAFB0" w14:textId="78F97447" w:rsidR="00944569" w:rsidRPr="00F326F1" w:rsidRDefault="00944569" w:rsidP="00944569">
            <w:pPr>
              <w:pStyle w:val="5TextocomnIIGG"/>
              <w:spacing w:after="120"/>
              <w:jc w:val="right"/>
              <w:rPr>
                <w:sz w:val="22"/>
                <w:szCs w:val="22"/>
              </w:rPr>
            </w:pPr>
            <w:r w:rsidRPr="00944569">
              <w:rPr>
                <w:sz w:val="22"/>
                <w:szCs w:val="22"/>
              </w:rPr>
              <w:t>667.082</w:t>
            </w:r>
          </w:p>
        </w:tc>
        <w:tc>
          <w:tcPr>
            <w:tcW w:w="1243" w:type="dxa"/>
            <w:tcBorders>
              <w:top w:val="single" w:sz="4" w:space="0" w:color="auto"/>
              <w:left w:val="single" w:sz="4" w:space="0" w:color="auto"/>
              <w:bottom w:val="single" w:sz="4" w:space="0" w:color="auto"/>
              <w:right w:val="single" w:sz="4" w:space="0" w:color="auto"/>
            </w:tcBorders>
            <w:vAlign w:val="bottom"/>
          </w:tcPr>
          <w:p w14:paraId="7532DA69" w14:textId="14EEB8CA" w:rsidR="00944569" w:rsidRPr="00F326F1" w:rsidRDefault="00944569" w:rsidP="00944569">
            <w:pPr>
              <w:pStyle w:val="5TextocomnIIGG"/>
              <w:spacing w:after="120"/>
              <w:jc w:val="right"/>
              <w:rPr>
                <w:sz w:val="22"/>
                <w:szCs w:val="22"/>
              </w:rPr>
            </w:pPr>
            <w:r w:rsidRPr="00944569">
              <w:rPr>
                <w:sz w:val="22"/>
                <w:szCs w:val="22"/>
              </w:rPr>
              <w:t>342.942</w:t>
            </w:r>
          </w:p>
        </w:tc>
        <w:tc>
          <w:tcPr>
            <w:tcW w:w="1045" w:type="dxa"/>
            <w:tcBorders>
              <w:top w:val="single" w:sz="4" w:space="0" w:color="auto"/>
              <w:left w:val="single" w:sz="4" w:space="0" w:color="auto"/>
              <w:bottom w:val="single" w:sz="4" w:space="0" w:color="auto"/>
              <w:right w:val="single" w:sz="4" w:space="0" w:color="auto"/>
            </w:tcBorders>
            <w:vAlign w:val="bottom"/>
          </w:tcPr>
          <w:p w14:paraId="3AF1E86E" w14:textId="2533CD90" w:rsidR="00944569" w:rsidRPr="00F326F1" w:rsidRDefault="00944569" w:rsidP="00944569">
            <w:pPr>
              <w:pStyle w:val="5TextocomnIIGG"/>
              <w:spacing w:after="120"/>
              <w:jc w:val="right"/>
              <w:rPr>
                <w:sz w:val="22"/>
                <w:szCs w:val="22"/>
              </w:rPr>
            </w:pPr>
            <w:r w:rsidRPr="00944569">
              <w:rPr>
                <w:sz w:val="22"/>
                <w:szCs w:val="22"/>
              </w:rPr>
              <w:t>41.087</w:t>
            </w:r>
          </w:p>
        </w:tc>
        <w:tc>
          <w:tcPr>
            <w:tcW w:w="592" w:type="dxa"/>
            <w:tcBorders>
              <w:top w:val="single" w:sz="4" w:space="0" w:color="auto"/>
              <w:left w:val="single" w:sz="4" w:space="0" w:color="auto"/>
              <w:bottom w:val="single" w:sz="4" w:space="0" w:color="auto"/>
              <w:right w:val="single" w:sz="4" w:space="0" w:color="auto"/>
            </w:tcBorders>
            <w:vAlign w:val="bottom"/>
          </w:tcPr>
          <w:p w14:paraId="6D6E8838" w14:textId="4F61DF49" w:rsidR="00944569" w:rsidRPr="00F326F1" w:rsidRDefault="00944569" w:rsidP="00944569">
            <w:pPr>
              <w:pStyle w:val="5TextocomnIIGG"/>
              <w:spacing w:after="120"/>
              <w:jc w:val="right"/>
              <w:rPr>
                <w:sz w:val="22"/>
                <w:szCs w:val="22"/>
              </w:rPr>
            </w:pPr>
            <w:r w:rsidRPr="00944569">
              <w:rPr>
                <w:sz w:val="22"/>
                <w:szCs w:val="22"/>
              </w:rPr>
              <w:t>12,0</w:t>
            </w:r>
          </w:p>
        </w:tc>
      </w:tr>
      <w:tr w:rsidR="00944569" w:rsidRPr="00C540A0" w14:paraId="514F268E" w14:textId="77777777" w:rsidTr="00944569">
        <w:trPr>
          <w:jc w:val="center"/>
        </w:trPr>
        <w:tc>
          <w:tcPr>
            <w:tcW w:w="1258" w:type="dxa"/>
          </w:tcPr>
          <w:p w14:paraId="19EAAB79" w14:textId="77777777" w:rsidR="00944569" w:rsidRPr="00F326F1" w:rsidRDefault="00944569" w:rsidP="00944569">
            <w:pPr>
              <w:pStyle w:val="5TextocomnIIGG"/>
              <w:spacing w:after="120"/>
              <w:rPr>
                <w:sz w:val="22"/>
                <w:szCs w:val="22"/>
              </w:rPr>
            </w:pPr>
            <w:r w:rsidRPr="00F326F1">
              <w:rPr>
                <w:sz w:val="22"/>
                <w:szCs w:val="22"/>
              </w:rPr>
              <w:t>Lobería</w:t>
            </w:r>
          </w:p>
        </w:tc>
        <w:tc>
          <w:tcPr>
            <w:tcW w:w="1119" w:type="dxa"/>
            <w:tcBorders>
              <w:top w:val="single" w:sz="4" w:space="0" w:color="auto"/>
              <w:left w:val="single" w:sz="4" w:space="0" w:color="auto"/>
              <w:bottom w:val="single" w:sz="4" w:space="0" w:color="auto"/>
              <w:right w:val="single" w:sz="4" w:space="0" w:color="auto"/>
            </w:tcBorders>
            <w:vAlign w:val="bottom"/>
          </w:tcPr>
          <w:p w14:paraId="5AC0FDF3" w14:textId="11D5E5CE" w:rsidR="00944569" w:rsidRPr="00F326F1" w:rsidRDefault="00944569" w:rsidP="00944569">
            <w:pPr>
              <w:pStyle w:val="5TextocomnIIGG"/>
              <w:spacing w:after="120"/>
              <w:jc w:val="right"/>
              <w:rPr>
                <w:sz w:val="22"/>
                <w:szCs w:val="22"/>
              </w:rPr>
            </w:pPr>
            <w:r w:rsidRPr="00944569">
              <w:rPr>
                <w:sz w:val="22"/>
                <w:szCs w:val="22"/>
              </w:rPr>
              <w:t>17.523</w:t>
            </w:r>
          </w:p>
        </w:tc>
        <w:tc>
          <w:tcPr>
            <w:tcW w:w="1269" w:type="dxa"/>
            <w:tcBorders>
              <w:top w:val="single" w:sz="4" w:space="0" w:color="auto"/>
              <w:left w:val="single" w:sz="4" w:space="0" w:color="auto"/>
              <w:bottom w:val="single" w:sz="4" w:space="0" w:color="auto"/>
              <w:right w:val="single" w:sz="4" w:space="0" w:color="auto"/>
            </w:tcBorders>
            <w:vAlign w:val="bottom"/>
          </w:tcPr>
          <w:p w14:paraId="38DB2793" w14:textId="55DDDDD6" w:rsidR="00944569" w:rsidRPr="00F326F1" w:rsidRDefault="00944569" w:rsidP="00944569">
            <w:pPr>
              <w:pStyle w:val="5TextocomnIIGG"/>
              <w:spacing w:after="120"/>
              <w:jc w:val="right"/>
              <w:rPr>
                <w:sz w:val="22"/>
                <w:szCs w:val="22"/>
              </w:rPr>
            </w:pPr>
            <w:r w:rsidRPr="00944569">
              <w:rPr>
                <w:sz w:val="22"/>
                <w:szCs w:val="22"/>
              </w:rPr>
              <w:t>7.189</w:t>
            </w:r>
          </w:p>
        </w:tc>
        <w:tc>
          <w:tcPr>
            <w:tcW w:w="823" w:type="dxa"/>
            <w:tcBorders>
              <w:top w:val="single" w:sz="4" w:space="0" w:color="auto"/>
              <w:left w:val="single" w:sz="4" w:space="0" w:color="auto"/>
              <w:bottom w:val="single" w:sz="4" w:space="0" w:color="auto"/>
              <w:right w:val="single" w:sz="4" w:space="0" w:color="auto"/>
            </w:tcBorders>
            <w:vAlign w:val="bottom"/>
          </w:tcPr>
          <w:p w14:paraId="4A89F324" w14:textId="3B9437F4" w:rsidR="00944569" w:rsidRPr="00F326F1" w:rsidRDefault="00944569" w:rsidP="00944569">
            <w:pPr>
              <w:pStyle w:val="5TextocomnIIGG"/>
              <w:spacing w:after="120"/>
              <w:jc w:val="right"/>
              <w:rPr>
                <w:sz w:val="22"/>
                <w:szCs w:val="22"/>
              </w:rPr>
            </w:pPr>
            <w:r w:rsidRPr="00944569">
              <w:rPr>
                <w:sz w:val="22"/>
                <w:szCs w:val="22"/>
              </w:rPr>
              <w:t>134</w:t>
            </w:r>
          </w:p>
        </w:tc>
        <w:tc>
          <w:tcPr>
            <w:tcW w:w="592" w:type="dxa"/>
            <w:tcBorders>
              <w:top w:val="single" w:sz="4" w:space="0" w:color="auto"/>
              <w:left w:val="single" w:sz="4" w:space="0" w:color="auto"/>
              <w:bottom w:val="single" w:sz="4" w:space="0" w:color="auto"/>
              <w:right w:val="single" w:sz="4" w:space="0" w:color="auto"/>
            </w:tcBorders>
            <w:vAlign w:val="bottom"/>
          </w:tcPr>
          <w:p w14:paraId="29418385" w14:textId="403363FB" w:rsidR="00944569" w:rsidRPr="00F326F1" w:rsidRDefault="00944569" w:rsidP="00944569">
            <w:pPr>
              <w:pStyle w:val="5TextocomnIIGG"/>
              <w:spacing w:after="120"/>
              <w:jc w:val="right"/>
              <w:rPr>
                <w:sz w:val="22"/>
                <w:szCs w:val="22"/>
              </w:rPr>
            </w:pPr>
            <w:r w:rsidRPr="00944569">
              <w:rPr>
                <w:sz w:val="22"/>
                <w:szCs w:val="22"/>
              </w:rPr>
              <w:t>1,9</w:t>
            </w:r>
          </w:p>
        </w:tc>
        <w:tc>
          <w:tcPr>
            <w:tcW w:w="1119" w:type="dxa"/>
            <w:tcBorders>
              <w:top w:val="single" w:sz="4" w:space="0" w:color="auto"/>
              <w:left w:val="single" w:sz="4" w:space="0" w:color="auto"/>
              <w:bottom w:val="single" w:sz="4" w:space="0" w:color="auto"/>
              <w:right w:val="single" w:sz="4" w:space="0" w:color="auto"/>
            </w:tcBorders>
            <w:vAlign w:val="bottom"/>
          </w:tcPr>
          <w:p w14:paraId="515F5E2E" w14:textId="78BFC26A" w:rsidR="00944569" w:rsidRPr="00F326F1" w:rsidRDefault="00944569" w:rsidP="00944569">
            <w:pPr>
              <w:pStyle w:val="5TextocomnIIGG"/>
              <w:spacing w:after="120"/>
              <w:jc w:val="right"/>
              <w:rPr>
                <w:sz w:val="22"/>
                <w:szCs w:val="22"/>
              </w:rPr>
            </w:pPr>
            <w:r w:rsidRPr="00944569">
              <w:rPr>
                <w:sz w:val="22"/>
                <w:szCs w:val="22"/>
              </w:rPr>
              <w:t>18.243</w:t>
            </w:r>
          </w:p>
        </w:tc>
        <w:tc>
          <w:tcPr>
            <w:tcW w:w="1243" w:type="dxa"/>
            <w:tcBorders>
              <w:top w:val="single" w:sz="4" w:space="0" w:color="auto"/>
              <w:left w:val="single" w:sz="4" w:space="0" w:color="auto"/>
              <w:bottom w:val="single" w:sz="4" w:space="0" w:color="auto"/>
              <w:right w:val="single" w:sz="4" w:space="0" w:color="auto"/>
            </w:tcBorders>
            <w:vAlign w:val="bottom"/>
          </w:tcPr>
          <w:p w14:paraId="52ACF4E2" w14:textId="6F9266F9" w:rsidR="00944569" w:rsidRPr="00F326F1" w:rsidRDefault="00944569" w:rsidP="00944569">
            <w:pPr>
              <w:pStyle w:val="5TextocomnIIGG"/>
              <w:spacing w:after="120"/>
              <w:jc w:val="right"/>
              <w:rPr>
                <w:sz w:val="22"/>
                <w:szCs w:val="22"/>
              </w:rPr>
            </w:pPr>
            <w:r w:rsidRPr="00944569">
              <w:rPr>
                <w:sz w:val="22"/>
                <w:szCs w:val="22"/>
              </w:rPr>
              <w:t>8.073</w:t>
            </w:r>
          </w:p>
        </w:tc>
        <w:tc>
          <w:tcPr>
            <w:tcW w:w="1045" w:type="dxa"/>
            <w:tcBorders>
              <w:top w:val="single" w:sz="4" w:space="0" w:color="auto"/>
              <w:left w:val="single" w:sz="4" w:space="0" w:color="auto"/>
              <w:bottom w:val="single" w:sz="4" w:space="0" w:color="auto"/>
              <w:right w:val="single" w:sz="4" w:space="0" w:color="auto"/>
            </w:tcBorders>
            <w:vAlign w:val="bottom"/>
          </w:tcPr>
          <w:p w14:paraId="503B6AB3" w14:textId="5E855212" w:rsidR="00944569" w:rsidRPr="00F326F1" w:rsidRDefault="00944569" w:rsidP="00944569">
            <w:pPr>
              <w:pStyle w:val="5TextocomnIIGG"/>
              <w:spacing w:after="120"/>
              <w:jc w:val="right"/>
              <w:rPr>
                <w:sz w:val="22"/>
                <w:szCs w:val="22"/>
              </w:rPr>
            </w:pPr>
            <w:r w:rsidRPr="00944569">
              <w:rPr>
                <w:sz w:val="22"/>
                <w:szCs w:val="22"/>
              </w:rPr>
              <w:t>227</w:t>
            </w:r>
          </w:p>
        </w:tc>
        <w:tc>
          <w:tcPr>
            <w:tcW w:w="592" w:type="dxa"/>
            <w:tcBorders>
              <w:top w:val="single" w:sz="4" w:space="0" w:color="auto"/>
              <w:left w:val="single" w:sz="4" w:space="0" w:color="auto"/>
              <w:bottom w:val="single" w:sz="4" w:space="0" w:color="auto"/>
              <w:right w:val="single" w:sz="4" w:space="0" w:color="auto"/>
            </w:tcBorders>
            <w:vAlign w:val="bottom"/>
          </w:tcPr>
          <w:p w14:paraId="127944C0" w14:textId="3BAA60DE" w:rsidR="00944569" w:rsidRPr="00F326F1" w:rsidRDefault="00944569" w:rsidP="00944569">
            <w:pPr>
              <w:pStyle w:val="5TextocomnIIGG"/>
              <w:spacing w:after="120"/>
              <w:jc w:val="right"/>
              <w:rPr>
                <w:sz w:val="22"/>
                <w:szCs w:val="22"/>
              </w:rPr>
            </w:pPr>
            <w:r w:rsidRPr="00944569">
              <w:rPr>
                <w:sz w:val="22"/>
                <w:szCs w:val="22"/>
              </w:rPr>
              <w:t>2,8</w:t>
            </w:r>
          </w:p>
        </w:tc>
      </w:tr>
      <w:tr w:rsidR="00944569" w:rsidRPr="00C540A0" w14:paraId="0DA0F415" w14:textId="77777777" w:rsidTr="00944569">
        <w:trPr>
          <w:jc w:val="center"/>
        </w:trPr>
        <w:tc>
          <w:tcPr>
            <w:tcW w:w="1258" w:type="dxa"/>
          </w:tcPr>
          <w:p w14:paraId="64870740" w14:textId="77777777" w:rsidR="00944569" w:rsidRPr="00F326F1" w:rsidRDefault="00944569" w:rsidP="00944569">
            <w:pPr>
              <w:pStyle w:val="5TextocomnIIGG"/>
              <w:spacing w:after="120"/>
              <w:rPr>
                <w:sz w:val="22"/>
                <w:szCs w:val="22"/>
              </w:rPr>
            </w:pPr>
            <w:r w:rsidRPr="00F326F1">
              <w:rPr>
                <w:sz w:val="22"/>
                <w:szCs w:val="22"/>
              </w:rPr>
              <w:t>Maipú</w:t>
            </w:r>
          </w:p>
        </w:tc>
        <w:tc>
          <w:tcPr>
            <w:tcW w:w="1119" w:type="dxa"/>
            <w:tcBorders>
              <w:top w:val="single" w:sz="4" w:space="0" w:color="auto"/>
              <w:left w:val="single" w:sz="4" w:space="0" w:color="auto"/>
              <w:bottom w:val="single" w:sz="4" w:space="0" w:color="auto"/>
              <w:right w:val="single" w:sz="4" w:space="0" w:color="auto"/>
            </w:tcBorders>
            <w:vAlign w:val="bottom"/>
          </w:tcPr>
          <w:p w14:paraId="2B2E1125" w14:textId="0E8F73F2" w:rsidR="00944569" w:rsidRPr="00F326F1" w:rsidRDefault="00944569" w:rsidP="00944569">
            <w:pPr>
              <w:pStyle w:val="5TextocomnIIGG"/>
              <w:spacing w:after="120"/>
              <w:jc w:val="right"/>
              <w:rPr>
                <w:sz w:val="22"/>
                <w:szCs w:val="22"/>
              </w:rPr>
            </w:pPr>
            <w:r w:rsidRPr="00944569">
              <w:rPr>
                <w:sz w:val="22"/>
                <w:szCs w:val="22"/>
              </w:rPr>
              <w:t>10.188</w:t>
            </w:r>
          </w:p>
        </w:tc>
        <w:tc>
          <w:tcPr>
            <w:tcW w:w="1269" w:type="dxa"/>
            <w:tcBorders>
              <w:top w:val="single" w:sz="4" w:space="0" w:color="auto"/>
              <w:left w:val="single" w:sz="4" w:space="0" w:color="auto"/>
              <w:bottom w:val="single" w:sz="4" w:space="0" w:color="auto"/>
              <w:right w:val="single" w:sz="4" w:space="0" w:color="auto"/>
            </w:tcBorders>
            <w:vAlign w:val="bottom"/>
          </w:tcPr>
          <w:p w14:paraId="21548BB0" w14:textId="305FC3A3" w:rsidR="00944569" w:rsidRPr="00F326F1" w:rsidRDefault="00944569" w:rsidP="00944569">
            <w:pPr>
              <w:pStyle w:val="5TextocomnIIGG"/>
              <w:spacing w:after="120"/>
              <w:jc w:val="right"/>
              <w:rPr>
                <w:sz w:val="22"/>
                <w:szCs w:val="22"/>
              </w:rPr>
            </w:pPr>
            <w:r w:rsidRPr="00944569">
              <w:rPr>
                <w:sz w:val="22"/>
                <w:szCs w:val="22"/>
              </w:rPr>
              <w:t>4.332</w:t>
            </w:r>
          </w:p>
        </w:tc>
        <w:tc>
          <w:tcPr>
            <w:tcW w:w="823" w:type="dxa"/>
            <w:tcBorders>
              <w:top w:val="single" w:sz="4" w:space="0" w:color="auto"/>
              <w:left w:val="single" w:sz="4" w:space="0" w:color="auto"/>
              <w:bottom w:val="single" w:sz="4" w:space="0" w:color="auto"/>
              <w:right w:val="single" w:sz="4" w:space="0" w:color="auto"/>
            </w:tcBorders>
            <w:vAlign w:val="bottom"/>
          </w:tcPr>
          <w:p w14:paraId="437FB135" w14:textId="64E10AF2" w:rsidR="00944569" w:rsidRPr="00F326F1" w:rsidRDefault="00944569" w:rsidP="00944569">
            <w:pPr>
              <w:pStyle w:val="5TextocomnIIGG"/>
              <w:spacing w:after="120"/>
              <w:jc w:val="right"/>
              <w:rPr>
                <w:sz w:val="22"/>
                <w:szCs w:val="22"/>
              </w:rPr>
            </w:pPr>
            <w:r w:rsidRPr="00944569">
              <w:rPr>
                <w:sz w:val="22"/>
                <w:szCs w:val="22"/>
              </w:rPr>
              <w:t>65</w:t>
            </w:r>
          </w:p>
        </w:tc>
        <w:tc>
          <w:tcPr>
            <w:tcW w:w="592" w:type="dxa"/>
            <w:tcBorders>
              <w:top w:val="single" w:sz="4" w:space="0" w:color="auto"/>
              <w:left w:val="single" w:sz="4" w:space="0" w:color="auto"/>
              <w:bottom w:val="single" w:sz="4" w:space="0" w:color="auto"/>
              <w:right w:val="single" w:sz="4" w:space="0" w:color="auto"/>
            </w:tcBorders>
            <w:vAlign w:val="bottom"/>
          </w:tcPr>
          <w:p w14:paraId="14BE2908" w14:textId="286DD1BD" w:rsidR="00944569" w:rsidRPr="00F326F1" w:rsidRDefault="00944569" w:rsidP="00944569">
            <w:pPr>
              <w:pStyle w:val="5TextocomnIIGG"/>
              <w:spacing w:after="120"/>
              <w:jc w:val="right"/>
              <w:rPr>
                <w:sz w:val="22"/>
                <w:szCs w:val="22"/>
              </w:rPr>
            </w:pPr>
            <w:r w:rsidRPr="00944569">
              <w:rPr>
                <w:sz w:val="22"/>
                <w:szCs w:val="22"/>
              </w:rPr>
              <w:t>1,5</w:t>
            </w:r>
          </w:p>
        </w:tc>
        <w:tc>
          <w:tcPr>
            <w:tcW w:w="1119" w:type="dxa"/>
            <w:tcBorders>
              <w:top w:val="single" w:sz="4" w:space="0" w:color="auto"/>
              <w:left w:val="single" w:sz="4" w:space="0" w:color="auto"/>
              <w:bottom w:val="single" w:sz="4" w:space="0" w:color="auto"/>
              <w:right w:val="single" w:sz="4" w:space="0" w:color="auto"/>
            </w:tcBorders>
            <w:vAlign w:val="bottom"/>
          </w:tcPr>
          <w:p w14:paraId="5E38C529" w14:textId="125306CF" w:rsidR="00944569" w:rsidRPr="00F326F1" w:rsidRDefault="00944569" w:rsidP="00944569">
            <w:pPr>
              <w:pStyle w:val="5TextocomnIIGG"/>
              <w:spacing w:after="120"/>
              <w:jc w:val="right"/>
              <w:rPr>
                <w:sz w:val="22"/>
                <w:szCs w:val="22"/>
              </w:rPr>
            </w:pPr>
            <w:r w:rsidRPr="00944569">
              <w:rPr>
                <w:sz w:val="22"/>
                <w:szCs w:val="22"/>
              </w:rPr>
              <w:t>11.323</w:t>
            </w:r>
          </w:p>
        </w:tc>
        <w:tc>
          <w:tcPr>
            <w:tcW w:w="1243" w:type="dxa"/>
            <w:tcBorders>
              <w:top w:val="single" w:sz="4" w:space="0" w:color="auto"/>
              <w:left w:val="single" w:sz="4" w:space="0" w:color="auto"/>
              <w:bottom w:val="single" w:sz="4" w:space="0" w:color="auto"/>
              <w:right w:val="single" w:sz="4" w:space="0" w:color="auto"/>
            </w:tcBorders>
            <w:vAlign w:val="bottom"/>
          </w:tcPr>
          <w:p w14:paraId="42F0AB02" w14:textId="1638E4BB" w:rsidR="00944569" w:rsidRPr="00F326F1" w:rsidRDefault="00944569" w:rsidP="00944569">
            <w:pPr>
              <w:pStyle w:val="5TextocomnIIGG"/>
              <w:spacing w:after="120"/>
              <w:jc w:val="right"/>
              <w:rPr>
                <w:sz w:val="22"/>
                <w:szCs w:val="22"/>
              </w:rPr>
            </w:pPr>
            <w:r w:rsidRPr="00944569">
              <w:rPr>
                <w:sz w:val="22"/>
                <w:szCs w:val="22"/>
              </w:rPr>
              <w:t>4.893</w:t>
            </w:r>
          </w:p>
        </w:tc>
        <w:tc>
          <w:tcPr>
            <w:tcW w:w="1045" w:type="dxa"/>
            <w:tcBorders>
              <w:top w:val="single" w:sz="4" w:space="0" w:color="auto"/>
              <w:left w:val="single" w:sz="4" w:space="0" w:color="auto"/>
              <w:bottom w:val="single" w:sz="4" w:space="0" w:color="auto"/>
              <w:right w:val="single" w:sz="4" w:space="0" w:color="auto"/>
            </w:tcBorders>
            <w:vAlign w:val="bottom"/>
          </w:tcPr>
          <w:p w14:paraId="25DD41E5" w14:textId="1FAB8FE2" w:rsidR="00944569" w:rsidRPr="00F326F1" w:rsidRDefault="00944569" w:rsidP="00944569">
            <w:pPr>
              <w:pStyle w:val="5TextocomnIIGG"/>
              <w:spacing w:after="120"/>
              <w:jc w:val="right"/>
              <w:rPr>
                <w:sz w:val="22"/>
                <w:szCs w:val="22"/>
              </w:rPr>
            </w:pPr>
            <w:r w:rsidRPr="00944569">
              <w:rPr>
                <w:sz w:val="22"/>
                <w:szCs w:val="22"/>
              </w:rPr>
              <w:t>77</w:t>
            </w:r>
          </w:p>
        </w:tc>
        <w:tc>
          <w:tcPr>
            <w:tcW w:w="592" w:type="dxa"/>
            <w:tcBorders>
              <w:top w:val="single" w:sz="4" w:space="0" w:color="auto"/>
              <w:left w:val="single" w:sz="4" w:space="0" w:color="auto"/>
              <w:bottom w:val="single" w:sz="4" w:space="0" w:color="auto"/>
              <w:right w:val="single" w:sz="4" w:space="0" w:color="auto"/>
            </w:tcBorders>
            <w:vAlign w:val="bottom"/>
          </w:tcPr>
          <w:p w14:paraId="3435C3B0" w14:textId="13BBA28D" w:rsidR="00944569" w:rsidRPr="00F326F1" w:rsidRDefault="00944569" w:rsidP="00944569">
            <w:pPr>
              <w:pStyle w:val="5TextocomnIIGG"/>
              <w:spacing w:after="120"/>
              <w:jc w:val="right"/>
              <w:rPr>
                <w:sz w:val="22"/>
                <w:szCs w:val="22"/>
              </w:rPr>
            </w:pPr>
            <w:r w:rsidRPr="00944569">
              <w:rPr>
                <w:sz w:val="22"/>
                <w:szCs w:val="22"/>
              </w:rPr>
              <w:t>1,6</w:t>
            </w:r>
          </w:p>
        </w:tc>
      </w:tr>
      <w:tr w:rsidR="00944569" w:rsidRPr="00C540A0" w14:paraId="7E154206" w14:textId="77777777" w:rsidTr="00944569">
        <w:trPr>
          <w:jc w:val="center"/>
        </w:trPr>
        <w:tc>
          <w:tcPr>
            <w:tcW w:w="1258" w:type="dxa"/>
          </w:tcPr>
          <w:p w14:paraId="72C0857E" w14:textId="77777777" w:rsidR="00944569" w:rsidRPr="00F326F1" w:rsidRDefault="00944569" w:rsidP="00944569">
            <w:pPr>
              <w:pStyle w:val="5TextocomnIIGG"/>
              <w:spacing w:after="120"/>
              <w:rPr>
                <w:sz w:val="22"/>
                <w:szCs w:val="22"/>
              </w:rPr>
            </w:pPr>
            <w:r w:rsidRPr="00F326F1">
              <w:rPr>
                <w:sz w:val="22"/>
                <w:szCs w:val="22"/>
              </w:rPr>
              <w:t>Mar Chiquita</w:t>
            </w:r>
          </w:p>
        </w:tc>
        <w:tc>
          <w:tcPr>
            <w:tcW w:w="1119" w:type="dxa"/>
            <w:tcBorders>
              <w:top w:val="single" w:sz="4" w:space="0" w:color="auto"/>
              <w:left w:val="single" w:sz="4" w:space="0" w:color="auto"/>
              <w:bottom w:val="single" w:sz="4" w:space="0" w:color="auto"/>
              <w:right w:val="single" w:sz="4" w:space="0" w:color="auto"/>
            </w:tcBorders>
            <w:vAlign w:val="bottom"/>
          </w:tcPr>
          <w:p w14:paraId="5ECE37FF" w14:textId="181401C0" w:rsidR="00944569" w:rsidRPr="00F326F1" w:rsidRDefault="00944569" w:rsidP="00944569">
            <w:pPr>
              <w:pStyle w:val="5TextocomnIIGG"/>
              <w:spacing w:after="120"/>
              <w:jc w:val="right"/>
              <w:rPr>
                <w:sz w:val="22"/>
                <w:szCs w:val="22"/>
              </w:rPr>
            </w:pPr>
            <w:r w:rsidRPr="00944569">
              <w:rPr>
                <w:sz w:val="22"/>
                <w:szCs w:val="22"/>
              </w:rPr>
              <w:t>21.279</w:t>
            </w:r>
          </w:p>
        </w:tc>
        <w:tc>
          <w:tcPr>
            <w:tcW w:w="1269" w:type="dxa"/>
            <w:tcBorders>
              <w:top w:val="single" w:sz="4" w:space="0" w:color="auto"/>
              <w:left w:val="single" w:sz="4" w:space="0" w:color="auto"/>
              <w:bottom w:val="single" w:sz="4" w:space="0" w:color="auto"/>
              <w:right w:val="single" w:sz="4" w:space="0" w:color="auto"/>
            </w:tcBorders>
            <w:vAlign w:val="bottom"/>
          </w:tcPr>
          <w:p w14:paraId="284709FB" w14:textId="5293DE2B" w:rsidR="00944569" w:rsidRPr="00F326F1" w:rsidRDefault="00944569" w:rsidP="00944569">
            <w:pPr>
              <w:pStyle w:val="5TextocomnIIGG"/>
              <w:spacing w:after="120"/>
              <w:jc w:val="right"/>
              <w:rPr>
                <w:sz w:val="22"/>
                <w:szCs w:val="22"/>
              </w:rPr>
            </w:pPr>
            <w:r w:rsidRPr="00944569">
              <w:rPr>
                <w:sz w:val="22"/>
                <w:szCs w:val="22"/>
              </w:rPr>
              <w:t>14.266</w:t>
            </w:r>
          </w:p>
        </w:tc>
        <w:tc>
          <w:tcPr>
            <w:tcW w:w="823" w:type="dxa"/>
            <w:tcBorders>
              <w:top w:val="single" w:sz="4" w:space="0" w:color="auto"/>
              <w:left w:val="single" w:sz="4" w:space="0" w:color="auto"/>
              <w:bottom w:val="single" w:sz="4" w:space="0" w:color="auto"/>
              <w:right w:val="single" w:sz="4" w:space="0" w:color="auto"/>
            </w:tcBorders>
            <w:vAlign w:val="bottom"/>
          </w:tcPr>
          <w:p w14:paraId="48569B94" w14:textId="0DBEF309" w:rsidR="00944569" w:rsidRPr="00F326F1" w:rsidRDefault="00944569" w:rsidP="00944569">
            <w:pPr>
              <w:pStyle w:val="5TextocomnIIGG"/>
              <w:spacing w:after="120"/>
              <w:jc w:val="right"/>
              <w:rPr>
                <w:sz w:val="22"/>
                <w:szCs w:val="22"/>
              </w:rPr>
            </w:pPr>
            <w:r w:rsidRPr="00944569">
              <w:rPr>
                <w:sz w:val="22"/>
                <w:szCs w:val="22"/>
              </w:rPr>
              <w:t>3.840</w:t>
            </w:r>
          </w:p>
        </w:tc>
        <w:tc>
          <w:tcPr>
            <w:tcW w:w="592" w:type="dxa"/>
            <w:tcBorders>
              <w:top w:val="single" w:sz="4" w:space="0" w:color="auto"/>
              <w:left w:val="single" w:sz="4" w:space="0" w:color="auto"/>
              <w:bottom w:val="single" w:sz="4" w:space="0" w:color="auto"/>
              <w:right w:val="single" w:sz="4" w:space="0" w:color="auto"/>
            </w:tcBorders>
            <w:vAlign w:val="bottom"/>
          </w:tcPr>
          <w:p w14:paraId="3D9B5BDA" w14:textId="717E6AD2" w:rsidR="00944569" w:rsidRPr="00F326F1" w:rsidRDefault="00944569" w:rsidP="00944569">
            <w:pPr>
              <w:pStyle w:val="5TextocomnIIGG"/>
              <w:spacing w:after="120"/>
              <w:jc w:val="right"/>
              <w:rPr>
                <w:sz w:val="22"/>
                <w:szCs w:val="22"/>
              </w:rPr>
            </w:pPr>
            <w:r w:rsidRPr="00944569">
              <w:rPr>
                <w:sz w:val="22"/>
                <w:szCs w:val="22"/>
              </w:rPr>
              <w:t>26,9</w:t>
            </w:r>
          </w:p>
        </w:tc>
        <w:tc>
          <w:tcPr>
            <w:tcW w:w="1119" w:type="dxa"/>
            <w:tcBorders>
              <w:top w:val="single" w:sz="4" w:space="0" w:color="auto"/>
              <w:left w:val="single" w:sz="4" w:space="0" w:color="auto"/>
              <w:bottom w:val="single" w:sz="4" w:space="0" w:color="auto"/>
              <w:right w:val="single" w:sz="4" w:space="0" w:color="auto"/>
            </w:tcBorders>
            <w:vAlign w:val="bottom"/>
          </w:tcPr>
          <w:p w14:paraId="0C1F80EE" w14:textId="2057BFB6" w:rsidR="00944569" w:rsidRPr="00F326F1" w:rsidRDefault="00944569" w:rsidP="00944569">
            <w:pPr>
              <w:pStyle w:val="5TextocomnIIGG"/>
              <w:spacing w:after="120"/>
              <w:jc w:val="right"/>
              <w:rPr>
                <w:sz w:val="22"/>
                <w:szCs w:val="22"/>
              </w:rPr>
            </w:pPr>
            <w:r w:rsidRPr="00944569">
              <w:rPr>
                <w:sz w:val="22"/>
                <w:szCs w:val="22"/>
              </w:rPr>
              <w:t>33.110</w:t>
            </w:r>
          </w:p>
        </w:tc>
        <w:tc>
          <w:tcPr>
            <w:tcW w:w="1243" w:type="dxa"/>
            <w:tcBorders>
              <w:top w:val="single" w:sz="4" w:space="0" w:color="auto"/>
              <w:left w:val="single" w:sz="4" w:space="0" w:color="auto"/>
              <w:bottom w:val="single" w:sz="4" w:space="0" w:color="auto"/>
              <w:right w:val="single" w:sz="4" w:space="0" w:color="auto"/>
            </w:tcBorders>
            <w:vAlign w:val="bottom"/>
          </w:tcPr>
          <w:p w14:paraId="2FA1EFEC" w14:textId="61625D57" w:rsidR="00944569" w:rsidRPr="00F326F1" w:rsidRDefault="00944569" w:rsidP="00944569">
            <w:pPr>
              <w:pStyle w:val="5TextocomnIIGG"/>
              <w:spacing w:after="120"/>
              <w:jc w:val="right"/>
              <w:rPr>
                <w:sz w:val="22"/>
                <w:szCs w:val="22"/>
              </w:rPr>
            </w:pPr>
            <w:r w:rsidRPr="00944569">
              <w:rPr>
                <w:sz w:val="22"/>
                <w:szCs w:val="22"/>
              </w:rPr>
              <w:t>20.932</w:t>
            </w:r>
          </w:p>
        </w:tc>
        <w:tc>
          <w:tcPr>
            <w:tcW w:w="1045" w:type="dxa"/>
            <w:tcBorders>
              <w:top w:val="single" w:sz="4" w:space="0" w:color="auto"/>
              <w:left w:val="single" w:sz="4" w:space="0" w:color="auto"/>
              <w:bottom w:val="single" w:sz="4" w:space="0" w:color="auto"/>
              <w:right w:val="single" w:sz="4" w:space="0" w:color="auto"/>
            </w:tcBorders>
            <w:vAlign w:val="bottom"/>
          </w:tcPr>
          <w:p w14:paraId="727DF2D2" w14:textId="15A3C39A" w:rsidR="00944569" w:rsidRPr="00F326F1" w:rsidRDefault="00944569" w:rsidP="00944569">
            <w:pPr>
              <w:pStyle w:val="5TextocomnIIGG"/>
              <w:spacing w:after="120"/>
              <w:jc w:val="right"/>
              <w:rPr>
                <w:sz w:val="22"/>
                <w:szCs w:val="22"/>
              </w:rPr>
            </w:pPr>
            <w:r w:rsidRPr="00944569">
              <w:rPr>
                <w:sz w:val="22"/>
                <w:szCs w:val="22"/>
              </w:rPr>
              <w:t>5.818</w:t>
            </w:r>
          </w:p>
        </w:tc>
        <w:tc>
          <w:tcPr>
            <w:tcW w:w="592" w:type="dxa"/>
            <w:tcBorders>
              <w:top w:val="single" w:sz="4" w:space="0" w:color="auto"/>
              <w:left w:val="single" w:sz="4" w:space="0" w:color="auto"/>
              <w:bottom w:val="single" w:sz="4" w:space="0" w:color="auto"/>
              <w:right w:val="single" w:sz="4" w:space="0" w:color="auto"/>
            </w:tcBorders>
            <w:vAlign w:val="bottom"/>
          </w:tcPr>
          <w:p w14:paraId="64D94412" w14:textId="46939B20" w:rsidR="00944569" w:rsidRPr="00F326F1" w:rsidRDefault="00944569" w:rsidP="00944569">
            <w:pPr>
              <w:pStyle w:val="5TextocomnIIGG"/>
              <w:spacing w:after="120"/>
              <w:jc w:val="right"/>
              <w:rPr>
                <w:sz w:val="22"/>
                <w:szCs w:val="22"/>
              </w:rPr>
            </w:pPr>
            <w:r w:rsidRPr="00944569">
              <w:rPr>
                <w:sz w:val="22"/>
                <w:szCs w:val="22"/>
              </w:rPr>
              <w:t>27,8</w:t>
            </w:r>
          </w:p>
        </w:tc>
      </w:tr>
      <w:tr w:rsidR="00944569" w:rsidRPr="00C540A0" w14:paraId="076F6428" w14:textId="77777777" w:rsidTr="00944569">
        <w:trPr>
          <w:jc w:val="center"/>
        </w:trPr>
        <w:tc>
          <w:tcPr>
            <w:tcW w:w="1258" w:type="dxa"/>
          </w:tcPr>
          <w:p w14:paraId="1092D811" w14:textId="77777777" w:rsidR="00944569" w:rsidRPr="00F326F1" w:rsidRDefault="00944569" w:rsidP="00944569">
            <w:pPr>
              <w:pStyle w:val="5TextocomnIIGG"/>
              <w:spacing w:after="120"/>
              <w:rPr>
                <w:sz w:val="22"/>
                <w:szCs w:val="22"/>
              </w:rPr>
            </w:pPr>
            <w:r w:rsidRPr="00F326F1">
              <w:rPr>
                <w:sz w:val="22"/>
                <w:szCs w:val="22"/>
              </w:rPr>
              <w:t>Necochea</w:t>
            </w:r>
          </w:p>
        </w:tc>
        <w:tc>
          <w:tcPr>
            <w:tcW w:w="1119" w:type="dxa"/>
            <w:tcBorders>
              <w:top w:val="single" w:sz="4" w:space="0" w:color="auto"/>
              <w:left w:val="single" w:sz="4" w:space="0" w:color="auto"/>
              <w:bottom w:val="single" w:sz="4" w:space="0" w:color="auto"/>
              <w:right w:val="single" w:sz="4" w:space="0" w:color="auto"/>
            </w:tcBorders>
            <w:vAlign w:val="bottom"/>
          </w:tcPr>
          <w:p w14:paraId="6C77CFA0" w14:textId="19D4F03B" w:rsidR="00944569" w:rsidRPr="00F326F1" w:rsidRDefault="00944569" w:rsidP="00944569">
            <w:pPr>
              <w:pStyle w:val="5TextocomnIIGG"/>
              <w:spacing w:after="120"/>
              <w:jc w:val="right"/>
              <w:rPr>
                <w:sz w:val="22"/>
                <w:szCs w:val="22"/>
              </w:rPr>
            </w:pPr>
            <w:r w:rsidRPr="00944569">
              <w:rPr>
                <w:sz w:val="22"/>
                <w:szCs w:val="22"/>
              </w:rPr>
              <w:t>92.933</w:t>
            </w:r>
          </w:p>
        </w:tc>
        <w:tc>
          <w:tcPr>
            <w:tcW w:w="1269" w:type="dxa"/>
            <w:tcBorders>
              <w:top w:val="single" w:sz="4" w:space="0" w:color="auto"/>
              <w:left w:val="single" w:sz="4" w:space="0" w:color="auto"/>
              <w:bottom w:val="single" w:sz="4" w:space="0" w:color="auto"/>
              <w:right w:val="single" w:sz="4" w:space="0" w:color="auto"/>
            </w:tcBorders>
            <w:vAlign w:val="bottom"/>
          </w:tcPr>
          <w:p w14:paraId="4B6529F5" w14:textId="1910B751" w:rsidR="00944569" w:rsidRPr="00F326F1" w:rsidRDefault="00944569" w:rsidP="00944569">
            <w:pPr>
              <w:pStyle w:val="5TextocomnIIGG"/>
              <w:spacing w:after="120"/>
              <w:jc w:val="right"/>
              <w:rPr>
                <w:sz w:val="22"/>
                <w:szCs w:val="22"/>
              </w:rPr>
            </w:pPr>
            <w:r w:rsidRPr="00944569">
              <w:rPr>
                <w:sz w:val="22"/>
                <w:szCs w:val="22"/>
              </w:rPr>
              <w:t>41.778</w:t>
            </w:r>
          </w:p>
        </w:tc>
        <w:tc>
          <w:tcPr>
            <w:tcW w:w="823" w:type="dxa"/>
            <w:tcBorders>
              <w:top w:val="single" w:sz="4" w:space="0" w:color="auto"/>
              <w:left w:val="single" w:sz="4" w:space="0" w:color="auto"/>
              <w:bottom w:val="single" w:sz="4" w:space="0" w:color="auto"/>
              <w:right w:val="single" w:sz="4" w:space="0" w:color="auto"/>
            </w:tcBorders>
            <w:vAlign w:val="bottom"/>
          </w:tcPr>
          <w:p w14:paraId="03076729" w14:textId="31555486" w:rsidR="00944569" w:rsidRPr="00F326F1" w:rsidRDefault="00944569" w:rsidP="00944569">
            <w:pPr>
              <w:pStyle w:val="5TextocomnIIGG"/>
              <w:spacing w:after="120"/>
              <w:jc w:val="right"/>
              <w:rPr>
                <w:sz w:val="22"/>
                <w:szCs w:val="22"/>
              </w:rPr>
            </w:pPr>
            <w:r w:rsidRPr="00944569">
              <w:rPr>
                <w:sz w:val="22"/>
                <w:szCs w:val="22"/>
              </w:rPr>
              <w:t>4.685</w:t>
            </w:r>
          </w:p>
        </w:tc>
        <w:tc>
          <w:tcPr>
            <w:tcW w:w="592" w:type="dxa"/>
            <w:tcBorders>
              <w:top w:val="single" w:sz="4" w:space="0" w:color="auto"/>
              <w:left w:val="single" w:sz="4" w:space="0" w:color="auto"/>
              <w:bottom w:val="single" w:sz="4" w:space="0" w:color="auto"/>
              <w:right w:val="single" w:sz="4" w:space="0" w:color="auto"/>
            </w:tcBorders>
            <w:vAlign w:val="bottom"/>
          </w:tcPr>
          <w:p w14:paraId="4E0D4A7D" w14:textId="31987811" w:rsidR="00944569" w:rsidRPr="00F326F1" w:rsidRDefault="00944569" w:rsidP="00944569">
            <w:pPr>
              <w:pStyle w:val="5TextocomnIIGG"/>
              <w:spacing w:after="120"/>
              <w:jc w:val="right"/>
              <w:rPr>
                <w:sz w:val="22"/>
                <w:szCs w:val="22"/>
              </w:rPr>
            </w:pPr>
            <w:r w:rsidRPr="00944569">
              <w:rPr>
                <w:sz w:val="22"/>
                <w:szCs w:val="22"/>
              </w:rPr>
              <w:t>11,2</w:t>
            </w:r>
          </w:p>
        </w:tc>
        <w:tc>
          <w:tcPr>
            <w:tcW w:w="1119" w:type="dxa"/>
            <w:tcBorders>
              <w:top w:val="single" w:sz="4" w:space="0" w:color="auto"/>
              <w:left w:val="single" w:sz="4" w:space="0" w:color="auto"/>
              <w:bottom w:val="single" w:sz="4" w:space="0" w:color="auto"/>
              <w:right w:val="single" w:sz="4" w:space="0" w:color="auto"/>
            </w:tcBorders>
            <w:vAlign w:val="bottom"/>
          </w:tcPr>
          <w:p w14:paraId="6EEF78E6" w14:textId="27B2EC99" w:rsidR="00944569" w:rsidRPr="00F326F1" w:rsidRDefault="00944569" w:rsidP="00944569">
            <w:pPr>
              <w:pStyle w:val="5TextocomnIIGG"/>
              <w:spacing w:after="120"/>
              <w:jc w:val="right"/>
              <w:rPr>
                <w:sz w:val="22"/>
                <w:szCs w:val="22"/>
              </w:rPr>
            </w:pPr>
            <w:r w:rsidRPr="00944569">
              <w:rPr>
                <w:sz w:val="22"/>
                <w:szCs w:val="22"/>
              </w:rPr>
              <w:t>102.110</w:t>
            </w:r>
          </w:p>
        </w:tc>
        <w:tc>
          <w:tcPr>
            <w:tcW w:w="1243" w:type="dxa"/>
            <w:tcBorders>
              <w:top w:val="single" w:sz="4" w:space="0" w:color="auto"/>
              <w:left w:val="single" w:sz="4" w:space="0" w:color="auto"/>
              <w:bottom w:val="single" w:sz="4" w:space="0" w:color="auto"/>
              <w:right w:val="single" w:sz="4" w:space="0" w:color="auto"/>
            </w:tcBorders>
            <w:vAlign w:val="bottom"/>
          </w:tcPr>
          <w:p w14:paraId="73FDF814" w14:textId="162B787C" w:rsidR="00944569" w:rsidRPr="00F326F1" w:rsidRDefault="00944569" w:rsidP="00944569">
            <w:pPr>
              <w:pStyle w:val="5TextocomnIIGG"/>
              <w:spacing w:after="120"/>
              <w:jc w:val="right"/>
              <w:rPr>
                <w:sz w:val="22"/>
                <w:szCs w:val="22"/>
              </w:rPr>
            </w:pPr>
            <w:r w:rsidRPr="00944569">
              <w:rPr>
                <w:sz w:val="22"/>
                <w:szCs w:val="22"/>
              </w:rPr>
              <w:t>49.150</w:t>
            </w:r>
          </w:p>
        </w:tc>
        <w:tc>
          <w:tcPr>
            <w:tcW w:w="1045" w:type="dxa"/>
            <w:tcBorders>
              <w:top w:val="single" w:sz="4" w:space="0" w:color="auto"/>
              <w:left w:val="single" w:sz="4" w:space="0" w:color="auto"/>
              <w:bottom w:val="single" w:sz="4" w:space="0" w:color="auto"/>
              <w:right w:val="single" w:sz="4" w:space="0" w:color="auto"/>
            </w:tcBorders>
            <w:vAlign w:val="bottom"/>
          </w:tcPr>
          <w:p w14:paraId="71230016" w14:textId="1CB9EACA" w:rsidR="00944569" w:rsidRPr="00F326F1" w:rsidRDefault="00944569" w:rsidP="00944569">
            <w:pPr>
              <w:pStyle w:val="5TextocomnIIGG"/>
              <w:spacing w:after="120"/>
              <w:jc w:val="right"/>
              <w:rPr>
                <w:sz w:val="22"/>
                <w:szCs w:val="22"/>
              </w:rPr>
            </w:pPr>
            <w:r w:rsidRPr="00944569">
              <w:rPr>
                <w:sz w:val="22"/>
                <w:szCs w:val="22"/>
              </w:rPr>
              <w:t>4.453</w:t>
            </w:r>
          </w:p>
        </w:tc>
        <w:tc>
          <w:tcPr>
            <w:tcW w:w="592" w:type="dxa"/>
            <w:tcBorders>
              <w:top w:val="single" w:sz="4" w:space="0" w:color="auto"/>
              <w:left w:val="single" w:sz="4" w:space="0" w:color="auto"/>
              <w:bottom w:val="single" w:sz="4" w:space="0" w:color="auto"/>
              <w:right w:val="single" w:sz="4" w:space="0" w:color="auto"/>
            </w:tcBorders>
            <w:vAlign w:val="bottom"/>
          </w:tcPr>
          <w:p w14:paraId="66C750B0" w14:textId="237114A3" w:rsidR="00944569" w:rsidRPr="00F326F1" w:rsidRDefault="00944569" w:rsidP="00944569">
            <w:pPr>
              <w:pStyle w:val="5TextocomnIIGG"/>
              <w:spacing w:after="120"/>
              <w:jc w:val="right"/>
              <w:rPr>
                <w:sz w:val="22"/>
                <w:szCs w:val="22"/>
              </w:rPr>
            </w:pPr>
            <w:r w:rsidRPr="00944569">
              <w:rPr>
                <w:sz w:val="22"/>
                <w:szCs w:val="22"/>
              </w:rPr>
              <w:t>9,1</w:t>
            </w:r>
          </w:p>
        </w:tc>
      </w:tr>
      <w:tr w:rsidR="00944569" w:rsidRPr="00C540A0" w14:paraId="0212D4A0" w14:textId="77777777" w:rsidTr="00944569">
        <w:trPr>
          <w:jc w:val="center"/>
        </w:trPr>
        <w:tc>
          <w:tcPr>
            <w:tcW w:w="1258" w:type="dxa"/>
          </w:tcPr>
          <w:p w14:paraId="5761FB71" w14:textId="77777777" w:rsidR="00944569" w:rsidRPr="00F326F1" w:rsidRDefault="00944569" w:rsidP="00944569">
            <w:pPr>
              <w:pStyle w:val="5TextocomnIIGG"/>
              <w:spacing w:after="120"/>
              <w:rPr>
                <w:sz w:val="22"/>
                <w:szCs w:val="22"/>
              </w:rPr>
            </w:pPr>
            <w:r w:rsidRPr="00F326F1">
              <w:rPr>
                <w:sz w:val="22"/>
                <w:szCs w:val="22"/>
              </w:rPr>
              <w:t>Pinamar</w:t>
            </w:r>
          </w:p>
        </w:tc>
        <w:tc>
          <w:tcPr>
            <w:tcW w:w="1119" w:type="dxa"/>
            <w:tcBorders>
              <w:top w:val="single" w:sz="4" w:space="0" w:color="auto"/>
              <w:left w:val="single" w:sz="4" w:space="0" w:color="auto"/>
              <w:bottom w:val="single" w:sz="4" w:space="0" w:color="auto"/>
              <w:right w:val="single" w:sz="4" w:space="0" w:color="auto"/>
            </w:tcBorders>
            <w:vAlign w:val="bottom"/>
          </w:tcPr>
          <w:p w14:paraId="64F7FEA2" w14:textId="4142E06B" w:rsidR="00944569" w:rsidRPr="00F326F1" w:rsidRDefault="00944569" w:rsidP="00944569">
            <w:pPr>
              <w:pStyle w:val="5TextocomnIIGG"/>
              <w:spacing w:after="120"/>
              <w:jc w:val="right"/>
              <w:rPr>
                <w:sz w:val="22"/>
                <w:szCs w:val="22"/>
              </w:rPr>
            </w:pPr>
            <w:r w:rsidRPr="00944569">
              <w:rPr>
                <w:sz w:val="22"/>
                <w:szCs w:val="22"/>
              </w:rPr>
              <w:t>25.728</w:t>
            </w:r>
          </w:p>
        </w:tc>
        <w:tc>
          <w:tcPr>
            <w:tcW w:w="1269" w:type="dxa"/>
            <w:tcBorders>
              <w:top w:val="single" w:sz="4" w:space="0" w:color="auto"/>
              <w:left w:val="single" w:sz="4" w:space="0" w:color="auto"/>
              <w:bottom w:val="single" w:sz="4" w:space="0" w:color="auto"/>
              <w:right w:val="single" w:sz="4" w:space="0" w:color="auto"/>
            </w:tcBorders>
            <w:vAlign w:val="bottom"/>
          </w:tcPr>
          <w:p w14:paraId="18F06BDD" w14:textId="3DA84436" w:rsidR="00944569" w:rsidRPr="00F326F1" w:rsidRDefault="00944569" w:rsidP="00944569">
            <w:pPr>
              <w:pStyle w:val="5TextocomnIIGG"/>
              <w:spacing w:after="120"/>
              <w:jc w:val="right"/>
              <w:rPr>
                <w:sz w:val="22"/>
                <w:szCs w:val="22"/>
              </w:rPr>
            </w:pPr>
            <w:r w:rsidRPr="00944569">
              <w:rPr>
                <w:sz w:val="22"/>
                <w:szCs w:val="22"/>
              </w:rPr>
              <w:t>24.369</w:t>
            </w:r>
          </w:p>
        </w:tc>
        <w:tc>
          <w:tcPr>
            <w:tcW w:w="823" w:type="dxa"/>
            <w:tcBorders>
              <w:top w:val="single" w:sz="4" w:space="0" w:color="auto"/>
              <w:left w:val="single" w:sz="4" w:space="0" w:color="auto"/>
              <w:bottom w:val="single" w:sz="4" w:space="0" w:color="auto"/>
              <w:right w:val="single" w:sz="4" w:space="0" w:color="auto"/>
            </w:tcBorders>
            <w:vAlign w:val="bottom"/>
          </w:tcPr>
          <w:p w14:paraId="5A66BD0C" w14:textId="7B4D8F33" w:rsidR="00944569" w:rsidRPr="00F326F1" w:rsidRDefault="00944569" w:rsidP="00944569">
            <w:pPr>
              <w:pStyle w:val="5TextocomnIIGG"/>
              <w:spacing w:after="120"/>
              <w:jc w:val="right"/>
              <w:rPr>
                <w:sz w:val="22"/>
                <w:szCs w:val="22"/>
              </w:rPr>
            </w:pPr>
            <w:r w:rsidRPr="00944569">
              <w:rPr>
                <w:sz w:val="22"/>
                <w:szCs w:val="22"/>
              </w:rPr>
              <w:t>10.162</w:t>
            </w:r>
          </w:p>
        </w:tc>
        <w:tc>
          <w:tcPr>
            <w:tcW w:w="592" w:type="dxa"/>
            <w:tcBorders>
              <w:top w:val="single" w:sz="4" w:space="0" w:color="auto"/>
              <w:left w:val="single" w:sz="4" w:space="0" w:color="auto"/>
              <w:bottom w:val="single" w:sz="4" w:space="0" w:color="auto"/>
              <w:right w:val="single" w:sz="4" w:space="0" w:color="auto"/>
            </w:tcBorders>
            <w:vAlign w:val="bottom"/>
          </w:tcPr>
          <w:p w14:paraId="326F654E" w14:textId="697B9195" w:rsidR="00944569" w:rsidRPr="00F326F1" w:rsidRDefault="00944569" w:rsidP="00944569">
            <w:pPr>
              <w:pStyle w:val="5TextocomnIIGG"/>
              <w:spacing w:after="120"/>
              <w:jc w:val="right"/>
              <w:rPr>
                <w:sz w:val="22"/>
                <w:szCs w:val="22"/>
              </w:rPr>
            </w:pPr>
            <w:r w:rsidRPr="00944569">
              <w:rPr>
                <w:sz w:val="22"/>
                <w:szCs w:val="22"/>
              </w:rPr>
              <w:t>41,7</w:t>
            </w:r>
          </w:p>
        </w:tc>
        <w:tc>
          <w:tcPr>
            <w:tcW w:w="1119" w:type="dxa"/>
            <w:tcBorders>
              <w:top w:val="single" w:sz="4" w:space="0" w:color="auto"/>
              <w:left w:val="single" w:sz="4" w:space="0" w:color="auto"/>
              <w:bottom w:val="single" w:sz="4" w:space="0" w:color="auto"/>
              <w:right w:val="single" w:sz="4" w:space="0" w:color="auto"/>
            </w:tcBorders>
            <w:vAlign w:val="bottom"/>
          </w:tcPr>
          <w:p w14:paraId="768E230C" w14:textId="44316F1B" w:rsidR="00944569" w:rsidRPr="00F326F1" w:rsidRDefault="00944569" w:rsidP="00944569">
            <w:pPr>
              <w:pStyle w:val="5TextocomnIIGG"/>
              <w:spacing w:after="120"/>
              <w:jc w:val="right"/>
              <w:rPr>
                <w:sz w:val="22"/>
                <w:szCs w:val="22"/>
              </w:rPr>
            </w:pPr>
            <w:r w:rsidRPr="00944569">
              <w:rPr>
                <w:sz w:val="22"/>
                <w:szCs w:val="22"/>
              </w:rPr>
              <w:t>39.449</w:t>
            </w:r>
          </w:p>
        </w:tc>
        <w:tc>
          <w:tcPr>
            <w:tcW w:w="1243" w:type="dxa"/>
            <w:tcBorders>
              <w:top w:val="single" w:sz="4" w:space="0" w:color="auto"/>
              <w:left w:val="single" w:sz="4" w:space="0" w:color="auto"/>
              <w:bottom w:val="single" w:sz="4" w:space="0" w:color="auto"/>
              <w:right w:val="single" w:sz="4" w:space="0" w:color="auto"/>
            </w:tcBorders>
            <w:vAlign w:val="bottom"/>
          </w:tcPr>
          <w:p w14:paraId="45E368AA" w14:textId="378039FF" w:rsidR="00944569" w:rsidRPr="00F326F1" w:rsidRDefault="00944569" w:rsidP="00944569">
            <w:pPr>
              <w:pStyle w:val="5TextocomnIIGG"/>
              <w:spacing w:after="120"/>
              <w:jc w:val="right"/>
              <w:rPr>
                <w:sz w:val="22"/>
                <w:szCs w:val="22"/>
              </w:rPr>
            </w:pPr>
            <w:r w:rsidRPr="00944569">
              <w:rPr>
                <w:sz w:val="22"/>
                <w:szCs w:val="22"/>
              </w:rPr>
              <w:t>30.563</w:t>
            </w:r>
          </w:p>
        </w:tc>
        <w:tc>
          <w:tcPr>
            <w:tcW w:w="1045" w:type="dxa"/>
            <w:tcBorders>
              <w:top w:val="single" w:sz="4" w:space="0" w:color="auto"/>
              <w:left w:val="single" w:sz="4" w:space="0" w:color="auto"/>
              <w:bottom w:val="single" w:sz="4" w:space="0" w:color="auto"/>
              <w:right w:val="single" w:sz="4" w:space="0" w:color="auto"/>
            </w:tcBorders>
            <w:vAlign w:val="bottom"/>
          </w:tcPr>
          <w:p w14:paraId="40330B6A" w14:textId="4D3DC7A6" w:rsidR="00944569" w:rsidRPr="00F326F1" w:rsidRDefault="00944569" w:rsidP="00944569">
            <w:pPr>
              <w:pStyle w:val="5TextocomnIIGG"/>
              <w:spacing w:after="120"/>
              <w:jc w:val="right"/>
              <w:rPr>
                <w:sz w:val="22"/>
                <w:szCs w:val="22"/>
              </w:rPr>
            </w:pPr>
            <w:r w:rsidRPr="00944569">
              <w:rPr>
                <w:sz w:val="22"/>
                <w:szCs w:val="22"/>
              </w:rPr>
              <w:t>13.595</w:t>
            </w:r>
          </w:p>
        </w:tc>
        <w:tc>
          <w:tcPr>
            <w:tcW w:w="592" w:type="dxa"/>
            <w:tcBorders>
              <w:top w:val="single" w:sz="4" w:space="0" w:color="auto"/>
              <w:left w:val="single" w:sz="4" w:space="0" w:color="auto"/>
              <w:bottom w:val="single" w:sz="4" w:space="0" w:color="auto"/>
              <w:right w:val="single" w:sz="4" w:space="0" w:color="auto"/>
            </w:tcBorders>
            <w:vAlign w:val="bottom"/>
          </w:tcPr>
          <w:p w14:paraId="0149AA31" w14:textId="5621073E" w:rsidR="00944569" w:rsidRPr="00F326F1" w:rsidRDefault="00944569" w:rsidP="00944569">
            <w:pPr>
              <w:pStyle w:val="5TextocomnIIGG"/>
              <w:spacing w:after="120"/>
              <w:jc w:val="right"/>
              <w:rPr>
                <w:sz w:val="22"/>
                <w:szCs w:val="22"/>
              </w:rPr>
            </w:pPr>
            <w:r w:rsidRPr="00944569">
              <w:rPr>
                <w:sz w:val="22"/>
                <w:szCs w:val="22"/>
              </w:rPr>
              <w:t>44,5</w:t>
            </w:r>
          </w:p>
        </w:tc>
      </w:tr>
      <w:tr w:rsidR="00944569" w:rsidRPr="00C540A0" w14:paraId="2B2AB5FB" w14:textId="77777777" w:rsidTr="00944569">
        <w:trPr>
          <w:jc w:val="center"/>
        </w:trPr>
        <w:tc>
          <w:tcPr>
            <w:tcW w:w="1258" w:type="dxa"/>
          </w:tcPr>
          <w:p w14:paraId="2773A1CB" w14:textId="77777777" w:rsidR="00944569" w:rsidRPr="00F326F1" w:rsidRDefault="00944569" w:rsidP="00944569">
            <w:pPr>
              <w:pStyle w:val="5TextocomnIIGG"/>
              <w:spacing w:after="120"/>
              <w:rPr>
                <w:sz w:val="22"/>
                <w:szCs w:val="22"/>
              </w:rPr>
            </w:pPr>
            <w:r w:rsidRPr="00F326F1">
              <w:rPr>
                <w:sz w:val="22"/>
                <w:szCs w:val="22"/>
              </w:rPr>
              <w:t>San Cayetano</w:t>
            </w:r>
          </w:p>
        </w:tc>
        <w:tc>
          <w:tcPr>
            <w:tcW w:w="1119" w:type="dxa"/>
            <w:tcBorders>
              <w:top w:val="single" w:sz="4" w:space="0" w:color="auto"/>
              <w:left w:val="single" w:sz="4" w:space="0" w:color="auto"/>
              <w:bottom w:val="single" w:sz="4" w:space="0" w:color="auto"/>
              <w:right w:val="single" w:sz="4" w:space="0" w:color="auto"/>
            </w:tcBorders>
            <w:vAlign w:val="bottom"/>
          </w:tcPr>
          <w:p w14:paraId="1A12B968" w14:textId="448CFD49" w:rsidR="00944569" w:rsidRPr="00F326F1" w:rsidRDefault="00944569" w:rsidP="00944569">
            <w:pPr>
              <w:pStyle w:val="5TextocomnIIGG"/>
              <w:spacing w:after="120"/>
              <w:jc w:val="right"/>
              <w:rPr>
                <w:sz w:val="22"/>
                <w:szCs w:val="22"/>
              </w:rPr>
            </w:pPr>
            <w:r w:rsidRPr="00944569">
              <w:rPr>
                <w:sz w:val="22"/>
                <w:szCs w:val="22"/>
              </w:rPr>
              <w:t>8.399</w:t>
            </w:r>
          </w:p>
        </w:tc>
        <w:tc>
          <w:tcPr>
            <w:tcW w:w="1269" w:type="dxa"/>
            <w:tcBorders>
              <w:top w:val="single" w:sz="4" w:space="0" w:color="auto"/>
              <w:left w:val="single" w:sz="4" w:space="0" w:color="auto"/>
              <w:bottom w:val="single" w:sz="4" w:space="0" w:color="auto"/>
              <w:right w:val="single" w:sz="4" w:space="0" w:color="auto"/>
            </w:tcBorders>
            <w:vAlign w:val="bottom"/>
          </w:tcPr>
          <w:p w14:paraId="5B5F8F01" w14:textId="6FDDB288" w:rsidR="00944569" w:rsidRPr="00F326F1" w:rsidRDefault="00944569" w:rsidP="00944569">
            <w:pPr>
              <w:pStyle w:val="5TextocomnIIGG"/>
              <w:spacing w:after="120"/>
              <w:jc w:val="right"/>
              <w:rPr>
                <w:sz w:val="22"/>
                <w:szCs w:val="22"/>
              </w:rPr>
            </w:pPr>
            <w:r w:rsidRPr="00944569">
              <w:rPr>
                <w:sz w:val="22"/>
                <w:szCs w:val="22"/>
              </w:rPr>
              <w:t>3.783</w:t>
            </w:r>
          </w:p>
        </w:tc>
        <w:tc>
          <w:tcPr>
            <w:tcW w:w="823" w:type="dxa"/>
            <w:tcBorders>
              <w:top w:val="single" w:sz="4" w:space="0" w:color="auto"/>
              <w:left w:val="single" w:sz="4" w:space="0" w:color="auto"/>
              <w:bottom w:val="single" w:sz="4" w:space="0" w:color="auto"/>
              <w:right w:val="single" w:sz="4" w:space="0" w:color="auto"/>
            </w:tcBorders>
            <w:vAlign w:val="bottom"/>
          </w:tcPr>
          <w:p w14:paraId="7BFDEEBE" w14:textId="27170385" w:rsidR="00944569" w:rsidRPr="00F326F1" w:rsidRDefault="00944569" w:rsidP="00944569">
            <w:pPr>
              <w:pStyle w:val="5TextocomnIIGG"/>
              <w:spacing w:after="120"/>
              <w:jc w:val="right"/>
              <w:rPr>
                <w:sz w:val="22"/>
                <w:szCs w:val="22"/>
              </w:rPr>
            </w:pPr>
            <w:r w:rsidRPr="00944569">
              <w:rPr>
                <w:sz w:val="22"/>
                <w:szCs w:val="22"/>
              </w:rPr>
              <w:t>187</w:t>
            </w:r>
          </w:p>
        </w:tc>
        <w:tc>
          <w:tcPr>
            <w:tcW w:w="592" w:type="dxa"/>
            <w:tcBorders>
              <w:top w:val="single" w:sz="4" w:space="0" w:color="auto"/>
              <w:left w:val="single" w:sz="4" w:space="0" w:color="auto"/>
              <w:bottom w:val="single" w:sz="4" w:space="0" w:color="auto"/>
              <w:right w:val="single" w:sz="4" w:space="0" w:color="auto"/>
            </w:tcBorders>
            <w:vAlign w:val="bottom"/>
          </w:tcPr>
          <w:p w14:paraId="57BCDB38" w14:textId="38EEBF63" w:rsidR="00944569" w:rsidRPr="00F326F1" w:rsidRDefault="00944569" w:rsidP="00944569">
            <w:pPr>
              <w:pStyle w:val="5TextocomnIIGG"/>
              <w:spacing w:after="120"/>
              <w:jc w:val="right"/>
              <w:rPr>
                <w:sz w:val="22"/>
                <w:szCs w:val="22"/>
              </w:rPr>
            </w:pPr>
            <w:r w:rsidRPr="00944569">
              <w:rPr>
                <w:sz w:val="22"/>
                <w:szCs w:val="22"/>
              </w:rPr>
              <w:t>4,9</w:t>
            </w:r>
          </w:p>
        </w:tc>
        <w:tc>
          <w:tcPr>
            <w:tcW w:w="1119" w:type="dxa"/>
            <w:tcBorders>
              <w:top w:val="single" w:sz="4" w:space="0" w:color="auto"/>
              <w:left w:val="single" w:sz="4" w:space="0" w:color="auto"/>
              <w:bottom w:val="single" w:sz="4" w:space="0" w:color="auto"/>
              <w:right w:val="single" w:sz="4" w:space="0" w:color="auto"/>
            </w:tcBorders>
            <w:vAlign w:val="bottom"/>
          </w:tcPr>
          <w:p w14:paraId="0332D847" w14:textId="4C1FAA7E" w:rsidR="00944569" w:rsidRPr="00F326F1" w:rsidRDefault="00944569" w:rsidP="00944569">
            <w:pPr>
              <w:pStyle w:val="5TextocomnIIGG"/>
              <w:spacing w:after="120"/>
              <w:jc w:val="right"/>
              <w:rPr>
                <w:sz w:val="22"/>
                <w:szCs w:val="22"/>
              </w:rPr>
            </w:pPr>
            <w:r w:rsidRPr="00944569">
              <w:rPr>
                <w:sz w:val="22"/>
                <w:szCs w:val="22"/>
              </w:rPr>
              <w:t>8.994</w:t>
            </w:r>
          </w:p>
        </w:tc>
        <w:tc>
          <w:tcPr>
            <w:tcW w:w="1243" w:type="dxa"/>
            <w:tcBorders>
              <w:top w:val="single" w:sz="4" w:space="0" w:color="auto"/>
              <w:left w:val="single" w:sz="4" w:space="0" w:color="auto"/>
              <w:bottom w:val="single" w:sz="4" w:space="0" w:color="auto"/>
              <w:right w:val="single" w:sz="4" w:space="0" w:color="auto"/>
            </w:tcBorders>
            <w:vAlign w:val="bottom"/>
          </w:tcPr>
          <w:p w14:paraId="509FC29B" w14:textId="75DC7CDC" w:rsidR="00944569" w:rsidRPr="00F326F1" w:rsidRDefault="00944569" w:rsidP="00944569">
            <w:pPr>
              <w:pStyle w:val="5TextocomnIIGG"/>
              <w:spacing w:after="120"/>
              <w:jc w:val="right"/>
              <w:rPr>
                <w:sz w:val="22"/>
                <w:szCs w:val="22"/>
              </w:rPr>
            </w:pPr>
            <w:r w:rsidRPr="00944569">
              <w:rPr>
                <w:sz w:val="22"/>
                <w:szCs w:val="22"/>
              </w:rPr>
              <w:t>4.635</w:t>
            </w:r>
          </w:p>
        </w:tc>
        <w:tc>
          <w:tcPr>
            <w:tcW w:w="1045" w:type="dxa"/>
            <w:tcBorders>
              <w:top w:val="single" w:sz="4" w:space="0" w:color="auto"/>
              <w:left w:val="single" w:sz="4" w:space="0" w:color="auto"/>
              <w:bottom w:val="single" w:sz="4" w:space="0" w:color="auto"/>
              <w:right w:val="single" w:sz="4" w:space="0" w:color="auto"/>
            </w:tcBorders>
            <w:vAlign w:val="bottom"/>
          </w:tcPr>
          <w:p w14:paraId="1BF99199" w14:textId="26AF0301" w:rsidR="00944569" w:rsidRPr="00F326F1" w:rsidRDefault="00944569" w:rsidP="00944569">
            <w:pPr>
              <w:pStyle w:val="5TextocomnIIGG"/>
              <w:spacing w:after="120"/>
              <w:jc w:val="right"/>
              <w:rPr>
                <w:sz w:val="22"/>
                <w:szCs w:val="22"/>
              </w:rPr>
            </w:pPr>
            <w:r w:rsidRPr="00944569">
              <w:rPr>
                <w:sz w:val="22"/>
                <w:szCs w:val="22"/>
              </w:rPr>
              <w:t>321</w:t>
            </w:r>
          </w:p>
        </w:tc>
        <w:tc>
          <w:tcPr>
            <w:tcW w:w="592" w:type="dxa"/>
            <w:tcBorders>
              <w:top w:val="single" w:sz="4" w:space="0" w:color="auto"/>
              <w:left w:val="single" w:sz="4" w:space="0" w:color="auto"/>
              <w:bottom w:val="single" w:sz="4" w:space="0" w:color="auto"/>
              <w:right w:val="single" w:sz="4" w:space="0" w:color="auto"/>
            </w:tcBorders>
            <w:vAlign w:val="bottom"/>
          </w:tcPr>
          <w:p w14:paraId="50536A88" w14:textId="2312F33D" w:rsidR="00944569" w:rsidRPr="00F326F1" w:rsidRDefault="00944569" w:rsidP="00944569">
            <w:pPr>
              <w:pStyle w:val="5TextocomnIIGG"/>
              <w:spacing w:after="120"/>
              <w:jc w:val="right"/>
              <w:rPr>
                <w:sz w:val="22"/>
                <w:szCs w:val="22"/>
              </w:rPr>
            </w:pPr>
            <w:r w:rsidRPr="00944569">
              <w:rPr>
                <w:sz w:val="22"/>
                <w:szCs w:val="22"/>
              </w:rPr>
              <w:t>6,9</w:t>
            </w:r>
          </w:p>
        </w:tc>
      </w:tr>
      <w:tr w:rsidR="00944569" w:rsidRPr="00C540A0" w14:paraId="29D5BD3D" w14:textId="77777777" w:rsidTr="00944569">
        <w:trPr>
          <w:jc w:val="center"/>
        </w:trPr>
        <w:tc>
          <w:tcPr>
            <w:tcW w:w="1258" w:type="dxa"/>
          </w:tcPr>
          <w:p w14:paraId="2094181B" w14:textId="77777777" w:rsidR="00944569" w:rsidRPr="00F326F1" w:rsidRDefault="00944569" w:rsidP="00944569">
            <w:pPr>
              <w:pStyle w:val="5TextocomnIIGG"/>
              <w:spacing w:after="120"/>
              <w:rPr>
                <w:sz w:val="22"/>
                <w:szCs w:val="22"/>
              </w:rPr>
            </w:pPr>
            <w:r w:rsidRPr="00F326F1">
              <w:rPr>
                <w:sz w:val="22"/>
                <w:szCs w:val="22"/>
              </w:rPr>
              <w:t>Tandil</w:t>
            </w:r>
          </w:p>
        </w:tc>
        <w:tc>
          <w:tcPr>
            <w:tcW w:w="1119" w:type="dxa"/>
            <w:tcBorders>
              <w:top w:val="single" w:sz="4" w:space="0" w:color="auto"/>
              <w:left w:val="single" w:sz="4" w:space="0" w:color="auto"/>
              <w:bottom w:val="single" w:sz="4" w:space="0" w:color="auto"/>
              <w:right w:val="single" w:sz="4" w:space="0" w:color="auto"/>
            </w:tcBorders>
            <w:vAlign w:val="bottom"/>
          </w:tcPr>
          <w:p w14:paraId="6C6D86F1" w14:textId="3A310A0A" w:rsidR="00944569" w:rsidRPr="00F326F1" w:rsidRDefault="00944569" w:rsidP="00944569">
            <w:pPr>
              <w:pStyle w:val="5TextocomnIIGG"/>
              <w:spacing w:after="120"/>
              <w:jc w:val="right"/>
              <w:rPr>
                <w:sz w:val="22"/>
                <w:szCs w:val="22"/>
              </w:rPr>
            </w:pPr>
            <w:r w:rsidRPr="00944569">
              <w:rPr>
                <w:sz w:val="22"/>
                <w:szCs w:val="22"/>
              </w:rPr>
              <w:t>123.871</w:t>
            </w:r>
          </w:p>
        </w:tc>
        <w:tc>
          <w:tcPr>
            <w:tcW w:w="1269" w:type="dxa"/>
            <w:tcBorders>
              <w:top w:val="single" w:sz="4" w:space="0" w:color="auto"/>
              <w:left w:val="single" w:sz="4" w:space="0" w:color="auto"/>
              <w:bottom w:val="single" w:sz="4" w:space="0" w:color="auto"/>
              <w:right w:val="single" w:sz="4" w:space="0" w:color="auto"/>
            </w:tcBorders>
            <w:vAlign w:val="bottom"/>
          </w:tcPr>
          <w:p w14:paraId="40DEC22A" w14:textId="065AE9A5" w:rsidR="00944569" w:rsidRPr="00F326F1" w:rsidRDefault="00944569" w:rsidP="00944569">
            <w:pPr>
              <w:pStyle w:val="5TextocomnIIGG"/>
              <w:spacing w:after="120"/>
              <w:jc w:val="right"/>
              <w:rPr>
                <w:sz w:val="22"/>
                <w:szCs w:val="22"/>
              </w:rPr>
            </w:pPr>
            <w:r w:rsidRPr="00944569">
              <w:rPr>
                <w:sz w:val="22"/>
                <w:szCs w:val="22"/>
              </w:rPr>
              <w:t>50.450</w:t>
            </w:r>
          </w:p>
        </w:tc>
        <w:tc>
          <w:tcPr>
            <w:tcW w:w="823" w:type="dxa"/>
            <w:tcBorders>
              <w:top w:val="single" w:sz="4" w:space="0" w:color="auto"/>
              <w:left w:val="single" w:sz="4" w:space="0" w:color="auto"/>
              <w:bottom w:val="single" w:sz="4" w:space="0" w:color="auto"/>
              <w:right w:val="single" w:sz="4" w:space="0" w:color="auto"/>
            </w:tcBorders>
            <w:vAlign w:val="bottom"/>
          </w:tcPr>
          <w:p w14:paraId="3CCB8D6A" w14:textId="68C20168" w:rsidR="00944569" w:rsidRPr="00F326F1" w:rsidRDefault="00944569" w:rsidP="00944569">
            <w:pPr>
              <w:pStyle w:val="5TextocomnIIGG"/>
              <w:spacing w:after="120"/>
              <w:jc w:val="right"/>
              <w:rPr>
                <w:sz w:val="22"/>
                <w:szCs w:val="22"/>
              </w:rPr>
            </w:pPr>
            <w:r w:rsidRPr="00944569">
              <w:rPr>
                <w:sz w:val="22"/>
                <w:szCs w:val="22"/>
              </w:rPr>
              <w:t>552</w:t>
            </w:r>
          </w:p>
        </w:tc>
        <w:tc>
          <w:tcPr>
            <w:tcW w:w="592" w:type="dxa"/>
            <w:tcBorders>
              <w:top w:val="single" w:sz="4" w:space="0" w:color="auto"/>
              <w:left w:val="single" w:sz="4" w:space="0" w:color="auto"/>
              <w:bottom w:val="single" w:sz="4" w:space="0" w:color="auto"/>
              <w:right w:val="single" w:sz="4" w:space="0" w:color="auto"/>
            </w:tcBorders>
            <w:vAlign w:val="bottom"/>
          </w:tcPr>
          <w:p w14:paraId="67FCF246" w14:textId="75BCE1E6" w:rsidR="00944569" w:rsidRPr="00F326F1" w:rsidRDefault="00944569" w:rsidP="00944569">
            <w:pPr>
              <w:pStyle w:val="5TextocomnIIGG"/>
              <w:spacing w:after="120"/>
              <w:jc w:val="right"/>
              <w:rPr>
                <w:sz w:val="22"/>
                <w:szCs w:val="22"/>
              </w:rPr>
            </w:pPr>
            <w:r w:rsidRPr="00944569">
              <w:rPr>
                <w:sz w:val="22"/>
                <w:szCs w:val="22"/>
              </w:rPr>
              <w:t>1,1</w:t>
            </w:r>
          </w:p>
        </w:tc>
        <w:tc>
          <w:tcPr>
            <w:tcW w:w="1119" w:type="dxa"/>
            <w:tcBorders>
              <w:top w:val="single" w:sz="4" w:space="0" w:color="auto"/>
              <w:left w:val="single" w:sz="4" w:space="0" w:color="auto"/>
              <w:bottom w:val="single" w:sz="4" w:space="0" w:color="auto"/>
              <w:right w:val="single" w:sz="4" w:space="0" w:color="auto"/>
            </w:tcBorders>
            <w:vAlign w:val="bottom"/>
          </w:tcPr>
          <w:p w14:paraId="6DE74E4E" w14:textId="290A35A4" w:rsidR="00944569" w:rsidRPr="00F326F1" w:rsidRDefault="00944569" w:rsidP="00944569">
            <w:pPr>
              <w:pStyle w:val="5TextocomnIIGG"/>
              <w:spacing w:after="120"/>
              <w:jc w:val="right"/>
              <w:rPr>
                <w:sz w:val="22"/>
                <w:szCs w:val="22"/>
              </w:rPr>
            </w:pPr>
            <w:r w:rsidRPr="00944569">
              <w:rPr>
                <w:sz w:val="22"/>
                <w:szCs w:val="22"/>
              </w:rPr>
              <w:t>145.575</w:t>
            </w:r>
          </w:p>
        </w:tc>
        <w:tc>
          <w:tcPr>
            <w:tcW w:w="1243" w:type="dxa"/>
            <w:tcBorders>
              <w:top w:val="single" w:sz="4" w:space="0" w:color="auto"/>
              <w:left w:val="single" w:sz="4" w:space="0" w:color="auto"/>
              <w:bottom w:val="single" w:sz="4" w:space="0" w:color="auto"/>
              <w:right w:val="single" w:sz="4" w:space="0" w:color="auto"/>
            </w:tcBorders>
            <w:vAlign w:val="bottom"/>
          </w:tcPr>
          <w:p w14:paraId="5DB3EF3C" w14:textId="07B89D30" w:rsidR="00944569" w:rsidRPr="00F326F1" w:rsidRDefault="00944569" w:rsidP="00944569">
            <w:pPr>
              <w:pStyle w:val="5TextocomnIIGG"/>
              <w:spacing w:after="120"/>
              <w:jc w:val="right"/>
              <w:rPr>
                <w:sz w:val="22"/>
                <w:szCs w:val="22"/>
              </w:rPr>
            </w:pPr>
            <w:r w:rsidRPr="00944569">
              <w:rPr>
                <w:sz w:val="22"/>
                <w:szCs w:val="22"/>
              </w:rPr>
              <w:t>64.951</w:t>
            </w:r>
          </w:p>
        </w:tc>
        <w:tc>
          <w:tcPr>
            <w:tcW w:w="1045" w:type="dxa"/>
            <w:tcBorders>
              <w:top w:val="single" w:sz="4" w:space="0" w:color="auto"/>
              <w:left w:val="single" w:sz="4" w:space="0" w:color="auto"/>
              <w:bottom w:val="single" w:sz="4" w:space="0" w:color="auto"/>
              <w:right w:val="single" w:sz="4" w:space="0" w:color="auto"/>
            </w:tcBorders>
            <w:vAlign w:val="bottom"/>
          </w:tcPr>
          <w:p w14:paraId="5AEDB606" w14:textId="5072EE4A" w:rsidR="00944569" w:rsidRPr="00F326F1" w:rsidRDefault="00944569" w:rsidP="00944569">
            <w:pPr>
              <w:pStyle w:val="5TextocomnIIGG"/>
              <w:spacing w:after="120"/>
              <w:jc w:val="right"/>
              <w:rPr>
                <w:sz w:val="22"/>
                <w:szCs w:val="22"/>
              </w:rPr>
            </w:pPr>
            <w:r w:rsidRPr="00944569">
              <w:rPr>
                <w:sz w:val="22"/>
                <w:szCs w:val="22"/>
              </w:rPr>
              <w:t>754</w:t>
            </w:r>
          </w:p>
        </w:tc>
        <w:tc>
          <w:tcPr>
            <w:tcW w:w="592" w:type="dxa"/>
            <w:tcBorders>
              <w:top w:val="single" w:sz="4" w:space="0" w:color="auto"/>
              <w:left w:val="single" w:sz="4" w:space="0" w:color="auto"/>
              <w:bottom w:val="single" w:sz="4" w:space="0" w:color="auto"/>
              <w:right w:val="single" w:sz="4" w:space="0" w:color="auto"/>
            </w:tcBorders>
            <w:vAlign w:val="bottom"/>
          </w:tcPr>
          <w:p w14:paraId="6C6CED3A" w14:textId="642C5B08" w:rsidR="00944569" w:rsidRPr="00F326F1" w:rsidRDefault="00944569" w:rsidP="00944569">
            <w:pPr>
              <w:pStyle w:val="5TextocomnIIGG"/>
              <w:spacing w:after="120"/>
              <w:jc w:val="right"/>
              <w:rPr>
                <w:sz w:val="22"/>
                <w:szCs w:val="22"/>
              </w:rPr>
            </w:pPr>
            <w:r w:rsidRPr="00944569">
              <w:rPr>
                <w:sz w:val="22"/>
                <w:szCs w:val="22"/>
              </w:rPr>
              <w:t>1,2</w:t>
            </w:r>
          </w:p>
        </w:tc>
      </w:tr>
      <w:tr w:rsidR="00944569" w:rsidRPr="00C540A0" w14:paraId="051F6AD9" w14:textId="77777777" w:rsidTr="00944569">
        <w:trPr>
          <w:jc w:val="center"/>
        </w:trPr>
        <w:tc>
          <w:tcPr>
            <w:tcW w:w="1258" w:type="dxa"/>
          </w:tcPr>
          <w:p w14:paraId="07C987AF" w14:textId="77777777" w:rsidR="00944569" w:rsidRPr="00F326F1" w:rsidRDefault="00944569" w:rsidP="00944569">
            <w:pPr>
              <w:pStyle w:val="5TextocomnIIGG"/>
              <w:spacing w:after="120"/>
              <w:rPr>
                <w:sz w:val="22"/>
                <w:szCs w:val="22"/>
              </w:rPr>
            </w:pPr>
            <w:r w:rsidRPr="00F326F1">
              <w:rPr>
                <w:sz w:val="22"/>
                <w:szCs w:val="22"/>
              </w:rPr>
              <w:t>Villa Gesell</w:t>
            </w:r>
          </w:p>
        </w:tc>
        <w:tc>
          <w:tcPr>
            <w:tcW w:w="1119" w:type="dxa"/>
            <w:tcBorders>
              <w:top w:val="single" w:sz="4" w:space="0" w:color="auto"/>
              <w:left w:val="single" w:sz="4" w:space="0" w:color="auto"/>
              <w:bottom w:val="single" w:sz="4" w:space="0" w:color="auto"/>
              <w:right w:val="single" w:sz="4" w:space="0" w:color="auto"/>
            </w:tcBorders>
            <w:vAlign w:val="bottom"/>
          </w:tcPr>
          <w:p w14:paraId="5966F2BB" w14:textId="6A331CB4" w:rsidR="00944569" w:rsidRPr="00F326F1" w:rsidRDefault="00944569" w:rsidP="00944569">
            <w:pPr>
              <w:pStyle w:val="5TextocomnIIGG"/>
              <w:spacing w:after="120"/>
              <w:jc w:val="right"/>
              <w:rPr>
                <w:sz w:val="22"/>
                <w:szCs w:val="22"/>
              </w:rPr>
            </w:pPr>
            <w:r w:rsidRPr="00944569">
              <w:rPr>
                <w:sz w:val="22"/>
                <w:szCs w:val="22"/>
              </w:rPr>
              <w:t>31.730</w:t>
            </w:r>
          </w:p>
        </w:tc>
        <w:tc>
          <w:tcPr>
            <w:tcW w:w="1269" w:type="dxa"/>
            <w:tcBorders>
              <w:top w:val="single" w:sz="4" w:space="0" w:color="auto"/>
              <w:left w:val="single" w:sz="4" w:space="0" w:color="auto"/>
              <w:bottom w:val="single" w:sz="4" w:space="0" w:color="auto"/>
              <w:right w:val="single" w:sz="4" w:space="0" w:color="auto"/>
            </w:tcBorders>
            <w:vAlign w:val="bottom"/>
          </w:tcPr>
          <w:p w14:paraId="5D7AC593" w14:textId="45E111D0" w:rsidR="00944569" w:rsidRPr="00F326F1" w:rsidRDefault="00944569" w:rsidP="00944569">
            <w:pPr>
              <w:pStyle w:val="5TextocomnIIGG"/>
              <w:spacing w:after="120"/>
              <w:jc w:val="right"/>
              <w:rPr>
                <w:sz w:val="22"/>
                <w:szCs w:val="22"/>
              </w:rPr>
            </w:pPr>
            <w:r w:rsidRPr="00944569">
              <w:rPr>
                <w:sz w:val="22"/>
                <w:szCs w:val="22"/>
              </w:rPr>
              <w:t>30.793</w:t>
            </w:r>
          </w:p>
        </w:tc>
        <w:tc>
          <w:tcPr>
            <w:tcW w:w="823" w:type="dxa"/>
            <w:tcBorders>
              <w:top w:val="single" w:sz="4" w:space="0" w:color="auto"/>
              <w:left w:val="single" w:sz="4" w:space="0" w:color="auto"/>
              <w:bottom w:val="single" w:sz="4" w:space="0" w:color="auto"/>
              <w:right w:val="single" w:sz="4" w:space="0" w:color="auto"/>
            </w:tcBorders>
            <w:vAlign w:val="bottom"/>
          </w:tcPr>
          <w:p w14:paraId="49FA89D8" w14:textId="66752C08" w:rsidR="00944569" w:rsidRPr="00F326F1" w:rsidRDefault="00944569" w:rsidP="00944569">
            <w:pPr>
              <w:pStyle w:val="5TextocomnIIGG"/>
              <w:spacing w:after="120"/>
              <w:jc w:val="right"/>
              <w:rPr>
                <w:sz w:val="22"/>
                <w:szCs w:val="22"/>
              </w:rPr>
            </w:pPr>
            <w:r w:rsidRPr="00944569">
              <w:rPr>
                <w:sz w:val="22"/>
                <w:szCs w:val="22"/>
              </w:rPr>
              <w:t>12.395</w:t>
            </w:r>
          </w:p>
        </w:tc>
        <w:tc>
          <w:tcPr>
            <w:tcW w:w="592" w:type="dxa"/>
            <w:tcBorders>
              <w:top w:val="single" w:sz="4" w:space="0" w:color="auto"/>
              <w:left w:val="single" w:sz="4" w:space="0" w:color="auto"/>
              <w:bottom w:val="single" w:sz="4" w:space="0" w:color="auto"/>
              <w:right w:val="single" w:sz="4" w:space="0" w:color="auto"/>
            </w:tcBorders>
            <w:vAlign w:val="bottom"/>
          </w:tcPr>
          <w:p w14:paraId="2B86FD76" w14:textId="38271615" w:rsidR="00944569" w:rsidRPr="00F326F1" w:rsidRDefault="00944569" w:rsidP="00944569">
            <w:pPr>
              <w:pStyle w:val="5TextocomnIIGG"/>
              <w:spacing w:after="120"/>
              <w:jc w:val="right"/>
              <w:rPr>
                <w:sz w:val="22"/>
                <w:szCs w:val="22"/>
              </w:rPr>
            </w:pPr>
            <w:r w:rsidRPr="00944569">
              <w:rPr>
                <w:sz w:val="22"/>
                <w:szCs w:val="22"/>
              </w:rPr>
              <w:t>40,3</w:t>
            </w:r>
          </w:p>
        </w:tc>
        <w:tc>
          <w:tcPr>
            <w:tcW w:w="1119" w:type="dxa"/>
            <w:tcBorders>
              <w:top w:val="single" w:sz="4" w:space="0" w:color="auto"/>
              <w:left w:val="single" w:sz="4" w:space="0" w:color="auto"/>
              <w:bottom w:val="single" w:sz="4" w:space="0" w:color="auto"/>
              <w:right w:val="single" w:sz="4" w:space="0" w:color="auto"/>
            </w:tcBorders>
            <w:vAlign w:val="bottom"/>
          </w:tcPr>
          <w:p w14:paraId="74B6511C" w14:textId="14AD2D0F" w:rsidR="00944569" w:rsidRPr="00F326F1" w:rsidRDefault="00944569" w:rsidP="00944569">
            <w:pPr>
              <w:pStyle w:val="5TextocomnIIGG"/>
              <w:spacing w:after="120"/>
              <w:jc w:val="right"/>
              <w:rPr>
                <w:sz w:val="22"/>
                <w:szCs w:val="22"/>
              </w:rPr>
            </w:pPr>
            <w:r w:rsidRPr="00944569">
              <w:rPr>
                <w:sz w:val="22"/>
                <w:szCs w:val="22"/>
              </w:rPr>
              <w:t>37.463</w:t>
            </w:r>
          </w:p>
        </w:tc>
        <w:tc>
          <w:tcPr>
            <w:tcW w:w="1243" w:type="dxa"/>
            <w:tcBorders>
              <w:top w:val="single" w:sz="4" w:space="0" w:color="auto"/>
              <w:left w:val="single" w:sz="4" w:space="0" w:color="auto"/>
              <w:bottom w:val="single" w:sz="4" w:space="0" w:color="auto"/>
              <w:right w:val="single" w:sz="4" w:space="0" w:color="auto"/>
            </w:tcBorders>
            <w:vAlign w:val="bottom"/>
          </w:tcPr>
          <w:p w14:paraId="115296B0" w14:textId="52A6422F" w:rsidR="00944569" w:rsidRPr="00F326F1" w:rsidRDefault="00944569" w:rsidP="00944569">
            <w:pPr>
              <w:pStyle w:val="5TextocomnIIGG"/>
              <w:spacing w:after="120"/>
              <w:jc w:val="right"/>
              <w:rPr>
                <w:sz w:val="22"/>
                <w:szCs w:val="22"/>
              </w:rPr>
            </w:pPr>
            <w:r w:rsidRPr="00944569">
              <w:rPr>
                <w:sz w:val="22"/>
                <w:szCs w:val="22"/>
              </w:rPr>
              <w:t>28.655</w:t>
            </w:r>
          </w:p>
        </w:tc>
        <w:tc>
          <w:tcPr>
            <w:tcW w:w="1045" w:type="dxa"/>
            <w:tcBorders>
              <w:top w:val="single" w:sz="4" w:space="0" w:color="auto"/>
              <w:left w:val="single" w:sz="4" w:space="0" w:color="auto"/>
              <w:bottom w:val="single" w:sz="4" w:space="0" w:color="auto"/>
              <w:right w:val="single" w:sz="4" w:space="0" w:color="auto"/>
            </w:tcBorders>
            <w:vAlign w:val="bottom"/>
          </w:tcPr>
          <w:p w14:paraId="286B86A0" w14:textId="4F45E595" w:rsidR="00944569" w:rsidRPr="00F326F1" w:rsidRDefault="00944569" w:rsidP="00944569">
            <w:pPr>
              <w:pStyle w:val="5TextocomnIIGG"/>
              <w:spacing w:after="120"/>
              <w:jc w:val="right"/>
              <w:rPr>
                <w:sz w:val="22"/>
                <w:szCs w:val="22"/>
              </w:rPr>
            </w:pPr>
            <w:r w:rsidRPr="00944569">
              <w:rPr>
                <w:sz w:val="22"/>
                <w:szCs w:val="22"/>
              </w:rPr>
              <w:t>11.591</w:t>
            </w:r>
          </w:p>
        </w:tc>
        <w:tc>
          <w:tcPr>
            <w:tcW w:w="592" w:type="dxa"/>
            <w:tcBorders>
              <w:top w:val="single" w:sz="4" w:space="0" w:color="auto"/>
              <w:left w:val="single" w:sz="4" w:space="0" w:color="auto"/>
              <w:bottom w:val="single" w:sz="4" w:space="0" w:color="auto"/>
              <w:right w:val="single" w:sz="4" w:space="0" w:color="auto"/>
            </w:tcBorders>
            <w:vAlign w:val="bottom"/>
          </w:tcPr>
          <w:p w14:paraId="401873CE" w14:textId="47855D2B" w:rsidR="00944569" w:rsidRPr="00F326F1" w:rsidRDefault="00944569" w:rsidP="00944569">
            <w:pPr>
              <w:pStyle w:val="5TextocomnIIGG"/>
              <w:spacing w:after="120"/>
              <w:jc w:val="right"/>
              <w:rPr>
                <w:sz w:val="22"/>
                <w:szCs w:val="22"/>
              </w:rPr>
            </w:pPr>
            <w:r w:rsidRPr="00944569">
              <w:rPr>
                <w:sz w:val="22"/>
                <w:szCs w:val="22"/>
              </w:rPr>
              <w:t>40,5</w:t>
            </w:r>
          </w:p>
        </w:tc>
      </w:tr>
      <w:tr w:rsidR="00944569" w:rsidRPr="00C540A0" w14:paraId="3ADEB865" w14:textId="77777777" w:rsidTr="00944569">
        <w:trPr>
          <w:jc w:val="center"/>
        </w:trPr>
        <w:tc>
          <w:tcPr>
            <w:tcW w:w="1258" w:type="dxa"/>
          </w:tcPr>
          <w:p w14:paraId="2152C579" w14:textId="77777777" w:rsidR="00944569" w:rsidRPr="00F326F1" w:rsidRDefault="00944569" w:rsidP="00944569">
            <w:pPr>
              <w:pStyle w:val="5TextocomnIIGG"/>
              <w:spacing w:after="120"/>
              <w:rPr>
                <w:b/>
                <w:bCs/>
                <w:sz w:val="22"/>
                <w:szCs w:val="22"/>
              </w:rPr>
            </w:pPr>
            <w:r w:rsidRPr="00F326F1">
              <w:rPr>
                <w:b/>
                <w:bCs/>
                <w:sz w:val="22"/>
                <w:szCs w:val="22"/>
              </w:rPr>
              <w:t>Total</w:t>
            </w:r>
          </w:p>
        </w:tc>
        <w:tc>
          <w:tcPr>
            <w:tcW w:w="1119" w:type="dxa"/>
            <w:tcBorders>
              <w:top w:val="single" w:sz="4" w:space="0" w:color="auto"/>
              <w:left w:val="single" w:sz="4" w:space="0" w:color="auto"/>
              <w:bottom w:val="single" w:sz="4" w:space="0" w:color="auto"/>
              <w:right w:val="single" w:sz="4" w:space="0" w:color="auto"/>
            </w:tcBorders>
            <w:vAlign w:val="bottom"/>
          </w:tcPr>
          <w:p w14:paraId="7F6E8719" w14:textId="4E87020A" w:rsidR="00944569" w:rsidRPr="00F326F1" w:rsidRDefault="00944569" w:rsidP="00944569">
            <w:pPr>
              <w:pStyle w:val="5TextocomnIIGG"/>
              <w:spacing w:after="120"/>
              <w:jc w:val="right"/>
              <w:rPr>
                <w:sz w:val="22"/>
                <w:szCs w:val="22"/>
              </w:rPr>
            </w:pPr>
            <w:r w:rsidRPr="00944569">
              <w:rPr>
                <w:sz w:val="22"/>
                <w:szCs w:val="22"/>
              </w:rPr>
              <w:t>1.074.141</w:t>
            </w:r>
          </w:p>
        </w:tc>
        <w:tc>
          <w:tcPr>
            <w:tcW w:w="1269" w:type="dxa"/>
            <w:tcBorders>
              <w:top w:val="single" w:sz="4" w:space="0" w:color="auto"/>
              <w:left w:val="single" w:sz="4" w:space="0" w:color="auto"/>
              <w:bottom w:val="single" w:sz="4" w:space="0" w:color="auto"/>
              <w:right w:val="single" w:sz="4" w:space="0" w:color="auto"/>
            </w:tcBorders>
            <w:vAlign w:val="bottom"/>
          </w:tcPr>
          <w:p w14:paraId="4E41C99C" w14:textId="2C660E61" w:rsidR="00944569" w:rsidRPr="00F326F1" w:rsidRDefault="00944569" w:rsidP="00944569">
            <w:pPr>
              <w:pStyle w:val="5TextocomnIIGG"/>
              <w:spacing w:after="120"/>
              <w:jc w:val="right"/>
              <w:rPr>
                <w:sz w:val="22"/>
                <w:szCs w:val="22"/>
              </w:rPr>
            </w:pPr>
            <w:r w:rsidRPr="00944569">
              <w:rPr>
                <w:sz w:val="22"/>
                <w:szCs w:val="22"/>
              </w:rPr>
              <w:t>542.947</w:t>
            </w:r>
          </w:p>
        </w:tc>
        <w:tc>
          <w:tcPr>
            <w:tcW w:w="823" w:type="dxa"/>
            <w:tcBorders>
              <w:top w:val="single" w:sz="4" w:space="0" w:color="auto"/>
              <w:left w:val="single" w:sz="4" w:space="0" w:color="auto"/>
              <w:bottom w:val="single" w:sz="4" w:space="0" w:color="auto"/>
              <w:right w:val="single" w:sz="4" w:space="0" w:color="auto"/>
            </w:tcBorders>
            <w:vAlign w:val="bottom"/>
          </w:tcPr>
          <w:p w14:paraId="4CE04581" w14:textId="6242636C" w:rsidR="00944569" w:rsidRPr="00F326F1" w:rsidRDefault="00944569" w:rsidP="00944569">
            <w:pPr>
              <w:pStyle w:val="5TextocomnIIGG"/>
              <w:spacing w:after="120"/>
              <w:jc w:val="right"/>
              <w:rPr>
                <w:sz w:val="22"/>
                <w:szCs w:val="22"/>
              </w:rPr>
            </w:pPr>
            <w:r w:rsidRPr="00944569">
              <w:rPr>
                <w:sz w:val="22"/>
                <w:szCs w:val="22"/>
              </w:rPr>
              <w:t>89.004</w:t>
            </w:r>
          </w:p>
        </w:tc>
        <w:tc>
          <w:tcPr>
            <w:tcW w:w="592" w:type="dxa"/>
            <w:tcBorders>
              <w:top w:val="single" w:sz="4" w:space="0" w:color="auto"/>
              <w:left w:val="single" w:sz="4" w:space="0" w:color="auto"/>
              <w:bottom w:val="single" w:sz="4" w:space="0" w:color="auto"/>
              <w:right w:val="single" w:sz="4" w:space="0" w:color="auto"/>
            </w:tcBorders>
            <w:vAlign w:val="bottom"/>
          </w:tcPr>
          <w:p w14:paraId="52D74BEA" w14:textId="27ED0B50" w:rsidR="00944569" w:rsidRPr="00F326F1" w:rsidRDefault="00944569" w:rsidP="00944569">
            <w:pPr>
              <w:pStyle w:val="5TextocomnIIGG"/>
              <w:spacing w:after="120"/>
              <w:jc w:val="right"/>
              <w:rPr>
                <w:sz w:val="22"/>
                <w:szCs w:val="22"/>
              </w:rPr>
            </w:pPr>
            <w:r w:rsidRPr="00944569">
              <w:rPr>
                <w:sz w:val="22"/>
                <w:szCs w:val="22"/>
              </w:rPr>
              <w:t>16,4</w:t>
            </w:r>
          </w:p>
        </w:tc>
        <w:tc>
          <w:tcPr>
            <w:tcW w:w="1119" w:type="dxa"/>
            <w:tcBorders>
              <w:top w:val="single" w:sz="4" w:space="0" w:color="auto"/>
              <w:left w:val="single" w:sz="4" w:space="0" w:color="auto"/>
              <w:bottom w:val="single" w:sz="4" w:space="0" w:color="auto"/>
              <w:right w:val="single" w:sz="4" w:space="0" w:color="auto"/>
            </w:tcBorders>
            <w:vAlign w:val="bottom"/>
          </w:tcPr>
          <w:p w14:paraId="288838FC" w14:textId="625424DE" w:rsidR="00944569" w:rsidRPr="00F326F1" w:rsidRDefault="00944569" w:rsidP="00944569">
            <w:pPr>
              <w:pStyle w:val="5TextocomnIIGG"/>
              <w:spacing w:after="120"/>
              <w:jc w:val="right"/>
              <w:rPr>
                <w:sz w:val="22"/>
                <w:szCs w:val="22"/>
              </w:rPr>
            </w:pPr>
            <w:r w:rsidRPr="00944569">
              <w:rPr>
                <w:sz w:val="22"/>
                <w:szCs w:val="22"/>
              </w:rPr>
              <w:t>1.202.458</w:t>
            </w:r>
          </w:p>
        </w:tc>
        <w:tc>
          <w:tcPr>
            <w:tcW w:w="1243" w:type="dxa"/>
            <w:tcBorders>
              <w:top w:val="single" w:sz="4" w:space="0" w:color="auto"/>
              <w:left w:val="single" w:sz="4" w:space="0" w:color="auto"/>
              <w:bottom w:val="single" w:sz="4" w:space="0" w:color="auto"/>
              <w:right w:val="single" w:sz="4" w:space="0" w:color="auto"/>
            </w:tcBorders>
            <w:vAlign w:val="bottom"/>
          </w:tcPr>
          <w:p w14:paraId="0CFEE162" w14:textId="51174837" w:rsidR="00944569" w:rsidRPr="00F326F1" w:rsidRDefault="00944569" w:rsidP="00944569">
            <w:pPr>
              <w:pStyle w:val="5TextocomnIIGG"/>
              <w:spacing w:after="120"/>
              <w:jc w:val="right"/>
              <w:rPr>
                <w:sz w:val="22"/>
                <w:szCs w:val="22"/>
              </w:rPr>
            </w:pPr>
            <w:r w:rsidRPr="00944569">
              <w:rPr>
                <w:sz w:val="22"/>
                <w:szCs w:val="22"/>
              </w:rPr>
              <w:t>623.257</w:t>
            </w:r>
          </w:p>
        </w:tc>
        <w:tc>
          <w:tcPr>
            <w:tcW w:w="1045" w:type="dxa"/>
            <w:tcBorders>
              <w:top w:val="single" w:sz="4" w:space="0" w:color="auto"/>
              <w:left w:val="single" w:sz="4" w:space="0" w:color="auto"/>
              <w:bottom w:val="single" w:sz="4" w:space="0" w:color="auto"/>
              <w:right w:val="single" w:sz="4" w:space="0" w:color="auto"/>
            </w:tcBorders>
            <w:vAlign w:val="bottom"/>
          </w:tcPr>
          <w:p w14:paraId="29192B2B" w14:textId="053A5195" w:rsidR="00944569" w:rsidRPr="00F326F1" w:rsidRDefault="00944569" w:rsidP="00944569">
            <w:pPr>
              <w:pStyle w:val="5TextocomnIIGG"/>
              <w:spacing w:after="120"/>
              <w:jc w:val="right"/>
              <w:rPr>
                <w:sz w:val="22"/>
                <w:szCs w:val="22"/>
              </w:rPr>
            </w:pPr>
            <w:r w:rsidRPr="00944569">
              <w:rPr>
                <w:sz w:val="22"/>
                <w:szCs w:val="22"/>
              </w:rPr>
              <w:t>87.824</w:t>
            </w:r>
          </w:p>
        </w:tc>
        <w:tc>
          <w:tcPr>
            <w:tcW w:w="592" w:type="dxa"/>
            <w:tcBorders>
              <w:top w:val="single" w:sz="4" w:space="0" w:color="auto"/>
              <w:left w:val="single" w:sz="4" w:space="0" w:color="auto"/>
              <w:bottom w:val="single" w:sz="4" w:space="0" w:color="auto"/>
              <w:right w:val="single" w:sz="4" w:space="0" w:color="auto"/>
            </w:tcBorders>
            <w:vAlign w:val="bottom"/>
          </w:tcPr>
          <w:p w14:paraId="4599DDCC" w14:textId="29586E50" w:rsidR="00944569" w:rsidRPr="00F326F1" w:rsidRDefault="00944569" w:rsidP="00944569">
            <w:pPr>
              <w:pStyle w:val="5TextocomnIIGG"/>
              <w:spacing w:after="120"/>
              <w:jc w:val="right"/>
              <w:rPr>
                <w:sz w:val="22"/>
                <w:szCs w:val="22"/>
              </w:rPr>
            </w:pPr>
            <w:r w:rsidRPr="00944569">
              <w:rPr>
                <w:sz w:val="22"/>
                <w:szCs w:val="22"/>
              </w:rPr>
              <w:t>14,1</w:t>
            </w:r>
          </w:p>
        </w:tc>
      </w:tr>
    </w:tbl>
    <w:p w14:paraId="7FCBD295" w14:textId="77777777" w:rsidR="00F90F49" w:rsidRDefault="00F90F49" w:rsidP="00944569">
      <w:pPr>
        <w:pStyle w:val="7FigurasytablasencabezadoIIGG"/>
      </w:pPr>
    </w:p>
    <w:p w14:paraId="530E4BE1" w14:textId="06FF00BC" w:rsidR="00944569" w:rsidRPr="00F90F49" w:rsidRDefault="00944569" w:rsidP="00944569">
      <w:pPr>
        <w:pStyle w:val="7FigurasytablasencabezadoIIGG"/>
        <w:rPr>
          <w:b/>
          <w:bCs/>
        </w:rPr>
      </w:pPr>
      <w:r w:rsidRPr="00F90F49">
        <w:rPr>
          <w:b/>
          <w:bCs/>
        </w:rPr>
        <w:t>Tabla 3. Partidos del sudeste de la Provincia de Buenos Aires: población, viviendas particulares, viviendas de potencial uso turístico (VPUT) y tasas de crecimiento anual intercensal (TCAI) (‰), 1991, 2001, 2010 y 2022 (continuación)</w:t>
      </w:r>
    </w:p>
    <w:tbl>
      <w:tblPr>
        <w:tblStyle w:val="Tablaconcuadrcula"/>
        <w:tblW w:w="5000" w:type="pct"/>
        <w:jc w:val="center"/>
        <w:tblLook w:val="04A0" w:firstRow="1" w:lastRow="0" w:firstColumn="1" w:lastColumn="0" w:noHBand="0" w:noVBand="1"/>
      </w:tblPr>
      <w:tblGrid>
        <w:gridCol w:w="1413"/>
        <w:gridCol w:w="1276"/>
        <w:gridCol w:w="1276"/>
        <w:gridCol w:w="1424"/>
        <w:gridCol w:w="1225"/>
        <w:gridCol w:w="1223"/>
        <w:gridCol w:w="1223"/>
      </w:tblGrid>
      <w:tr w:rsidR="00944569" w:rsidRPr="00C540A0" w14:paraId="11D3D710" w14:textId="77777777" w:rsidTr="00FB57D7">
        <w:trPr>
          <w:trHeight w:val="259"/>
          <w:jc w:val="center"/>
        </w:trPr>
        <w:tc>
          <w:tcPr>
            <w:tcW w:w="780" w:type="pct"/>
            <w:vMerge w:val="restart"/>
          </w:tcPr>
          <w:p w14:paraId="55E991E0" w14:textId="77777777" w:rsidR="00944569" w:rsidRPr="00D821B0" w:rsidRDefault="00944569" w:rsidP="00926D32">
            <w:pPr>
              <w:pStyle w:val="5TextocomnIIGG"/>
              <w:spacing w:after="120"/>
              <w:jc w:val="center"/>
              <w:rPr>
                <w:b/>
              </w:rPr>
            </w:pPr>
            <w:r>
              <w:rPr>
                <w:b/>
              </w:rPr>
              <w:t>Partido</w:t>
            </w:r>
          </w:p>
        </w:tc>
        <w:tc>
          <w:tcPr>
            <w:tcW w:w="4220" w:type="pct"/>
            <w:gridSpan w:val="6"/>
          </w:tcPr>
          <w:p w14:paraId="28E218AB" w14:textId="40E1DE11" w:rsidR="00944569" w:rsidRPr="00D821B0" w:rsidRDefault="00944569" w:rsidP="00926D32">
            <w:pPr>
              <w:pStyle w:val="5TextocomnIIGG"/>
              <w:spacing w:after="120"/>
              <w:jc w:val="center"/>
              <w:rPr>
                <w:b/>
              </w:rPr>
            </w:pPr>
            <w:r>
              <w:rPr>
                <w:b/>
              </w:rPr>
              <w:t xml:space="preserve">TCAI </w:t>
            </w:r>
            <w:r w:rsidRPr="00944569">
              <w:rPr>
                <w:b/>
              </w:rPr>
              <w:t>‰</w:t>
            </w:r>
          </w:p>
        </w:tc>
      </w:tr>
      <w:tr w:rsidR="00944569" w:rsidRPr="00C540A0" w14:paraId="182C39D6" w14:textId="77777777" w:rsidTr="00FB57D7">
        <w:trPr>
          <w:trHeight w:val="367"/>
          <w:jc w:val="center"/>
        </w:trPr>
        <w:tc>
          <w:tcPr>
            <w:tcW w:w="780" w:type="pct"/>
            <w:vMerge/>
          </w:tcPr>
          <w:p w14:paraId="737B99FE" w14:textId="77777777" w:rsidR="00944569" w:rsidRDefault="00944569" w:rsidP="00926D32">
            <w:pPr>
              <w:pStyle w:val="5TextocomnIIGG"/>
              <w:spacing w:after="120"/>
              <w:jc w:val="center"/>
              <w:rPr>
                <w:b/>
              </w:rPr>
            </w:pPr>
          </w:p>
        </w:tc>
        <w:tc>
          <w:tcPr>
            <w:tcW w:w="2194" w:type="pct"/>
            <w:gridSpan w:val="3"/>
          </w:tcPr>
          <w:p w14:paraId="0B98CB0E" w14:textId="63E591AA" w:rsidR="00944569" w:rsidRPr="00D821B0" w:rsidRDefault="00944569" w:rsidP="00926D32">
            <w:pPr>
              <w:pStyle w:val="5TextocomnIIGG"/>
              <w:spacing w:after="120"/>
              <w:jc w:val="center"/>
              <w:rPr>
                <w:b/>
              </w:rPr>
            </w:pPr>
            <w:r>
              <w:rPr>
                <w:b/>
              </w:rPr>
              <w:t>Población</w:t>
            </w:r>
          </w:p>
        </w:tc>
        <w:tc>
          <w:tcPr>
            <w:tcW w:w="2026" w:type="pct"/>
            <w:gridSpan w:val="3"/>
          </w:tcPr>
          <w:p w14:paraId="60AE91B4" w14:textId="37931D39" w:rsidR="00944569" w:rsidRPr="00D821B0" w:rsidRDefault="00FB57D7" w:rsidP="00926D32">
            <w:pPr>
              <w:pStyle w:val="5TextocomnIIGG"/>
              <w:spacing w:after="120"/>
              <w:jc w:val="center"/>
              <w:rPr>
                <w:b/>
              </w:rPr>
            </w:pPr>
            <w:r>
              <w:rPr>
                <w:b/>
              </w:rPr>
              <w:t>VPUT</w:t>
            </w:r>
          </w:p>
        </w:tc>
      </w:tr>
      <w:tr w:rsidR="00FB57D7" w:rsidRPr="00C540A0" w14:paraId="04B4E050" w14:textId="77777777" w:rsidTr="00FB57D7">
        <w:trPr>
          <w:trHeight w:val="387"/>
          <w:jc w:val="center"/>
        </w:trPr>
        <w:tc>
          <w:tcPr>
            <w:tcW w:w="780" w:type="pct"/>
            <w:vMerge/>
          </w:tcPr>
          <w:p w14:paraId="44E44051" w14:textId="77777777" w:rsidR="00FB57D7" w:rsidRDefault="00FB57D7" w:rsidP="00FB57D7">
            <w:pPr>
              <w:pStyle w:val="5TextocomnIIGG"/>
              <w:spacing w:after="120"/>
              <w:jc w:val="center"/>
              <w:rPr>
                <w:b/>
              </w:rPr>
            </w:pPr>
          </w:p>
        </w:tc>
        <w:tc>
          <w:tcPr>
            <w:tcW w:w="704" w:type="pct"/>
            <w:tcBorders>
              <w:top w:val="nil"/>
              <w:left w:val="single" w:sz="4" w:space="0" w:color="auto"/>
              <w:bottom w:val="single" w:sz="4" w:space="0" w:color="auto"/>
              <w:right w:val="single" w:sz="4" w:space="0" w:color="auto"/>
            </w:tcBorders>
            <w:vAlign w:val="bottom"/>
          </w:tcPr>
          <w:p w14:paraId="306F288A" w14:textId="1F4EBC9A" w:rsidR="00FB57D7" w:rsidRPr="00FB57D7" w:rsidRDefault="00FB57D7" w:rsidP="00FB57D7">
            <w:pPr>
              <w:pStyle w:val="5TextocomnIIGG"/>
              <w:spacing w:after="120"/>
              <w:jc w:val="center"/>
              <w:rPr>
                <w:b/>
                <w:sz w:val="22"/>
                <w:szCs w:val="22"/>
              </w:rPr>
            </w:pPr>
            <w:r w:rsidRPr="00FB57D7">
              <w:rPr>
                <w:b/>
                <w:sz w:val="22"/>
                <w:szCs w:val="22"/>
              </w:rPr>
              <w:t>1991-2001</w:t>
            </w:r>
          </w:p>
        </w:tc>
        <w:tc>
          <w:tcPr>
            <w:tcW w:w="704" w:type="pct"/>
            <w:tcBorders>
              <w:top w:val="nil"/>
              <w:left w:val="nil"/>
              <w:bottom w:val="single" w:sz="4" w:space="0" w:color="auto"/>
              <w:right w:val="nil"/>
            </w:tcBorders>
            <w:vAlign w:val="bottom"/>
          </w:tcPr>
          <w:p w14:paraId="337315BE" w14:textId="2AA63358" w:rsidR="00FB57D7" w:rsidRPr="00FB57D7" w:rsidRDefault="00FB57D7" w:rsidP="00FB57D7">
            <w:pPr>
              <w:pStyle w:val="5TextocomnIIGG"/>
              <w:spacing w:after="120"/>
              <w:jc w:val="center"/>
              <w:rPr>
                <w:b/>
                <w:sz w:val="22"/>
                <w:szCs w:val="22"/>
              </w:rPr>
            </w:pPr>
            <w:r w:rsidRPr="00FB57D7">
              <w:rPr>
                <w:b/>
                <w:sz w:val="22"/>
                <w:szCs w:val="22"/>
              </w:rPr>
              <w:t>2001-2010</w:t>
            </w:r>
          </w:p>
        </w:tc>
        <w:tc>
          <w:tcPr>
            <w:tcW w:w="786" w:type="pct"/>
            <w:tcBorders>
              <w:top w:val="nil"/>
              <w:left w:val="single" w:sz="4" w:space="0" w:color="auto"/>
              <w:bottom w:val="single" w:sz="4" w:space="0" w:color="auto"/>
              <w:right w:val="single" w:sz="4" w:space="0" w:color="auto"/>
            </w:tcBorders>
            <w:vAlign w:val="bottom"/>
          </w:tcPr>
          <w:p w14:paraId="129E3863" w14:textId="450C70D0" w:rsidR="00FB57D7" w:rsidRPr="00FB57D7" w:rsidRDefault="00FB57D7" w:rsidP="00FB57D7">
            <w:pPr>
              <w:pStyle w:val="5TextocomnIIGG"/>
              <w:spacing w:after="120"/>
              <w:jc w:val="center"/>
              <w:rPr>
                <w:b/>
                <w:sz w:val="22"/>
                <w:szCs w:val="22"/>
              </w:rPr>
            </w:pPr>
            <w:r w:rsidRPr="00FB57D7">
              <w:rPr>
                <w:b/>
                <w:sz w:val="22"/>
                <w:szCs w:val="22"/>
              </w:rPr>
              <w:t>2010-2022</w:t>
            </w:r>
          </w:p>
        </w:tc>
        <w:tc>
          <w:tcPr>
            <w:tcW w:w="676" w:type="pct"/>
            <w:tcBorders>
              <w:top w:val="nil"/>
              <w:left w:val="nil"/>
              <w:bottom w:val="single" w:sz="4" w:space="0" w:color="auto"/>
              <w:right w:val="single" w:sz="4" w:space="0" w:color="auto"/>
            </w:tcBorders>
            <w:vAlign w:val="bottom"/>
          </w:tcPr>
          <w:p w14:paraId="5AC04D5C" w14:textId="0950BE19" w:rsidR="00FB57D7" w:rsidRPr="00FB57D7" w:rsidRDefault="00FB57D7" w:rsidP="00FB57D7">
            <w:pPr>
              <w:pStyle w:val="5TextocomnIIGG"/>
              <w:spacing w:after="120"/>
              <w:jc w:val="center"/>
              <w:rPr>
                <w:b/>
                <w:sz w:val="22"/>
                <w:szCs w:val="22"/>
              </w:rPr>
            </w:pPr>
            <w:r w:rsidRPr="00FB57D7">
              <w:rPr>
                <w:b/>
                <w:sz w:val="22"/>
                <w:szCs w:val="22"/>
              </w:rPr>
              <w:t>1991-2001</w:t>
            </w:r>
          </w:p>
        </w:tc>
        <w:tc>
          <w:tcPr>
            <w:tcW w:w="675" w:type="pct"/>
            <w:tcBorders>
              <w:top w:val="nil"/>
              <w:left w:val="nil"/>
              <w:bottom w:val="single" w:sz="4" w:space="0" w:color="auto"/>
              <w:right w:val="nil"/>
            </w:tcBorders>
            <w:vAlign w:val="bottom"/>
          </w:tcPr>
          <w:p w14:paraId="1E64B6CA" w14:textId="79997316" w:rsidR="00FB57D7" w:rsidRPr="00FB57D7" w:rsidRDefault="00FB57D7" w:rsidP="00FB57D7">
            <w:pPr>
              <w:pStyle w:val="5TextocomnIIGG"/>
              <w:spacing w:after="120"/>
              <w:jc w:val="center"/>
              <w:rPr>
                <w:b/>
                <w:sz w:val="22"/>
                <w:szCs w:val="22"/>
              </w:rPr>
            </w:pPr>
            <w:r w:rsidRPr="00FB57D7">
              <w:rPr>
                <w:b/>
                <w:sz w:val="22"/>
                <w:szCs w:val="22"/>
              </w:rPr>
              <w:t>2001-2010</w:t>
            </w:r>
          </w:p>
        </w:tc>
        <w:tc>
          <w:tcPr>
            <w:tcW w:w="675" w:type="pct"/>
            <w:tcBorders>
              <w:top w:val="nil"/>
              <w:left w:val="single" w:sz="4" w:space="0" w:color="auto"/>
              <w:bottom w:val="single" w:sz="4" w:space="0" w:color="auto"/>
              <w:right w:val="single" w:sz="4" w:space="0" w:color="auto"/>
            </w:tcBorders>
            <w:vAlign w:val="bottom"/>
          </w:tcPr>
          <w:p w14:paraId="3781B87C" w14:textId="0EE10111" w:rsidR="00FB57D7" w:rsidRPr="00FB57D7" w:rsidRDefault="00FB57D7" w:rsidP="00FB57D7">
            <w:pPr>
              <w:pStyle w:val="5TextocomnIIGG"/>
              <w:spacing w:after="120"/>
              <w:jc w:val="center"/>
              <w:rPr>
                <w:b/>
                <w:sz w:val="22"/>
                <w:szCs w:val="22"/>
              </w:rPr>
            </w:pPr>
            <w:r w:rsidRPr="00FB57D7">
              <w:rPr>
                <w:b/>
                <w:sz w:val="22"/>
                <w:szCs w:val="22"/>
              </w:rPr>
              <w:t>2010-2022</w:t>
            </w:r>
          </w:p>
        </w:tc>
      </w:tr>
      <w:tr w:rsidR="00FB57D7" w:rsidRPr="00C540A0" w14:paraId="3CCDBB96" w14:textId="77777777" w:rsidTr="00FB57D7">
        <w:trPr>
          <w:jc w:val="center"/>
        </w:trPr>
        <w:tc>
          <w:tcPr>
            <w:tcW w:w="780" w:type="pct"/>
          </w:tcPr>
          <w:p w14:paraId="78F54D51" w14:textId="77777777" w:rsidR="00FB57D7" w:rsidRPr="00F326F1" w:rsidRDefault="00FB57D7" w:rsidP="00FB57D7">
            <w:pPr>
              <w:pStyle w:val="5TextocomnIIGG"/>
              <w:spacing w:after="120"/>
              <w:rPr>
                <w:sz w:val="22"/>
                <w:szCs w:val="22"/>
              </w:rPr>
            </w:pPr>
            <w:r w:rsidRPr="00F326F1">
              <w:rPr>
                <w:sz w:val="22"/>
                <w:szCs w:val="22"/>
              </w:rPr>
              <w:t>Ayacucho</w:t>
            </w:r>
          </w:p>
        </w:tc>
        <w:tc>
          <w:tcPr>
            <w:tcW w:w="704" w:type="pct"/>
            <w:tcBorders>
              <w:top w:val="single" w:sz="4" w:space="0" w:color="auto"/>
              <w:left w:val="single" w:sz="4" w:space="0" w:color="auto"/>
              <w:bottom w:val="single" w:sz="4" w:space="0" w:color="auto"/>
              <w:right w:val="single" w:sz="4" w:space="0" w:color="auto"/>
            </w:tcBorders>
            <w:vAlign w:val="bottom"/>
          </w:tcPr>
          <w:p w14:paraId="75A418F4" w14:textId="5A7FDC2D" w:rsidR="00FB57D7" w:rsidRPr="00F326F1" w:rsidRDefault="00FB57D7" w:rsidP="00FB57D7">
            <w:pPr>
              <w:pStyle w:val="5TextocomnIIGG"/>
              <w:spacing w:after="120"/>
              <w:jc w:val="right"/>
              <w:rPr>
                <w:sz w:val="22"/>
                <w:szCs w:val="22"/>
              </w:rPr>
            </w:pPr>
            <w:r w:rsidRPr="00FB57D7">
              <w:rPr>
                <w:sz w:val="22"/>
                <w:szCs w:val="22"/>
              </w:rPr>
              <w:t>0,2</w:t>
            </w:r>
          </w:p>
        </w:tc>
        <w:tc>
          <w:tcPr>
            <w:tcW w:w="704" w:type="pct"/>
            <w:tcBorders>
              <w:top w:val="single" w:sz="4" w:space="0" w:color="auto"/>
              <w:left w:val="nil"/>
              <w:bottom w:val="single" w:sz="4" w:space="0" w:color="auto"/>
              <w:right w:val="nil"/>
            </w:tcBorders>
            <w:vAlign w:val="bottom"/>
          </w:tcPr>
          <w:p w14:paraId="335E44A6" w14:textId="762E88FB" w:rsidR="00FB57D7" w:rsidRPr="00F326F1" w:rsidRDefault="00FB57D7" w:rsidP="00FB57D7">
            <w:pPr>
              <w:pStyle w:val="5TextocomnIIGG"/>
              <w:spacing w:after="120"/>
              <w:jc w:val="right"/>
              <w:rPr>
                <w:sz w:val="22"/>
                <w:szCs w:val="22"/>
              </w:rPr>
            </w:pPr>
            <w:r w:rsidRPr="00FB57D7">
              <w:rPr>
                <w:sz w:val="22"/>
                <w:szCs w:val="22"/>
              </w:rPr>
              <w:t>4,1</w:t>
            </w:r>
          </w:p>
        </w:tc>
        <w:tc>
          <w:tcPr>
            <w:tcW w:w="786" w:type="pct"/>
            <w:tcBorders>
              <w:top w:val="single" w:sz="4" w:space="0" w:color="auto"/>
              <w:left w:val="single" w:sz="4" w:space="0" w:color="auto"/>
              <w:bottom w:val="single" w:sz="4" w:space="0" w:color="auto"/>
              <w:right w:val="single" w:sz="4" w:space="0" w:color="auto"/>
            </w:tcBorders>
            <w:vAlign w:val="bottom"/>
          </w:tcPr>
          <w:p w14:paraId="427C5F75" w14:textId="7249EED4" w:rsidR="00FB57D7" w:rsidRPr="00F326F1" w:rsidRDefault="00FB57D7" w:rsidP="00FB57D7">
            <w:pPr>
              <w:pStyle w:val="5TextocomnIIGG"/>
              <w:spacing w:after="120"/>
              <w:jc w:val="right"/>
              <w:rPr>
                <w:sz w:val="22"/>
                <w:szCs w:val="22"/>
              </w:rPr>
            </w:pPr>
            <w:r w:rsidRPr="00FB57D7">
              <w:rPr>
                <w:sz w:val="22"/>
                <w:szCs w:val="22"/>
              </w:rPr>
              <w:t>6,6</w:t>
            </w:r>
          </w:p>
        </w:tc>
        <w:tc>
          <w:tcPr>
            <w:tcW w:w="676" w:type="pct"/>
            <w:tcBorders>
              <w:top w:val="single" w:sz="4" w:space="0" w:color="auto"/>
              <w:left w:val="nil"/>
              <w:bottom w:val="single" w:sz="4" w:space="0" w:color="auto"/>
              <w:right w:val="single" w:sz="4" w:space="0" w:color="auto"/>
            </w:tcBorders>
            <w:vAlign w:val="bottom"/>
          </w:tcPr>
          <w:p w14:paraId="3866EC76" w14:textId="195C3FB7" w:rsidR="00FB57D7" w:rsidRPr="00F326F1" w:rsidRDefault="00FB57D7" w:rsidP="00FB57D7">
            <w:pPr>
              <w:pStyle w:val="5TextocomnIIGG"/>
              <w:spacing w:after="120"/>
              <w:jc w:val="right"/>
              <w:rPr>
                <w:sz w:val="22"/>
                <w:szCs w:val="22"/>
              </w:rPr>
            </w:pPr>
            <w:r w:rsidRPr="00FB57D7">
              <w:rPr>
                <w:sz w:val="22"/>
                <w:szCs w:val="22"/>
              </w:rPr>
              <w:t>17,8</w:t>
            </w:r>
          </w:p>
        </w:tc>
        <w:tc>
          <w:tcPr>
            <w:tcW w:w="675" w:type="pct"/>
            <w:tcBorders>
              <w:top w:val="single" w:sz="4" w:space="0" w:color="auto"/>
              <w:left w:val="nil"/>
              <w:bottom w:val="single" w:sz="4" w:space="0" w:color="auto"/>
              <w:right w:val="nil"/>
            </w:tcBorders>
            <w:vAlign w:val="bottom"/>
          </w:tcPr>
          <w:p w14:paraId="5F8A465A" w14:textId="03051D56" w:rsidR="00FB57D7" w:rsidRPr="00F326F1" w:rsidRDefault="00FB57D7" w:rsidP="00FB57D7">
            <w:pPr>
              <w:pStyle w:val="5TextocomnIIGG"/>
              <w:spacing w:after="120"/>
              <w:jc w:val="right"/>
              <w:rPr>
                <w:sz w:val="22"/>
                <w:szCs w:val="22"/>
              </w:rPr>
            </w:pPr>
            <w:r w:rsidRPr="00FB57D7">
              <w:rPr>
                <w:sz w:val="22"/>
                <w:szCs w:val="22"/>
              </w:rPr>
              <w:t>-82,6</w:t>
            </w:r>
          </w:p>
        </w:tc>
        <w:tc>
          <w:tcPr>
            <w:tcW w:w="675" w:type="pct"/>
            <w:tcBorders>
              <w:top w:val="single" w:sz="4" w:space="0" w:color="auto"/>
              <w:left w:val="single" w:sz="4" w:space="0" w:color="auto"/>
              <w:bottom w:val="single" w:sz="4" w:space="0" w:color="auto"/>
              <w:right w:val="single" w:sz="4" w:space="0" w:color="auto"/>
            </w:tcBorders>
            <w:vAlign w:val="bottom"/>
          </w:tcPr>
          <w:p w14:paraId="56B9E294" w14:textId="76431526" w:rsidR="00FB57D7" w:rsidRPr="00F326F1" w:rsidRDefault="00FB57D7" w:rsidP="00FB57D7">
            <w:pPr>
              <w:pStyle w:val="5TextocomnIIGG"/>
              <w:spacing w:after="120"/>
              <w:jc w:val="right"/>
              <w:rPr>
                <w:sz w:val="22"/>
                <w:szCs w:val="22"/>
              </w:rPr>
            </w:pPr>
            <w:r w:rsidRPr="00FB57D7">
              <w:rPr>
                <w:sz w:val="22"/>
                <w:szCs w:val="22"/>
              </w:rPr>
              <w:t>102,5</w:t>
            </w:r>
          </w:p>
        </w:tc>
      </w:tr>
      <w:tr w:rsidR="00FB57D7" w:rsidRPr="00C540A0" w14:paraId="3698FDEB" w14:textId="77777777" w:rsidTr="00FB57D7">
        <w:trPr>
          <w:jc w:val="center"/>
        </w:trPr>
        <w:tc>
          <w:tcPr>
            <w:tcW w:w="780" w:type="pct"/>
          </w:tcPr>
          <w:p w14:paraId="3BA23C83" w14:textId="77777777" w:rsidR="00FB57D7" w:rsidRPr="00F326F1" w:rsidRDefault="00FB57D7" w:rsidP="00FB57D7">
            <w:pPr>
              <w:pStyle w:val="5TextocomnIIGG"/>
              <w:spacing w:after="120"/>
              <w:rPr>
                <w:sz w:val="22"/>
                <w:szCs w:val="22"/>
              </w:rPr>
            </w:pPr>
            <w:r w:rsidRPr="00F326F1">
              <w:rPr>
                <w:sz w:val="22"/>
                <w:szCs w:val="22"/>
              </w:rPr>
              <w:t>Balcarce</w:t>
            </w:r>
          </w:p>
        </w:tc>
        <w:tc>
          <w:tcPr>
            <w:tcW w:w="704" w:type="pct"/>
            <w:tcBorders>
              <w:top w:val="single" w:sz="4" w:space="0" w:color="auto"/>
              <w:left w:val="single" w:sz="4" w:space="0" w:color="auto"/>
              <w:bottom w:val="single" w:sz="4" w:space="0" w:color="auto"/>
              <w:right w:val="single" w:sz="4" w:space="0" w:color="auto"/>
            </w:tcBorders>
            <w:vAlign w:val="bottom"/>
          </w:tcPr>
          <w:p w14:paraId="59F85151" w14:textId="068F59C2" w:rsidR="00FB57D7" w:rsidRPr="00F326F1" w:rsidRDefault="00FB57D7" w:rsidP="00FB57D7">
            <w:pPr>
              <w:pStyle w:val="5TextocomnIIGG"/>
              <w:spacing w:after="120"/>
              <w:jc w:val="right"/>
              <w:rPr>
                <w:sz w:val="22"/>
                <w:szCs w:val="22"/>
              </w:rPr>
            </w:pPr>
            <w:r w:rsidRPr="00FB57D7">
              <w:rPr>
                <w:sz w:val="22"/>
                <w:szCs w:val="22"/>
              </w:rPr>
              <w:t>1,9</w:t>
            </w:r>
          </w:p>
        </w:tc>
        <w:tc>
          <w:tcPr>
            <w:tcW w:w="704" w:type="pct"/>
            <w:tcBorders>
              <w:top w:val="single" w:sz="4" w:space="0" w:color="auto"/>
              <w:left w:val="nil"/>
              <w:bottom w:val="single" w:sz="4" w:space="0" w:color="auto"/>
              <w:right w:val="nil"/>
            </w:tcBorders>
            <w:vAlign w:val="bottom"/>
          </w:tcPr>
          <w:p w14:paraId="26548790" w14:textId="447310C3" w:rsidR="00FB57D7" w:rsidRPr="00F326F1" w:rsidRDefault="00FB57D7" w:rsidP="00FB57D7">
            <w:pPr>
              <w:pStyle w:val="5TextocomnIIGG"/>
              <w:spacing w:after="120"/>
              <w:jc w:val="right"/>
              <w:rPr>
                <w:sz w:val="22"/>
                <w:szCs w:val="22"/>
              </w:rPr>
            </w:pPr>
            <w:r w:rsidRPr="00FB57D7">
              <w:rPr>
                <w:sz w:val="22"/>
                <w:szCs w:val="22"/>
              </w:rPr>
              <w:t>5,1</w:t>
            </w:r>
          </w:p>
        </w:tc>
        <w:tc>
          <w:tcPr>
            <w:tcW w:w="786" w:type="pct"/>
            <w:tcBorders>
              <w:top w:val="single" w:sz="4" w:space="0" w:color="auto"/>
              <w:left w:val="single" w:sz="4" w:space="0" w:color="auto"/>
              <w:bottom w:val="single" w:sz="4" w:space="0" w:color="auto"/>
              <w:right w:val="single" w:sz="4" w:space="0" w:color="auto"/>
            </w:tcBorders>
            <w:vAlign w:val="bottom"/>
          </w:tcPr>
          <w:p w14:paraId="13E171D0" w14:textId="0D56E5E7" w:rsidR="00FB57D7" w:rsidRPr="00F326F1" w:rsidRDefault="00FB57D7" w:rsidP="00FB57D7">
            <w:pPr>
              <w:pStyle w:val="5TextocomnIIGG"/>
              <w:spacing w:after="120"/>
              <w:jc w:val="right"/>
              <w:rPr>
                <w:sz w:val="22"/>
                <w:szCs w:val="22"/>
              </w:rPr>
            </w:pPr>
            <w:r w:rsidRPr="00FB57D7">
              <w:rPr>
                <w:sz w:val="22"/>
                <w:szCs w:val="22"/>
              </w:rPr>
              <w:t>9,5</w:t>
            </w:r>
          </w:p>
        </w:tc>
        <w:tc>
          <w:tcPr>
            <w:tcW w:w="676" w:type="pct"/>
            <w:tcBorders>
              <w:top w:val="single" w:sz="4" w:space="0" w:color="auto"/>
              <w:left w:val="nil"/>
              <w:bottom w:val="single" w:sz="4" w:space="0" w:color="auto"/>
              <w:right w:val="single" w:sz="4" w:space="0" w:color="auto"/>
            </w:tcBorders>
            <w:vAlign w:val="bottom"/>
          </w:tcPr>
          <w:p w14:paraId="4AD7EB83" w14:textId="59BE9952" w:rsidR="00FB57D7" w:rsidRPr="00F326F1" w:rsidRDefault="00FB57D7" w:rsidP="00FB57D7">
            <w:pPr>
              <w:pStyle w:val="5TextocomnIIGG"/>
              <w:spacing w:after="120"/>
              <w:jc w:val="right"/>
              <w:rPr>
                <w:sz w:val="22"/>
                <w:szCs w:val="22"/>
              </w:rPr>
            </w:pPr>
            <w:r w:rsidRPr="00FB57D7">
              <w:rPr>
                <w:sz w:val="22"/>
                <w:szCs w:val="22"/>
              </w:rPr>
              <w:t>34,4</w:t>
            </w:r>
          </w:p>
        </w:tc>
        <w:tc>
          <w:tcPr>
            <w:tcW w:w="675" w:type="pct"/>
            <w:tcBorders>
              <w:top w:val="single" w:sz="4" w:space="0" w:color="auto"/>
              <w:left w:val="nil"/>
              <w:bottom w:val="single" w:sz="4" w:space="0" w:color="auto"/>
              <w:right w:val="nil"/>
            </w:tcBorders>
            <w:vAlign w:val="bottom"/>
          </w:tcPr>
          <w:p w14:paraId="5872EE35" w14:textId="000CC6CB" w:rsidR="00FB57D7" w:rsidRPr="00F326F1" w:rsidRDefault="00FB57D7" w:rsidP="00FB57D7">
            <w:pPr>
              <w:pStyle w:val="5TextocomnIIGG"/>
              <w:spacing w:after="120"/>
              <w:jc w:val="right"/>
              <w:rPr>
                <w:sz w:val="22"/>
                <w:szCs w:val="22"/>
              </w:rPr>
            </w:pPr>
            <w:r w:rsidRPr="00FB57D7">
              <w:rPr>
                <w:sz w:val="22"/>
                <w:szCs w:val="22"/>
              </w:rPr>
              <w:t>1,8</w:t>
            </w:r>
          </w:p>
        </w:tc>
        <w:tc>
          <w:tcPr>
            <w:tcW w:w="675" w:type="pct"/>
            <w:tcBorders>
              <w:top w:val="single" w:sz="4" w:space="0" w:color="auto"/>
              <w:left w:val="single" w:sz="4" w:space="0" w:color="auto"/>
              <w:bottom w:val="single" w:sz="4" w:space="0" w:color="auto"/>
              <w:right w:val="single" w:sz="4" w:space="0" w:color="auto"/>
            </w:tcBorders>
            <w:vAlign w:val="bottom"/>
          </w:tcPr>
          <w:p w14:paraId="4C295D7E" w14:textId="053311B9" w:rsidR="00FB57D7" w:rsidRPr="00F326F1" w:rsidRDefault="00FB57D7" w:rsidP="00FB57D7">
            <w:pPr>
              <w:pStyle w:val="5TextocomnIIGG"/>
              <w:spacing w:after="120"/>
              <w:jc w:val="right"/>
              <w:rPr>
                <w:sz w:val="22"/>
                <w:szCs w:val="22"/>
              </w:rPr>
            </w:pPr>
            <w:r w:rsidRPr="00FB57D7">
              <w:rPr>
                <w:sz w:val="22"/>
                <w:szCs w:val="22"/>
              </w:rPr>
              <w:t>13,4</w:t>
            </w:r>
          </w:p>
        </w:tc>
      </w:tr>
      <w:tr w:rsidR="00FB57D7" w:rsidRPr="00C540A0" w14:paraId="26FBDE89" w14:textId="77777777" w:rsidTr="00FB57D7">
        <w:trPr>
          <w:jc w:val="center"/>
        </w:trPr>
        <w:tc>
          <w:tcPr>
            <w:tcW w:w="780" w:type="pct"/>
          </w:tcPr>
          <w:p w14:paraId="2651F425" w14:textId="77777777" w:rsidR="00FB57D7" w:rsidRPr="00F326F1" w:rsidRDefault="00FB57D7" w:rsidP="00FB57D7">
            <w:pPr>
              <w:pStyle w:val="5TextocomnIIGG"/>
              <w:spacing w:after="120"/>
              <w:rPr>
                <w:sz w:val="22"/>
                <w:szCs w:val="22"/>
              </w:rPr>
            </w:pPr>
            <w:r w:rsidRPr="00F326F1">
              <w:rPr>
                <w:sz w:val="22"/>
                <w:szCs w:val="22"/>
              </w:rPr>
              <w:t>Gral. Alvarado</w:t>
            </w:r>
          </w:p>
        </w:tc>
        <w:tc>
          <w:tcPr>
            <w:tcW w:w="704" w:type="pct"/>
            <w:tcBorders>
              <w:top w:val="single" w:sz="4" w:space="0" w:color="auto"/>
              <w:left w:val="single" w:sz="4" w:space="0" w:color="auto"/>
              <w:bottom w:val="single" w:sz="4" w:space="0" w:color="auto"/>
              <w:right w:val="single" w:sz="4" w:space="0" w:color="auto"/>
            </w:tcBorders>
            <w:vAlign w:val="bottom"/>
          </w:tcPr>
          <w:p w14:paraId="310FE5C4" w14:textId="133B8DA0" w:rsidR="00FB57D7" w:rsidRPr="00F326F1" w:rsidRDefault="00FB57D7" w:rsidP="00FB57D7">
            <w:pPr>
              <w:pStyle w:val="5TextocomnIIGG"/>
              <w:spacing w:after="120"/>
              <w:jc w:val="right"/>
              <w:rPr>
                <w:sz w:val="22"/>
                <w:szCs w:val="22"/>
              </w:rPr>
            </w:pPr>
            <w:r w:rsidRPr="00FB57D7">
              <w:rPr>
                <w:sz w:val="22"/>
                <w:szCs w:val="22"/>
              </w:rPr>
              <w:t>11,7</w:t>
            </w:r>
          </w:p>
        </w:tc>
        <w:tc>
          <w:tcPr>
            <w:tcW w:w="704" w:type="pct"/>
            <w:tcBorders>
              <w:top w:val="single" w:sz="4" w:space="0" w:color="auto"/>
              <w:left w:val="nil"/>
              <w:bottom w:val="single" w:sz="4" w:space="0" w:color="auto"/>
              <w:right w:val="nil"/>
            </w:tcBorders>
            <w:vAlign w:val="bottom"/>
          </w:tcPr>
          <w:p w14:paraId="49EE5E21" w14:textId="6EB4E2B8" w:rsidR="00FB57D7" w:rsidRPr="00F326F1" w:rsidRDefault="00FB57D7" w:rsidP="00FB57D7">
            <w:pPr>
              <w:pStyle w:val="5TextocomnIIGG"/>
              <w:spacing w:after="120"/>
              <w:jc w:val="right"/>
              <w:rPr>
                <w:sz w:val="22"/>
                <w:szCs w:val="22"/>
              </w:rPr>
            </w:pPr>
            <w:r w:rsidRPr="00FB57D7">
              <w:rPr>
                <w:sz w:val="22"/>
                <w:szCs w:val="22"/>
              </w:rPr>
              <w:t>17,4</w:t>
            </w:r>
          </w:p>
        </w:tc>
        <w:tc>
          <w:tcPr>
            <w:tcW w:w="786" w:type="pct"/>
            <w:tcBorders>
              <w:top w:val="single" w:sz="4" w:space="0" w:color="auto"/>
              <w:left w:val="single" w:sz="4" w:space="0" w:color="auto"/>
              <w:bottom w:val="single" w:sz="4" w:space="0" w:color="auto"/>
              <w:right w:val="single" w:sz="4" w:space="0" w:color="auto"/>
            </w:tcBorders>
            <w:vAlign w:val="bottom"/>
          </w:tcPr>
          <w:p w14:paraId="589DEE3B" w14:textId="2C6AB250" w:rsidR="00FB57D7" w:rsidRPr="00F326F1" w:rsidRDefault="00FB57D7" w:rsidP="00FB57D7">
            <w:pPr>
              <w:pStyle w:val="5TextocomnIIGG"/>
              <w:spacing w:after="120"/>
              <w:jc w:val="right"/>
              <w:rPr>
                <w:sz w:val="22"/>
                <w:szCs w:val="22"/>
              </w:rPr>
            </w:pPr>
            <w:r w:rsidRPr="00FB57D7">
              <w:rPr>
                <w:sz w:val="22"/>
                <w:szCs w:val="22"/>
              </w:rPr>
              <w:t>11,9</w:t>
            </w:r>
          </w:p>
        </w:tc>
        <w:tc>
          <w:tcPr>
            <w:tcW w:w="676" w:type="pct"/>
            <w:tcBorders>
              <w:top w:val="single" w:sz="4" w:space="0" w:color="auto"/>
              <w:left w:val="nil"/>
              <w:bottom w:val="single" w:sz="4" w:space="0" w:color="auto"/>
              <w:right w:val="single" w:sz="4" w:space="0" w:color="auto"/>
            </w:tcBorders>
            <w:vAlign w:val="bottom"/>
          </w:tcPr>
          <w:p w14:paraId="3DC929E5" w14:textId="14476615" w:rsidR="00FB57D7" w:rsidRPr="00F326F1" w:rsidRDefault="00FB57D7" w:rsidP="00FB57D7">
            <w:pPr>
              <w:pStyle w:val="5TextocomnIIGG"/>
              <w:spacing w:after="120"/>
              <w:jc w:val="right"/>
              <w:rPr>
                <w:sz w:val="22"/>
                <w:szCs w:val="22"/>
              </w:rPr>
            </w:pPr>
            <w:r w:rsidRPr="00FB57D7">
              <w:rPr>
                <w:sz w:val="22"/>
                <w:szCs w:val="22"/>
              </w:rPr>
              <w:t>7,5</w:t>
            </w:r>
          </w:p>
        </w:tc>
        <w:tc>
          <w:tcPr>
            <w:tcW w:w="675" w:type="pct"/>
            <w:tcBorders>
              <w:top w:val="single" w:sz="4" w:space="0" w:color="auto"/>
              <w:left w:val="nil"/>
              <w:bottom w:val="single" w:sz="4" w:space="0" w:color="auto"/>
              <w:right w:val="nil"/>
            </w:tcBorders>
            <w:vAlign w:val="bottom"/>
          </w:tcPr>
          <w:p w14:paraId="69591593" w14:textId="1223DDE4" w:rsidR="00FB57D7" w:rsidRPr="00F326F1" w:rsidRDefault="00FB57D7" w:rsidP="00FB57D7">
            <w:pPr>
              <w:pStyle w:val="5TextocomnIIGG"/>
              <w:spacing w:after="120"/>
              <w:jc w:val="right"/>
              <w:rPr>
                <w:sz w:val="22"/>
                <w:szCs w:val="22"/>
              </w:rPr>
            </w:pPr>
            <w:r w:rsidRPr="00FB57D7">
              <w:rPr>
                <w:sz w:val="22"/>
                <w:szCs w:val="22"/>
              </w:rPr>
              <w:t>-23,6</w:t>
            </w:r>
          </w:p>
        </w:tc>
        <w:tc>
          <w:tcPr>
            <w:tcW w:w="675" w:type="pct"/>
            <w:tcBorders>
              <w:top w:val="single" w:sz="4" w:space="0" w:color="auto"/>
              <w:left w:val="single" w:sz="4" w:space="0" w:color="auto"/>
              <w:bottom w:val="single" w:sz="4" w:space="0" w:color="auto"/>
              <w:right w:val="single" w:sz="4" w:space="0" w:color="auto"/>
            </w:tcBorders>
            <w:vAlign w:val="bottom"/>
          </w:tcPr>
          <w:p w14:paraId="199D8B03" w14:textId="05043864" w:rsidR="00FB57D7" w:rsidRPr="00F326F1" w:rsidRDefault="00FB57D7" w:rsidP="00FB57D7">
            <w:pPr>
              <w:pStyle w:val="5TextocomnIIGG"/>
              <w:spacing w:after="120"/>
              <w:jc w:val="right"/>
              <w:rPr>
                <w:sz w:val="22"/>
                <w:szCs w:val="22"/>
              </w:rPr>
            </w:pPr>
            <w:r w:rsidRPr="00FB57D7">
              <w:rPr>
                <w:sz w:val="22"/>
                <w:szCs w:val="22"/>
              </w:rPr>
              <w:t>16,6</w:t>
            </w:r>
          </w:p>
        </w:tc>
      </w:tr>
      <w:tr w:rsidR="00FB57D7" w:rsidRPr="00C540A0" w14:paraId="5749009B" w14:textId="77777777" w:rsidTr="00FB57D7">
        <w:trPr>
          <w:jc w:val="center"/>
        </w:trPr>
        <w:tc>
          <w:tcPr>
            <w:tcW w:w="780" w:type="pct"/>
          </w:tcPr>
          <w:p w14:paraId="2795037D" w14:textId="0C09B4CE" w:rsidR="00FB57D7" w:rsidRPr="00F326F1" w:rsidRDefault="00FB57D7" w:rsidP="00FB57D7">
            <w:pPr>
              <w:pStyle w:val="5TextocomnIIGG"/>
              <w:spacing w:after="120"/>
              <w:rPr>
                <w:sz w:val="22"/>
                <w:szCs w:val="22"/>
              </w:rPr>
            </w:pPr>
            <w:r w:rsidRPr="00F326F1">
              <w:rPr>
                <w:sz w:val="22"/>
                <w:szCs w:val="22"/>
              </w:rPr>
              <w:t>Gral.  Madariaga</w:t>
            </w:r>
          </w:p>
        </w:tc>
        <w:tc>
          <w:tcPr>
            <w:tcW w:w="704" w:type="pct"/>
            <w:tcBorders>
              <w:top w:val="single" w:sz="4" w:space="0" w:color="auto"/>
              <w:left w:val="single" w:sz="4" w:space="0" w:color="auto"/>
              <w:bottom w:val="single" w:sz="4" w:space="0" w:color="auto"/>
              <w:right w:val="single" w:sz="4" w:space="0" w:color="auto"/>
            </w:tcBorders>
            <w:vAlign w:val="bottom"/>
          </w:tcPr>
          <w:p w14:paraId="1AB3A476" w14:textId="0DF40F86" w:rsidR="00FB57D7" w:rsidRPr="00F326F1" w:rsidRDefault="00FB57D7" w:rsidP="00FB57D7">
            <w:pPr>
              <w:pStyle w:val="5TextocomnIIGG"/>
              <w:spacing w:after="120"/>
              <w:jc w:val="right"/>
              <w:rPr>
                <w:sz w:val="22"/>
                <w:szCs w:val="22"/>
              </w:rPr>
            </w:pPr>
            <w:r w:rsidRPr="00FB57D7">
              <w:rPr>
                <w:sz w:val="22"/>
                <w:szCs w:val="22"/>
              </w:rPr>
              <w:t>7,3</w:t>
            </w:r>
          </w:p>
        </w:tc>
        <w:tc>
          <w:tcPr>
            <w:tcW w:w="704" w:type="pct"/>
            <w:tcBorders>
              <w:top w:val="single" w:sz="4" w:space="0" w:color="auto"/>
              <w:left w:val="nil"/>
              <w:bottom w:val="single" w:sz="4" w:space="0" w:color="auto"/>
              <w:right w:val="nil"/>
            </w:tcBorders>
            <w:vAlign w:val="bottom"/>
          </w:tcPr>
          <w:p w14:paraId="78B8F25E" w14:textId="67044E2F" w:rsidR="00FB57D7" w:rsidRPr="00F326F1" w:rsidRDefault="00FB57D7" w:rsidP="00FB57D7">
            <w:pPr>
              <w:pStyle w:val="5TextocomnIIGG"/>
              <w:spacing w:after="120"/>
              <w:jc w:val="right"/>
              <w:rPr>
                <w:sz w:val="22"/>
                <w:szCs w:val="22"/>
              </w:rPr>
            </w:pPr>
            <w:r w:rsidRPr="00FB57D7">
              <w:rPr>
                <w:sz w:val="22"/>
                <w:szCs w:val="22"/>
              </w:rPr>
              <w:t>9,5</w:t>
            </w:r>
          </w:p>
        </w:tc>
        <w:tc>
          <w:tcPr>
            <w:tcW w:w="786" w:type="pct"/>
            <w:tcBorders>
              <w:top w:val="single" w:sz="4" w:space="0" w:color="auto"/>
              <w:left w:val="single" w:sz="4" w:space="0" w:color="auto"/>
              <w:bottom w:val="single" w:sz="4" w:space="0" w:color="auto"/>
              <w:right w:val="single" w:sz="4" w:space="0" w:color="auto"/>
            </w:tcBorders>
            <w:vAlign w:val="bottom"/>
          </w:tcPr>
          <w:p w14:paraId="6A37067E" w14:textId="2B385E5B" w:rsidR="00FB57D7" w:rsidRPr="00F326F1" w:rsidRDefault="00FB57D7" w:rsidP="00FB57D7">
            <w:pPr>
              <w:pStyle w:val="5TextocomnIIGG"/>
              <w:spacing w:after="120"/>
              <w:jc w:val="right"/>
              <w:rPr>
                <w:sz w:val="22"/>
                <w:szCs w:val="22"/>
              </w:rPr>
            </w:pPr>
            <w:r w:rsidRPr="00FB57D7">
              <w:rPr>
                <w:sz w:val="22"/>
                <w:szCs w:val="22"/>
              </w:rPr>
              <w:t>11,6</w:t>
            </w:r>
          </w:p>
        </w:tc>
        <w:tc>
          <w:tcPr>
            <w:tcW w:w="676" w:type="pct"/>
            <w:tcBorders>
              <w:top w:val="single" w:sz="4" w:space="0" w:color="auto"/>
              <w:left w:val="nil"/>
              <w:bottom w:val="single" w:sz="4" w:space="0" w:color="auto"/>
              <w:right w:val="single" w:sz="4" w:space="0" w:color="auto"/>
            </w:tcBorders>
            <w:vAlign w:val="bottom"/>
          </w:tcPr>
          <w:p w14:paraId="5C0103D6" w14:textId="2C889783" w:rsidR="00FB57D7" w:rsidRPr="00F326F1" w:rsidRDefault="00FB57D7" w:rsidP="00FB57D7">
            <w:pPr>
              <w:pStyle w:val="5TextocomnIIGG"/>
              <w:spacing w:after="120"/>
              <w:jc w:val="right"/>
              <w:rPr>
                <w:sz w:val="22"/>
                <w:szCs w:val="22"/>
              </w:rPr>
            </w:pPr>
            <w:r w:rsidRPr="00FB57D7">
              <w:rPr>
                <w:sz w:val="22"/>
                <w:szCs w:val="22"/>
              </w:rPr>
              <w:t>53,0</w:t>
            </w:r>
          </w:p>
        </w:tc>
        <w:tc>
          <w:tcPr>
            <w:tcW w:w="675" w:type="pct"/>
            <w:tcBorders>
              <w:top w:val="single" w:sz="4" w:space="0" w:color="auto"/>
              <w:left w:val="nil"/>
              <w:bottom w:val="single" w:sz="4" w:space="0" w:color="auto"/>
              <w:right w:val="nil"/>
            </w:tcBorders>
            <w:vAlign w:val="bottom"/>
          </w:tcPr>
          <w:p w14:paraId="2DFD1072" w14:textId="0F2936E3" w:rsidR="00FB57D7" w:rsidRPr="00F326F1" w:rsidRDefault="00FB57D7" w:rsidP="00FB57D7">
            <w:pPr>
              <w:pStyle w:val="5TextocomnIIGG"/>
              <w:spacing w:after="120"/>
              <w:jc w:val="right"/>
              <w:rPr>
                <w:sz w:val="22"/>
                <w:szCs w:val="22"/>
              </w:rPr>
            </w:pPr>
            <w:r w:rsidRPr="00FB57D7">
              <w:rPr>
                <w:sz w:val="22"/>
                <w:szCs w:val="22"/>
              </w:rPr>
              <w:t>14,5</w:t>
            </w:r>
          </w:p>
        </w:tc>
        <w:tc>
          <w:tcPr>
            <w:tcW w:w="675" w:type="pct"/>
            <w:tcBorders>
              <w:top w:val="single" w:sz="4" w:space="0" w:color="auto"/>
              <w:left w:val="single" w:sz="4" w:space="0" w:color="auto"/>
              <w:bottom w:val="single" w:sz="4" w:space="0" w:color="auto"/>
              <w:right w:val="single" w:sz="4" w:space="0" w:color="auto"/>
            </w:tcBorders>
            <w:vAlign w:val="bottom"/>
          </w:tcPr>
          <w:p w14:paraId="606CA7E0" w14:textId="3B2B6214" w:rsidR="00FB57D7" w:rsidRPr="00F326F1" w:rsidRDefault="00FB57D7" w:rsidP="00FB57D7">
            <w:pPr>
              <w:pStyle w:val="5TextocomnIIGG"/>
              <w:spacing w:after="120"/>
              <w:jc w:val="right"/>
              <w:rPr>
                <w:sz w:val="22"/>
                <w:szCs w:val="22"/>
              </w:rPr>
            </w:pPr>
            <w:r w:rsidRPr="00FB57D7">
              <w:rPr>
                <w:sz w:val="22"/>
                <w:szCs w:val="22"/>
              </w:rPr>
              <w:t>28,9</w:t>
            </w:r>
          </w:p>
        </w:tc>
      </w:tr>
      <w:tr w:rsidR="00FB57D7" w:rsidRPr="00C540A0" w14:paraId="05922E33" w14:textId="77777777" w:rsidTr="00FB57D7">
        <w:trPr>
          <w:jc w:val="center"/>
        </w:trPr>
        <w:tc>
          <w:tcPr>
            <w:tcW w:w="780" w:type="pct"/>
          </w:tcPr>
          <w:p w14:paraId="26A91EA4" w14:textId="3F4F71F7" w:rsidR="00FB57D7" w:rsidRPr="00F326F1" w:rsidRDefault="00FB57D7" w:rsidP="00FB57D7">
            <w:pPr>
              <w:pStyle w:val="5TextocomnIIGG"/>
              <w:spacing w:after="120"/>
              <w:rPr>
                <w:sz w:val="22"/>
                <w:szCs w:val="22"/>
              </w:rPr>
            </w:pPr>
            <w:r w:rsidRPr="00F326F1">
              <w:rPr>
                <w:sz w:val="22"/>
                <w:szCs w:val="22"/>
              </w:rPr>
              <w:t>Gral. Pueyrred</w:t>
            </w:r>
            <w:r>
              <w:rPr>
                <w:sz w:val="22"/>
                <w:szCs w:val="22"/>
              </w:rPr>
              <w:t>o</w:t>
            </w:r>
            <w:r w:rsidRPr="00F326F1">
              <w:rPr>
                <w:sz w:val="22"/>
                <w:szCs w:val="22"/>
              </w:rPr>
              <w:t>n</w:t>
            </w:r>
          </w:p>
        </w:tc>
        <w:tc>
          <w:tcPr>
            <w:tcW w:w="704" w:type="pct"/>
            <w:tcBorders>
              <w:top w:val="single" w:sz="4" w:space="0" w:color="auto"/>
              <w:left w:val="single" w:sz="4" w:space="0" w:color="auto"/>
              <w:bottom w:val="single" w:sz="4" w:space="0" w:color="auto"/>
              <w:right w:val="single" w:sz="4" w:space="0" w:color="auto"/>
            </w:tcBorders>
            <w:vAlign w:val="bottom"/>
          </w:tcPr>
          <w:p w14:paraId="4109355F" w14:textId="0A5E7B47" w:rsidR="00FB57D7" w:rsidRPr="00F326F1" w:rsidRDefault="00FB57D7" w:rsidP="00FB57D7">
            <w:pPr>
              <w:pStyle w:val="5TextocomnIIGG"/>
              <w:spacing w:after="120"/>
              <w:jc w:val="right"/>
              <w:rPr>
                <w:sz w:val="22"/>
                <w:szCs w:val="22"/>
              </w:rPr>
            </w:pPr>
            <w:r w:rsidRPr="00FB57D7">
              <w:rPr>
                <w:sz w:val="22"/>
                <w:szCs w:val="22"/>
              </w:rPr>
              <w:t>5,4</w:t>
            </w:r>
          </w:p>
        </w:tc>
        <w:tc>
          <w:tcPr>
            <w:tcW w:w="704" w:type="pct"/>
            <w:tcBorders>
              <w:top w:val="single" w:sz="4" w:space="0" w:color="auto"/>
              <w:left w:val="nil"/>
              <w:bottom w:val="single" w:sz="4" w:space="0" w:color="auto"/>
              <w:right w:val="nil"/>
            </w:tcBorders>
            <w:vAlign w:val="bottom"/>
          </w:tcPr>
          <w:p w14:paraId="19515568" w14:textId="65ABF662" w:rsidR="00FB57D7" w:rsidRPr="00F326F1" w:rsidRDefault="00FB57D7" w:rsidP="00FB57D7">
            <w:pPr>
              <w:pStyle w:val="5TextocomnIIGG"/>
              <w:spacing w:after="120"/>
              <w:jc w:val="right"/>
              <w:rPr>
                <w:sz w:val="22"/>
                <w:szCs w:val="22"/>
              </w:rPr>
            </w:pPr>
            <w:r w:rsidRPr="00FB57D7">
              <w:rPr>
                <w:sz w:val="22"/>
                <w:szCs w:val="22"/>
              </w:rPr>
              <w:t>11,5</w:t>
            </w:r>
          </w:p>
        </w:tc>
        <w:tc>
          <w:tcPr>
            <w:tcW w:w="786" w:type="pct"/>
            <w:tcBorders>
              <w:top w:val="single" w:sz="4" w:space="0" w:color="auto"/>
              <w:left w:val="single" w:sz="4" w:space="0" w:color="auto"/>
              <w:bottom w:val="single" w:sz="4" w:space="0" w:color="auto"/>
              <w:right w:val="single" w:sz="4" w:space="0" w:color="auto"/>
            </w:tcBorders>
            <w:vAlign w:val="bottom"/>
          </w:tcPr>
          <w:p w14:paraId="60462CBA" w14:textId="1117F229" w:rsidR="00FB57D7" w:rsidRPr="00F326F1" w:rsidRDefault="00FB57D7" w:rsidP="00FB57D7">
            <w:pPr>
              <w:pStyle w:val="5TextocomnIIGG"/>
              <w:spacing w:after="120"/>
              <w:jc w:val="right"/>
              <w:rPr>
                <w:sz w:val="22"/>
                <w:szCs w:val="22"/>
              </w:rPr>
            </w:pPr>
            <w:r w:rsidRPr="00FB57D7">
              <w:rPr>
                <w:sz w:val="22"/>
                <w:szCs w:val="22"/>
              </w:rPr>
              <w:t>6,4</w:t>
            </w:r>
          </w:p>
        </w:tc>
        <w:tc>
          <w:tcPr>
            <w:tcW w:w="676" w:type="pct"/>
            <w:tcBorders>
              <w:top w:val="single" w:sz="4" w:space="0" w:color="auto"/>
              <w:left w:val="nil"/>
              <w:bottom w:val="single" w:sz="4" w:space="0" w:color="auto"/>
              <w:right w:val="single" w:sz="4" w:space="0" w:color="auto"/>
            </w:tcBorders>
            <w:vAlign w:val="bottom"/>
          </w:tcPr>
          <w:p w14:paraId="7F2ED361" w14:textId="5EB1B93A" w:rsidR="00FB57D7" w:rsidRPr="00F326F1" w:rsidRDefault="00FB57D7" w:rsidP="00FB57D7">
            <w:pPr>
              <w:pStyle w:val="5TextocomnIIGG"/>
              <w:spacing w:after="120"/>
              <w:jc w:val="right"/>
              <w:rPr>
                <w:sz w:val="22"/>
                <w:szCs w:val="22"/>
              </w:rPr>
            </w:pPr>
            <w:r w:rsidRPr="00FB57D7">
              <w:rPr>
                <w:sz w:val="22"/>
                <w:szCs w:val="22"/>
              </w:rPr>
              <w:t>15,1</w:t>
            </w:r>
          </w:p>
        </w:tc>
        <w:tc>
          <w:tcPr>
            <w:tcW w:w="675" w:type="pct"/>
            <w:tcBorders>
              <w:top w:val="single" w:sz="4" w:space="0" w:color="auto"/>
              <w:left w:val="nil"/>
              <w:bottom w:val="single" w:sz="4" w:space="0" w:color="auto"/>
              <w:right w:val="nil"/>
            </w:tcBorders>
            <w:vAlign w:val="bottom"/>
          </w:tcPr>
          <w:p w14:paraId="42701B16" w14:textId="631BD7F6" w:rsidR="00FB57D7" w:rsidRPr="00F326F1" w:rsidRDefault="00FB57D7" w:rsidP="00FB57D7">
            <w:pPr>
              <w:pStyle w:val="5TextocomnIIGG"/>
              <w:spacing w:after="120"/>
              <w:jc w:val="right"/>
              <w:rPr>
                <w:sz w:val="22"/>
                <w:szCs w:val="22"/>
              </w:rPr>
            </w:pPr>
            <w:r w:rsidRPr="00FB57D7">
              <w:rPr>
                <w:sz w:val="22"/>
                <w:szCs w:val="22"/>
              </w:rPr>
              <w:t>-26,7</w:t>
            </w:r>
          </w:p>
        </w:tc>
        <w:tc>
          <w:tcPr>
            <w:tcW w:w="675" w:type="pct"/>
            <w:tcBorders>
              <w:top w:val="single" w:sz="4" w:space="0" w:color="auto"/>
              <w:left w:val="single" w:sz="4" w:space="0" w:color="auto"/>
              <w:bottom w:val="single" w:sz="4" w:space="0" w:color="auto"/>
              <w:right w:val="single" w:sz="4" w:space="0" w:color="auto"/>
            </w:tcBorders>
            <w:vAlign w:val="bottom"/>
          </w:tcPr>
          <w:p w14:paraId="61CBF5BB" w14:textId="3E38D5CE" w:rsidR="00FB57D7" w:rsidRPr="00F326F1" w:rsidRDefault="00FB57D7" w:rsidP="00FB57D7">
            <w:pPr>
              <w:pStyle w:val="5TextocomnIIGG"/>
              <w:spacing w:after="120"/>
              <w:jc w:val="right"/>
              <w:rPr>
                <w:sz w:val="22"/>
                <w:szCs w:val="22"/>
              </w:rPr>
            </w:pPr>
            <w:r w:rsidRPr="00FB57D7">
              <w:rPr>
                <w:sz w:val="22"/>
                <w:szCs w:val="22"/>
              </w:rPr>
              <w:t>-15,1</w:t>
            </w:r>
          </w:p>
        </w:tc>
      </w:tr>
      <w:tr w:rsidR="00FB57D7" w:rsidRPr="00C540A0" w14:paraId="39A81124" w14:textId="77777777" w:rsidTr="00FB57D7">
        <w:trPr>
          <w:jc w:val="center"/>
        </w:trPr>
        <w:tc>
          <w:tcPr>
            <w:tcW w:w="780" w:type="pct"/>
          </w:tcPr>
          <w:p w14:paraId="5402FC05" w14:textId="77777777" w:rsidR="00FB57D7" w:rsidRPr="00F326F1" w:rsidRDefault="00FB57D7" w:rsidP="00FB57D7">
            <w:pPr>
              <w:pStyle w:val="5TextocomnIIGG"/>
              <w:spacing w:after="120"/>
              <w:rPr>
                <w:sz w:val="22"/>
                <w:szCs w:val="22"/>
              </w:rPr>
            </w:pPr>
            <w:r w:rsidRPr="00F326F1">
              <w:rPr>
                <w:sz w:val="22"/>
                <w:szCs w:val="22"/>
              </w:rPr>
              <w:t>Lobería</w:t>
            </w:r>
          </w:p>
        </w:tc>
        <w:tc>
          <w:tcPr>
            <w:tcW w:w="704" w:type="pct"/>
            <w:tcBorders>
              <w:top w:val="single" w:sz="4" w:space="0" w:color="auto"/>
              <w:left w:val="single" w:sz="4" w:space="0" w:color="auto"/>
              <w:bottom w:val="single" w:sz="4" w:space="0" w:color="auto"/>
              <w:right w:val="single" w:sz="4" w:space="0" w:color="auto"/>
            </w:tcBorders>
            <w:vAlign w:val="bottom"/>
          </w:tcPr>
          <w:p w14:paraId="118B2D14" w14:textId="256F06B8" w:rsidR="00FB57D7" w:rsidRPr="00F326F1" w:rsidRDefault="00FB57D7" w:rsidP="00FB57D7">
            <w:pPr>
              <w:pStyle w:val="5TextocomnIIGG"/>
              <w:spacing w:after="120"/>
              <w:jc w:val="right"/>
              <w:rPr>
                <w:sz w:val="22"/>
                <w:szCs w:val="22"/>
              </w:rPr>
            </w:pPr>
            <w:r w:rsidRPr="00FB57D7">
              <w:rPr>
                <w:sz w:val="22"/>
                <w:szCs w:val="22"/>
              </w:rPr>
              <w:t>-3,5</w:t>
            </w:r>
          </w:p>
        </w:tc>
        <w:tc>
          <w:tcPr>
            <w:tcW w:w="704" w:type="pct"/>
            <w:tcBorders>
              <w:top w:val="single" w:sz="4" w:space="0" w:color="auto"/>
              <w:left w:val="nil"/>
              <w:bottom w:val="single" w:sz="4" w:space="0" w:color="auto"/>
              <w:right w:val="nil"/>
            </w:tcBorders>
            <w:vAlign w:val="bottom"/>
          </w:tcPr>
          <w:p w14:paraId="234D02E7" w14:textId="2F61943E" w:rsidR="00FB57D7" w:rsidRPr="00F326F1" w:rsidRDefault="00FB57D7" w:rsidP="00FB57D7">
            <w:pPr>
              <w:pStyle w:val="5TextocomnIIGG"/>
              <w:spacing w:after="120"/>
              <w:jc w:val="right"/>
              <w:rPr>
                <w:sz w:val="22"/>
                <w:szCs w:val="22"/>
              </w:rPr>
            </w:pPr>
            <w:r w:rsidRPr="00FB57D7">
              <w:rPr>
                <w:sz w:val="22"/>
                <w:szCs w:val="22"/>
              </w:rPr>
              <w:t>3,7</w:t>
            </w:r>
          </w:p>
        </w:tc>
        <w:tc>
          <w:tcPr>
            <w:tcW w:w="786" w:type="pct"/>
            <w:tcBorders>
              <w:top w:val="single" w:sz="4" w:space="0" w:color="auto"/>
              <w:left w:val="single" w:sz="4" w:space="0" w:color="auto"/>
              <w:bottom w:val="single" w:sz="4" w:space="0" w:color="auto"/>
              <w:right w:val="single" w:sz="4" w:space="0" w:color="auto"/>
            </w:tcBorders>
            <w:vAlign w:val="bottom"/>
          </w:tcPr>
          <w:p w14:paraId="5C7518F4" w14:textId="4D80C85E" w:rsidR="00FB57D7" w:rsidRPr="00F326F1" w:rsidRDefault="00FB57D7" w:rsidP="00FB57D7">
            <w:pPr>
              <w:pStyle w:val="5TextocomnIIGG"/>
              <w:spacing w:after="120"/>
              <w:jc w:val="right"/>
              <w:rPr>
                <w:sz w:val="22"/>
                <w:szCs w:val="22"/>
              </w:rPr>
            </w:pPr>
            <w:r w:rsidRPr="00FB57D7">
              <w:rPr>
                <w:sz w:val="22"/>
                <w:szCs w:val="22"/>
              </w:rPr>
              <w:t>3,4</w:t>
            </w:r>
          </w:p>
        </w:tc>
        <w:tc>
          <w:tcPr>
            <w:tcW w:w="676" w:type="pct"/>
            <w:tcBorders>
              <w:top w:val="single" w:sz="4" w:space="0" w:color="auto"/>
              <w:left w:val="nil"/>
              <w:bottom w:val="single" w:sz="4" w:space="0" w:color="auto"/>
              <w:right w:val="single" w:sz="4" w:space="0" w:color="auto"/>
            </w:tcBorders>
            <w:vAlign w:val="bottom"/>
          </w:tcPr>
          <w:p w14:paraId="134B3BF5" w14:textId="6093A0AD" w:rsidR="00FB57D7" w:rsidRPr="00F326F1" w:rsidRDefault="00FB57D7" w:rsidP="00FB57D7">
            <w:pPr>
              <w:pStyle w:val="5TextocomnIIGG"/>
              <w:spacing w:after="120"/>
              <w:jc w:val="right"/>
              <w:rPr>
                <w:sz w:val="22"/>
                <w:szCs w:val="22"/>
              </w:rPr>
            </w:pPr>
            <w:r w:rsidRPr="00FB57D7">
              <w:rPr>
                <w:sz w:val="22"/>
                <w:szCs w:val="22"/>
              </w:rPr>
              <w:t>-2,9</w:t>
            </w:r>
          </w:p>
        </w:tc>
        <w:tc>
          <w:tcPr>
            <w:tcW w:w="675" w:type="pct"/>
            <w:tcBorders>
              <w:top w:val="single" w:sz="4" w:space="0" w:color="auto"/>
              <w:left w:val="nil"/>
              <w:bottom w:val="single" w:sz="4" w:space="0" w:color="auto"/>
              <w:right w:val="nil"/>
            </w:tcBorders>
            <w:vAlign w:val="bottom"/>
          </w:tcPr>
          <w:p w14:paraId="4847EE62" w14:textId="1A880795" w:rsidR="00FB57D7" w:rsidRPr="00F326F1" w:rsidRDefault="00FB57D7" w:rsidP="00FB57D7">
            <w:pPr>
              <w:pStyle w:val="5TextocomnIIGG"/>
              <w:spacing w:after="120"/>
              <w:jc w:val="right"/>
              <w:rPr>
                <w:sz w:val="22"/>
                <w:szCs w:val="22"/>
              </w:rPr>
            </w:pPr>
            <w:r w:rsidRPr="00FB57D7">
              <w:rPr>
                <w:sz w:val="22"/>
                <w:szCs w:val="22"/>
              </w:rPr>
              <w:t>41,1</w:t>
            </w:r>
          </w:p>
        </w:tc>
        <w:tc>
          <w:tcPr>
            <w:tcW w:w="675" w:type="pct"/>
            <w:tcBorders>
              <w:top w:val="single" w:sz="4" w:space="0" w:color="auto"/>
              <w:left w:val="single" w:sz="4" w:space="0" w:color="auto"/>
              <w:bottom w:val="single" w:sz="4" w:space="0" w:color="auto"/>
              <w:right w:val="single" w:sz="4" w:space="0" w:color="auto"/>
            </w:tcBorders>
            <w:vAlign w:val="bottom"/>
          </w:tcPr>
          <w:p w14:paraId="0A911147" w14:textId="6F97A6D5" w:rsidR="00FB57D7" w:rsidRPr="00F326F1" w:rsidRDefault="00FB57D7" w:rsidP="00FB57D7">
            <w:pPr>
              <w:pStyle w:val="5TextocomnIIGG"/>
              <w:spacing w:after="120"/>
              <w:jc w:val="right"/>
              <w:rPr>
                <w:sz w:val="22"/>
                <w:szCs w:val="22"/>
              </w:rPr>
            </w:pPr>
            <w:r w:rsidRPr="00FB57D7">
              <w:rPr>
                <w:sz w:val="22"/>
                <w:szCs w:val="22"/>
              </w:rPr>
              <w:t>45,1</w:t>
            </w:r>
          </w:p>
        </w:tc>
      </w:tr>
      <w:tr w:rsidR="00FB57D7" w:rsidRPr="00C540A0" w14:paraId="113020AA" w14:textId="77777777" w:rsidTr="00FB57D7">
        <w:trPr>
          <w:jc w:val="center"/>
        </w:trPr>
        <w:tc>
          <w:tcPr>
            <w:tcW w:w="780" w:type="pct"/>
          </w:tcPr>
          <w:p w14:paraId="7FA66AB7" w14:textId="77777777" w:rsidR="00FB57D7" w:rsidRPr="00F326F1" w:rsidRDefault="00FB57D7" w:rsidP="00FB57D7">
            <w:pPr>
              <w:pStyle w:val="5TextocomnIIGG"/>
              <w:spacing w:after="120"/>
              <w:rPr>
                <w:sz w:val="22"/>
                <w:szCs w:val="22"/>
              </w:rPr>
            </w:pPr>
            <w:r w:rsidRPr="00F326F1">
              <w:rPr>
                <w:sz w:val="22"/>
                <w:szCs w:val="22"/>
              </w:rPr>
              <w:t>Maipú</w:t>
            </w:r>
          </w:p>
        </w:tc>
        <w:tc>
          <w:tcPr>
            <w:tcW w:w="704" w:type="pct"/>
            <w:tcBorders>
              <w:top w:val="single" w:sz="4" w:space="0" w:color="auto"/>
              <w:left w:val="single" w:sz="4" w:space="0" w:color="auto"/>
              <w:bottom w:val="single" w:sz="4" w:space="0" w:color="auto"/>
              <w:right w:val="single" w:sz="4" w:space="0" w:color="auto"/>
            </w:tcBorders>
            <w:vAlign w:val="bottom"/>
          </w:tcPr>
          <w:p w14:paraId="2E58EA1D" w14:textId="27E83310" w:rsidR="00FB57D7" w:rsidRPr="00F326F1" w:rsidRDefault="00FB57D7" w:rsidP="00FB57D7">
            <w:pPr>
              <w:pStyle w:val="5TextocomnIIGG"/>
              <w:spacing w:after="120"/>
              <w:jc w:val="right"/>
              <w:rPr>
                <w:sz w:val="22"/>
                <w:szCs w:val="22"/>
              </w:rPr>
            </w:pPr>
            <w:r w:rsidRPr="00FB57D7">
              <w:rPr>
                <w:sz w:val="22"/>
                <w:szCs w:val="22"/>
              </w:rPr>
              <w:t>1,4</w:t>
            </w:r>
          </w:p>
        </w:tc>
        <w:tc>
          <w:tcPr>
            <w:tcW w:w="704" w:type="pct"/>
            <w:tcBorders>
              <w:top w:val="single" w:sz="4" w:space="0" w:color="auto"/>
              <w:left w:val="nil"/>
              <w:bottom w:val="single" w:sz="4" w:space="0" w:color="auto"/>
              <w:right w:val="nil"/>
            </w:tcBorders>
            <w:vAlign w:val="bottom"/>
          </w:tcPr>
          <w:p w14:paraId="241A2949" w14:textId="11FBC60E" w:rsidR="00FB57D7" w:rsidRPr="00F326F1" w:rsidRDefault="00FB57D7" w:rsidP="00FB57D7">
            <w:pPr>
              <w:pStyle w:val="5TextocomnIIGG"/>
              <w:spacing w:after="120"/>
              <w:jc w:val="right"/>
              <w:rPr>
                <w:sz w:val="22"/>
                <w:szCs w:val="22"/>
              </w:rPr>
            </w:pPr>
            <w:r w:rsidRPr="00FB57D7">
              <w:rPr>
                <w:sz w:val="22"/>
                <w:szCs w:val="22"/>
              </w:rPr>
              <w:t>-0,1</w:t>
            </w:r>
          </w:p>
        </w:tc>
        <w:tc>
          <w:tcPr>
            <w:tcW w:w="786" w:type="pct"/>
            <w:tcBorders>
              <w:top w:val="single" w:sz="4" w:space="0" w:color="auto"/>
              <w:left w:val="single" w:sz="4" w:space="0" w:color="auto"/>
              <w:bottom w:val="single" w:sz="4" w:space="0" w:color="auto"/>
              <w:right w:val="single" w:sz="4" w:space="0" w:color="auto"/>
            </w:tcBorders>
            <w:vAlign w:val="bottom"/>
          </w:tcPr>
          <w:p w14:paraId="1AAEABB1" w14:textId="02E9C761" w:rsidR="00FB57D7" w:rsidRPr="00F326F1" w:rsidRDefault="00FB57D7" w:rsidP="00FB57D7">
            <w:pPr>
              <w:pStyle w:val="5TextocomnIIGG"/>
              <w:spacing w:after="120"/>
              <w:jc w:val="right"/>
              <w:rPr>
                <w:sz w:val="22"/>
                <w:szCs w:val="22"/>
              </w:rPr>
            </w:pPr>
            <w:r w:rsidRPr="00FB57D7">
              <w:rPr>
                <w:sz w:val="22"/>
                <w:szCs w:val="22"/>
              </w:rPr>
              <w:t>9,0</w:t>
            </w:r>
          </w:p>
        </w:tc>
        <w:tc>
          <w:tcPr>
            <w:tcW w:w="676" w:type="pct"/>
            <w:tcBorders>
              <w:top w:val="single" w:sz="4" w:space="0" w:color="auto"/>
              <w:left w:val="nil"/>
              <w:bottom w:val="single" w:sz="4" w:space="0" w:color="auto"/>
              <w:right w:val="single" w:sz="4" w:space="0" w:color="auto"/>
            </w:tcBorders>
            <w:vAlign w:val="bottom"/>
          </w:tcPr>
          <w:p w14:paraId="39FD546E" w14:textId="5D9281DE" w:rsidR="00FB57D7" w:rsidRPr="00F326F1" w:rsidRDefault="00FB57D7" w:rsidP="00FB57D7">
            <w:pPr>
              <w:pStyle w:val="5TextocomnIIGG"/>
              <w:spacing w:after="120"/>
              <w:jc w:val="right"/>
              <w:rPr>
                <w:sz w:val="22"/>
                <w:szCs w:val="22"/>
              </w:rPr>
            </w:pPr>
            <w:r w:rsidRPr="00FB57D7">
              <w:rPr>
                <w:sz w:val="22"/>
                <w:szCs w:val="22"/>
              </w:rPr>
              <w:t>11,8</w:t>
            </w:r>
          </w:p>
        </w:tc>
        <w:tc>
          <w:tcPr>
            <w:tcW w:w="675" w:type="pct"/>
            <w:tcBorders>
              <w:top w:val="single" w:sz="4" w:space="0" w:color="auto"/>
              <w:left w:val="nil"/>
              <w:bottom w:val="single" w:sz="4" w:space="0" w:color="auto"/>
              <w:right w:val="nil"/>
            </w:tcBorders>
            <w:vAlign w:val="bottom"/>
          </w:tcPr>
          <w:p w14:paraId="469CE377" w14:textId="588D133E" w:rsidR="00FB57D7" w:rsidRPr="00F326F1" w:rsidRDefault="00FB57D7" w:rsidP="00FB57D7">
            <w:pPr>
              <w:pStyle w:val="5TextocomnIIGG"/>
              <w:spacing w:after="120"/>
              <w:jc w:val="right"/>
              <w:rPr>
                <w:sz w:val="22"/>
                <w:szCs w:val="22"/>
              </w:rPr>
            </w:pPr>
            <w:r w:rsidRPr="00FB57D7">
              <w:rPr>
                <w:sz w:val="22"/>
                <w:szCs w:val="22"/>
              </w:rPr>
              <w:t>79,9</w:t>
            </w:r>
          </w:p>
        </w:tc>
        <w:tc>
          <w:tcPr>
            <w:tcW w:w="675" w:type="pct"/>
            <w:tcBorders>
              <w:top w:val="single" w:sz="4" w:space="0" w:color="auto"/>
              <w:left w:val="single" w:sz="4" w:space="0" w:color="auto"/>
              <w:bottom w:val="single" w:sz="4" w:space="0" w:color="auto"/>
              <w:right w:val="single" w:sz="4" w:space="0" w:color="auto"/>
            </w:tcBorders>
            <w:vAlign w:val="bottom"/>
          </w:tcPr>
          <w:p w14:paraId="0BCF2E77" w14:textId="37280A17" w:rsidR="00FB57D7" w:rsidRPr="00F326F1" w:rsidRDefault="00FB57D7" w:rsidP="00FB57D7">
            <w:pPr>
              <w:pStyle w:val="5TextocomnIIGG"/>
              <w:spacing w:after="120"/>
              <w:jc w:val="right"/>
              <w:rPr>
                <w:sz w:val="22"/>
                <w:szCs w:val="22"/>
              </w:rPr>
            </w:pPr>
            <w:r w:rsidRPr="00FB57D7">
              <w:rPr>
                <w:sz w:val="22"/>
                <w:szCs w:val="22"/>
              </w:rPr>
              <w:t>14,5</w:t>
            </w:r>
          </w:p>
        </w:tc>
      </w:tr>
      <w:tr w:rsidR="00FB57D7" w:rsidRPr="00C540A0" w14:paraId="4E5FAD77" w14:textId="77777777" w:rsidTr="00FB57D7">
        <w:trPr>
          <w:jc w:val="center"/>
        </w:trPr>
        <w:tc>
          <w:tcPr>
            <w:tcW w:w="780" w:type="pct"/>
          </w:tcPr>
          <w:p w14:paraId="7E61DAB8" w14:textId="77777777" w:rsidR="00FB57D7" w:rsidRPr="00F326F1" w:rsidRDefault="00FB57D7" w:rsidP="00FB57D7">
            <w:pPr>
              <w:pStyle w:val="5TextocomnIIGG"/>
              <w:spacing w:after="120"/>
              <w:rPr>
                <w:sz w:val="22"/>
                <w:szCs w:val="22"/>
              </w:rPr>
            </w:pPr>
            <w:r w:rsidRPr="00F326F1">
              <w:rPr>
                <w:sz w:val="22"/>
                <w:szCs w:val="22"/>
              </w:rPr>
              <w:t>Mar Chiquita</w:t>
            </w:r>
          </w:p>
        </w:tc>
        <w:tc>
          <w:tcPr>
            <w:tcW w:w="704" w:type="pct"/>
            <w:tcBorders>
              <w:top w:val="single" w:sz="4" w:space="0" w:color="auto"/>
              <w:left w:val="single" w:sz="4" w:space="0" w:color="auto"/>
              <w:bottom w:val="single" w:sz="4" w:space="0" w:color="auto"/>
              <w:right w:val="single" w:sz="4" w:space="0" w:color="auto"/>
            </w:tcBorders>
            <w:vAlign w:val="bottom"/>
          </w:tcPr>
          <w:p w14:paraId="0B10B132" w14:textId="1617E2A9" w:rsidR="00FB57D7" w:rsidRPr="00F326F1" w:rsidRDefault="00FB57D7" w:rsidP="00FB57D7">
            <w:pPr>
              <w:pStyle w:val="5TextocomnIIGG"/>
              <w:spacing w:after="120"/>
              <w:jc w:val="right"/>
              <w:rPr>
                <w:sz w:val="22"/>
                <w:szCs w:val="22"/>
              </w:rPr>
            </w:pPr>
            <w:r w:rsidRPr="00FB57D7">
              <w:rPr>
                <w:sz w:val="22"/>
                <w:szCs w:val="22"/>
              </w:rPr>
              <w:t>17,4</w:t>
            </w:r>
          </w:p>
        </w:tc>
        <w:tc>
          <w:tcPr>
            <w:tcW w:w="704" w:type="pct"/>
            <w:tcBorders>
              <w:top w:val="single" w:sz="4" w:space="0" w:color="auto"/>
              <w:left w:val="nil"/>
              <w:bottom w:val="single" w:sz="4" w:space="0" w:color="auto"/>
              <w:right w:val="nil"/>
            </w:tcBorders>
            <w:vAlign w:val="bottom"/>
          </w:tcPr>
          <w:p w14:paraId="1A6A7174" w14:textId="2D5F19C1" w:rsidR="00FB57D7" w:rsidRPr="00F326F1" w:rsidRDefault="00FB57D7" w:rsidP="00FB57D7">
            <w:pPr>
              <w:pStyle w:val="5TextocomnIIGG"/>
              <w:spacing w:after="120"/>
              <w:jc w:val="right"/>
              <w:rPr>
                <w:sz w:val="22"/>
                <w:szCs w:val="22"/>
              </w:rPr>
            </w:pPr>
            <w:r w:rsidRPr="00FB57D7">
              <w:rPr>
                <w:sz w:val="22"/>
                <w:szCs w:val="22"/>
              </w:rPr>
              <w:t>21,3</w:t>
            </w:r>
          </w:p>
        </w:tc>
        <w:tc>
          <w:tcPr>
            <w:tcW w:w="786" w:type="pct"/>
            <w:tcBorders>
              <w:top w:val="single" w:sz="4" w:space="0" w:color="auto"/>
              <w:left w:val="single" w:sz="4" w:space="0" w:color="auto"/>
              <w:bottom w:val="single" w:sz="4" w:space="0" w:color="auto"/>
              <w:right w:val="single" w:sz="4" w:space="0" w:color="auto"/>
            </w:tcBorders>
            <w:vAlign w:val="bottom"/>
          </w:tcPr>
          <w:p w14:paraId="008F4204" w14:textId="346BC8F8" w:rsidR="00FB57D7" w:rsidRPr="00F326F1" w:rsidRDefault="00FB57D7" w:rsidP="00FB57D7">
            <w:pPr>
              <w:pStyle w:val="5TextocomnIIGG"/>
              <w:spacing w:after="120"/>
              <w:jc w:val="right"/>
              <w:rPr>
                <w:sz w:val="22"/>
                <w:szCs w:val="22"/>
              </w:rPr>
            </w:pPr>
            <w:r w:rsidRPr="00FB57D7">
              <w:rPr>
                <w:sz w:val="22"/>
                <w:szCs w:val="22"/>
              </w:rPr>
              <w:t>37,8</w:t>
            </w:r>
          </w:p>
        </w:tc>
        <w:tc>
          <w:tcPr>
            <w:tcW w:w="676" w:type="pct"/>
            <w:tcBorders>
              <w:top w:val="single" w:sz="4" w:space="0" w:color="auto"/>
              <w:left w:val="nil"/>
              <w:bottom w:val="single" w:sz="4" w:space="0" w:color="auto"/>
              <w:right w:val="single" w:sz="4" w:space="0" w:color="auto"/>
            </w:tcBorders>
            <w:vAlign w:val="bottom"/>
          </w:tcPr>
          <w:p w14:paraId="12E442E3" w14:textId="2609B35A" w:rsidR="00FB57D7" w:rsidRPr="00F326F1" w:rsidRDefault="00FB57D7" w:rsidP="00FB57D7">
            <w:pPr>
              <w:pStyle w:val="5TextocomnIIGG"/>
              <w:spacing w:after="120"/>
              <w:jc w:val="right"/>
              <w:rPr>
                <w:sz w:val="22"/>
                <w:szCs w:val="22"/>
              </w:rPr>
            </w:pPr>
            <w:r w:rsidRPr="00FB57D7">
              <w:rPr>
                <w:sz w:val="22"/>
                <w:szCs w:val="22"/>
              </w:rPr>
              <w:t>12,4</w:t>
            </w:r>
          </w:p>
        </w:tc>
        <w:tc>
          <w:tcPr>
            <w:tcW w:w="675" w:type="pct"/>
            <w:tcBorders>
              <w:top w:val="single" w:sz="4" w:space="0" w:color="auto"/>
              <w:left w:val="nil"/>
              <w:bottom w:val="single" w:sz="4" w:space="0" w:color="auto"/>
              <w:right w:val="nil"/>
            </w:tcBorders>
            <w:vAlign w:val="bottom"/>
          </w:tcPr>
          <w:p w14:paraId="59E6B11E" w14:textId="5D3254B1" w:rsidR="00FB57D7" w:rsidRPr="00F326F1" w:rsidRDefault="00FB57D7" w:rsidP="00FB57D7">
            <w:pPr>
              <w:pStyle w:val="5TextocomnIIGG"/>
              <w:spacing w:after="120"/>
              <w:jc w:val="right"/>
              <w:rPr>
                <w:sz w:val="22"/>
                <w:szCs w:val="22"/>
              </w:rPr>
            </w:pPr>
            <w:r w:rsidRPr="00FB57D7">
              <w:rPr>
                <w:sz w:val="22"/>
                <w:szCs w:val="22"/>
              </w:rPr>
              <w:t>11,6</w:t>
            </w:r>
          </w:p>
        </w:tc>
        <w:tc>
          <w:tcPr>
            <w:tcW w:w="675" w:type="pct"/>
            <w:tcBorders>
              <w:top w:val="single" w:sz="4" w:space="0" w:color="auto"/>
              <w:left w:val="single" w:sz="4" w:space="0" w:color="auto"/>
              <w:bottom w:val="single" w:sz="4" w:space="0" w:color="auto"/>
              <w:right w:val="single" w:sz="4" w:space="0" w:color="auto"/>
            </w:tcBorders>
            <w:vAlign w:val="bottom"/>
          </w:tcPr>
          <w:p w14:paraId="0225A927" w14:textId="6EE7F1B3" w:rsidR="00FB57D7" w:rsidRPr="00F326F1" w:rsidRDefault="00FB57D7" w:rsidP="00FB57D7">
            <w:pPr>
              <w:pStyle w:val="5TextocomnIIGG"/>
              <w:spacing w:after="120"/>
              <w:jc w:val="right"/>
              <w:rPr>
                <w:sz w:val="22"/>
                <w:szCs w:val="22"/>
              </w:rPr>
            </w:pPr>
            <w:r w:rsidRPr="00FB57D7">
              <w:rPr>
                <w:sz w:val="22"/>
                <w:szCs w:val="22"/>
              </w:rPr>
              <w:t>35,5</w:t>
            </w:r>
          </w:p>
        </w:tc>
      </w:tr>
      <w:tr w:rsidR="00FB57D7" w:rsidRPr="00C540A0" w14:paraId="43845023" w14:textId="77777777" w:rsidTr="00FB57D7">
        <w:trPr>
          <w:jc w:val="center"/>
        </w:trPr>
        <w:tc>
          <w:tcPr>
            <w:tcW w:w="780" w:type="pct"/>
          </w:tcPr>
          <w:p w14:paraId="478E90B0" w14:textId="77777777" w:rsidR="00FB57D7" w:rsidRPr="00F326F1" w:rsidRDefault="00FB57D7" w:rsidP="00FB57D7">
            <w:pPr>
              <w:pStyle w:val="5TextocomnIIGG"/>
              <w:spacing w:after="120"/>
              <w:rPr>
                <w:sz w:val="22"/>
                <w:szCs w:val="22"/>
              </w:rPr>
            </w:pPr>
            <w:r w:rsidRPr="00F326F1">
              <w:rPr>
                <w:sz w:val="22"/>
                <w:szCs w:val="22"/>
              </w:rPr>
              <w:t>Necochea</w:t>
            </w:r>
          </w:p>
        </w:tc>
        <w:tc>
          <w:tcPr>
            <w:tcW w:w="704" w:type="pct"/>
            <w:tcBorders>
              <w:top w:val="single" w:sz="4" w:space="0" w:color="auto"/>
              <w:left w:val="single" w:sz="4" w:space="0" w:color="auto"/>
              <w:bottom w:val="single" w:sz="4" w:space="0" w:color="auto"/>
              <w:right w:val="single" w:sz="4" w:space="0" w:color="auto"/>
            </w:tcBorders>
            <w:vAlign w:val="bottom"/>
          </w:tcPr>
          <w:p w14:paraId="43517D57" w14:textId="53305357" w:rsidR="00FB57D7" w:rsidRPr="00F326F1" w:rsidRDefault="00FB57D7" w:rsidP="00FB57D7">
            <w:pPr>
              <w:pStyle w:val="5TextocomnIIGG"/>
              <w:spacing w:after="120"/>
              <w:jc w:val="right"/>
              <w:rPr>
                <w:sz w:val="22"/>
                <w:szCs w:val="22"/>
              </w:rPr>
            </w:pPr>
            <w:r w:rsidRPr="00FB57D7">
              <w:rPr>
                <w:sz w:val="22"/>
                <w:szCs w:val="22"/>
              </w:rPr>
              <w:t>4,9</w:t>
            </w:r>
          </w:p>
        </w:tc>
        <w:tc>
          <w:tcPr>
            <w:tcW w:w="704" w:type="pct"/>
            <w:tcBorders>
              <w:top w:val="single" w:sz="4" w:space="0" w:color="auto"/>
              <w:left w:val="nil"/>
              <w:bottom w:val="single" w:sz="4" w:space="0" w:color="auto"/>
              <w:right w:val="nil"/>
            </w:tcBorders>
            <w:vAlign w:val="bottom"/>
          </w:tcPr>
          <w:p w14:paraId="28423E6F" w14:textId="7FFA1F6C" w:rsidR="00FB57D7" w:rsidRPr="00F326F1" w:rsidRDefault="00FB57D7" w:rsidP="00FB57D7">
            <w:pPr>
              <w:pStyle w:val="5TextocomnIIGG"/>
              <w:spacing w:after="120"/>
              <w:jc w:val="right"/>
              <w:rPr>
                <w:sz w:val="22"/>
                <w:szCs w:val="22"/>
              </w:rPr>
            </w:pPr>
            <w:r w:rsidRPr="00FB57D7">
              <w:rPr>
                <w:sz w:val="22"/>
                <w:szCs w:val="22"/>
              </w:rPr>
              <w:t>5,2</w:t>
            </w:r>
          </w:p>
        </w:tc>
        <w:tc>
          <w:tcPr>
            <w:tcW w:w="786" w:type="pct"/>
            <w:tcBorders>
              <w:top w:val="single" w:sz="4" w:space="0" w:color="auto"/>
              <w:left w:val="single" w:sz="4" w:space="0" w:color="auto"/>
              <w:bottom w:val="single" w:sz="4" w:space="0" w:color="auto"/>
              <w:right w:val="single" w:sz="4" w:space="0" w:color="auto"/>
            </w:tcBorders>
            <w:vAlign w:val="bottom"/>
          </w:tcPr>
          <w:p w14:paraId="1061FB46" w14:textId="399464E0" w:rsidR="00FB57D7" w:rsidRPr="00F326F1" w:rsidRDefault="00FB57D7" w:rsidP="00FB57D7">
            <w:pPr>
              <w:pStyle w:val="5TextocomnIIGG"/>
              <w:spacing w:after="120"/>
              <w:jc w:val="right"/>
              <w:rPr>
                <w:sz w:val="22"/>
                <w:szCs w:val="22"/>
              </w:rPr>
            </w:pPr>
            <w:r w:rsidRPr="00FB57D7">
              <w:rPr>
                <w:sz w:val="22"/>
                <w:szCs w:val="22"/>
              </w:rPr>
              <w:t>8,0</w:t>
            </w:r>
          </w:p>
        </w:tc>
        <w:tc>
          <w:tcPr>
            <w:tcW w:w="676" w:type="pct"/>
            <w:tcBorders>
              <w:top w:val="single" w:sz="4" w:space="0" w:color="auto"/>
              <w:left w:val="nil"/>
              <w:bottom w:val="single" w:sz="4" w:space="0" w:color="auto"/>
              <w:right w:val="single" w:sz="4" w:space="0" w:color="auto"/>
            </w:tcBorders>
            <w:vAlign w:val="bottom"/>
          </w:tcPr>
          <w:p w14:paraId="19F162D5" w14:textId="0CEEBBEC" w:rsidR="00FB57D7" w:rsidRPr="00F326F1" w:rsidRDefault="00FB57D7" w:rsidP="00FB57D7">
            <w:pPr>
              <w:pStyle w:val="5TextocomnIIGG"/>
              <w:spacing w:after="120"/>
              <w:jc w:val="right"/>
              <w:rPr>
                <w:sz w:val="22"/>
                <w:szCs w:val="22"/>
              </w:rPr>
            </w:pPr>
            <w:r w:rsidRPr="00FB57D7">
              <w:rPr>
                <w:sz w:val="22"/>
                <w:szCs w:val="22"/>
              </w:rPr>
              <w:t>-6,0</w:t>
            </w:r>
          </w:p>
        </w:tc>
        <w:tc>
          <w:tcPr>
            <w:tcW w:w="675" w:type="pct"/>
            <w:tcBorders>
              <w:top w:val="single" w:sz="4" w:space="0" w:color="auto"/>
              <w:left w:val="nil"/>
              <w:bottom w:val="single" w:sz="4" w:space="0" w:color="auto"/>
              <w:right w:val="nil"/>
            </w:tcBorders>
            <w:vAlign w:val="bottom"/>
          </w:tcPr>
          <w:p w14:paraId="5C6933E8" w14:textId="3DABF858" w:rsidR="00FB57D7" w:rsidRPr="00F326F1" w:rsidRDefault="00FB57D7" w:rsidP="00FB57D7">
            <w:pPr>
              <w:pStyle w:val="5TextocomnIIGG"/>
              <w:spacing w:after="120"/>
              <w:jc w:val="right"/>
              <w:rPr>
                <w:sz w:val="22"/>
                <w:szCs w:val="22"/>
              </w:rPr>
            </w:pPr>
            <w:r w:rsidRPr="00FB57D7">
              <w:rPr>
                <w:sz w:val="22"/>
                <w:szCs w:val="22"/>
              </w:rPr>
              <w:t>-9,1</w:t>
            </w:r>
          </w:p>
        </w:tc>
        <w:tc>
          <w:tcPr>
            <w:tcW w:w="675" w:type="pct"/>
            <w:tcBorders>
              <w:top w:val="single" w:sz="4" w:space="0" w:color="auto"/>
              <w:left w:val="single" w:sz="4" w:space="0" w:color="auto"/>
              <w:bottom w:val="single" w:sz="4" w:space="0" w:color="auto"/>
              <w:right w:val="single" w:sz="4" w:space="0" w:color="auto"/>
            </w:tcBorders>
            <w:vAlign w:val="bottom"/>
          </w:tcPr>
          <w:p w14:paraId="4AF943C4" w14:textId="096316DF" w:rsidR="00FB57D7" w:rsidRPr="00F326F1" w:rsidRDefault="00FB57D7" w:rsidP="00FB57D7">
            <w:pPr>
              <w:pStyle w:val="5TextocomnIIGG"/>
              <w:spacing w:after="120"/>
              <w:jc w:val="right"/>
              <w:rPr>
                <w:sz w:val="22"/>
                <w:szCs w:val="22"/>
              </w:rPr>
            </w:pPr>
            <w:r w:rsidRPr="00FB57D7">
              <w:rPr>
                <w:sz w:val="22"/>
                <w:szCs w:val="22"/>
              </w:rPr>
              <w:t>-4,3</w:t>
            </w:r>
          </w:p>
        </w:tc>
      </w:tr>
      <w:tr w:rsidR="00FB57D7" w:rsidRPr="00C540A0" w14:paraId="249C9FAF" w14:textId="77777777" w:rsidTr="00FB57D7">
        <w:trPr>
          <w:jc w:val="center"/>
        </w:trPr>
        <w:tc>
          <w:tcPr>
            <w:tcW w:w="780" w:type="pct"/>
          </w:tcPr>
          <w:p w14:paraId="46032BED" w14:textId="77777777" w:rsidR="00FB57D7" w:rsidRPr="00F326F1" w:rsidRDefault="00FB57D7" w:rsidP="00FB57D7">
            <w:pPr>
              <w:pStyle w:val="5TextocomnIIGG"/>
              <w:spacing w:after="120"/>
              <w:rPr>
                <w:sz w:val="22"/>
                <w:szCs w:val="22"/>
              </w:rPr>
            </w:pPr>
            <w:r w:rsidRPr="00F326F1">
              <w:rPr>
                <w:sz w:val="22"/>
                <w:szCs w:val="22"/>
              </w:rPr>
              <w:t>Pinamar</w:t>
            </w:r>
          </w:p>
        </w:tc>
        <w:tc>
          <w:tcPr>
            <w:tcW w:w="704" w:type="pct"/>
            <w:tcBorders>
              <w:top w:val="single" w:sz="4" w:space="0" w:color="auto"/>
              <w:left w:val="single" w:sz="4" w:space="0" w:color="auto"/>
              <w:bottom w:val="single" w:sz="4" w:space="0" w:color="auto"/>
              <w:right w:val="single" w:sz="4" w:space="0" w:color="auto"/>
            </w:tcBorders>
            <w:vAlign w:val="bottom"/>
          </w:tcPr>
          <w:p w14:paraId="02B8FB71" w14:textId="397126C1" w:rsidR="00FB57D7" w:rsidRPr="00F326F1" w:rsidRDefault="00FB57D7" w:rsidP="00FB57D7">
            <w:pPr>
              <w:pStyle w:val="5TextocomnIIGG"/>
              <w:spacing w:after="120"/>
              <w:jc w:val="right"/>
              <w:rPr>
                <w:sz w:val="22"/>
                <w:szCs w:val="22"/>
              </w:rPr>
            </w:pPr>
            <w:r w:rsidRPr="00FB57D7">
              <w:rPr>
                <w:sz w:val="22"/>
                <w:szCs w:val="22"/>
              </w:rPr>
              <w:t>65,5</w:t>
            </w:r>
          </w:p>
        </w:tc>
        <w:tc>
          <w:tcPr>
            <w:tcW w:w="704" w:type="pct"/>
            <w:tcBorders>
              <w:top w:val="single" w:sz="4" w:space="0" w:color="auto"/>
              <w:left w:val="nil"/>
              <w:bottom w:val="single" w:sz="4" w:space="0" w:color="auto"/>
              <w:right w:val="nil"/>
            </w:tcBorders>
            <w:vAlign w:val="bottom"/>
          </w:tcPr>
          <w:p w14:paraId="0D92D773" w14:textId="44E8875D" w:rsidR="00FB57D7" w:rsidRPr="00F326F1" w:rsidRDefault="00FB57D7" w:rsidP="00FB57D7">
            <w:pPr>
              <w:pStyle w:val="5TextocomnIIGG"/>
              <w:spacing w:after="120"/>
              <w:jc w:val="right"/>
              <w:rPr>
                <w:sz w:val="22"/>
                <w:szCs w:val="22"/>
              </w:rPr>
            </w:pPr>
            <w:r w:rsidRPr="00FB57D7">
              <w:rPr>
                <w:sz w:val="22"/>
                <w:szCs w:val="22"/>
              </w:rPr>
              <w:t>27,0</w:t>
            </w:r>
          </w:p>
        </w:tc>
        <w:tc>
          <w:tcPr>
            <w:tcW w:w="786" w:type="pct"/>
            <w:tcBorders>
              <w:top w:val="single" w:sz="4" w:space="0" w:color="auto"/>
              <w:left w:val="single" w:sz="4" w:space="0" w:color="auto"/>
              <w:bottom w:val="single" w:sz="4" w:space="0" w:color="auto"/>
              <w:right w:val="single" w:sz="4" w:space="0" w:color="auto"/>
            </w:tcBorders>
            <w:vAlign w:val="bottom"/>
          </w:tcPr>
          <w:p w14:paraId="55600F80" w14:textId="279DDF0B" w:rsidR="00FB57D7" w:rsidRPr="00F326F1" w:rsidRDefault="00FB57D7" w:rsidP="00FB57D7">
            <w:pPr>
              <w:pStyle w:val="5TextocomnIIGG"/>
              <w:spacing w:after="120"/>
              <w:jc w:val="right"/>
              <w:rPr>
                <w:sz w:val="22"/>
                <w:szCs w:val="22"/>
              </w:rPr>
            </w:pPr>
            <w:r w:rsidRPr="00FB57D7">
              <w:rPr>
                <w:sz w:val="22"/>
                <w:szCs w:val="22"/>
              </w:rPr>
              <w:t>36,5</w:t>
            </w:r>
          </w:p>
        </w:tc>
        <w:tc>
          <w:tcPr>
            <w:tcW w:w="676" w:type="pct"/>
            <w:tcBorders>
              <w:top w:val="single" w:sz="4" w:space="0" w:color="auto"/>
              <w:left w:val="nil"/>
              <w:bottom w:val="single" w:sz="4" w:space="0" w:color="auto"/>
              <w:right w:val="single" w:sz="4" w:space="0" w:color="auto"/>
            </w:tcBorders>
            <w:vAlign w:val="bottom"/>
          </w:tcPr>
          <w:p w14:paraId="613F7F3C" w14:textId="6E825DD1" w:rsidR="00FB57D7" w:rsidRPr="00F326F1" w:rsidRDefault="00FB57D7" w:rsidP="00FB57D7">
            <w:pPr>
              <w:pStyle w:val="5TextocomnIIGG"/>
              <w:spacing w:after="120"/>
              <w:jc w:val="right"/>
              <w:rPr>
                <w:sz w:val="22"/>
                <w:szCs w:val="22"/>
              </w:rPr>
            </w:pPr>
            <w:r w:rsidRPr="00FB57D7">
              <w:rPr>
                <w:sz w:val="22"/>
                <w:szCs w:val="22"/>
              </w:rPr>
              <w:t>11,2</w:t>
            </w:r>
          </w:p>
        </w:tc>
        <w:tc>
          <w:tcPr>
            <w:tcW w:w="675" w:type="pct"/>
            <w:tcBorders>
              <w:top w:val="single" w:sz="4" w:space="0" w:color="auto"/>
              <w:left w:val="nil"/>
              <w:bottom w:val="single" w:sz="4" w:space="0" w:color="auto"/>
              <w:right w:val="nil"/>
            </w:tcBorders>
            <w:vAlign w:val="bottom"/>
          </w:tcPr>
          <w:p w14:paraId="5C01038D" w14:textId="1A561D4E" w:rsidR="00FB57D7" w:rsidRPr="00F326F1" w:rsidRDefault="00FB57D7" w:rsidP="00FB57D7">
            <w:pPr>
              <w:pStyle w:val="5TextocomnIIGG"/>
              <w:spacing w:after="120"/>
              <w:jc w:val="right"/>
              <w:rPr>
                <w:sz w:val="22"/>
                <w:szCs w:val="22"/>
              </w:rPr>
            </w:pPr>
            <w:r w:rsidRPr="00FB57D7">
              <w:rPr>
                <w:sz w:val="22"/>
                <w:szCs w:val="22"/>
              </w:rPr>
              <w:t>6,4</w:t>
            </w:r>
          </w:p>
        </w:tc>
        <w:tc>
          <w:tcPr>
            <w:tcW w:w="675" w:type="pct"/>
            <w:tcBorders>
              <w:top w:val="single" w:sz="4" w:space="0" w:color="auto"/>
              <w:left w:val="single" w:sz="4" w:space="0" w:color="auto"/>
              <w:bottom w:val="single" w:sz="4" w:space="0" w:color="auto"/>
              <w:right w:val="single" w:sz="4" w:space="0" w:color="auto"/>
            </w:tcBorders>
            <w:vAlign w:val="bottom"/>
          </w:tcPr>
          <w:p w14:paraId="2DF22180" w14:textId="74AEEEE8" w:rsidR="00FB57D7" w:rsidRPr="00F326F1" w:rsidRDefault="00FB57D7" w:rsidP="00FB57D7">
            <w:pPr>
              <w:pStyle w:val="5TextocomnIIGG"/>
              <w:spacing w:after="120"/>
              <w:jc w:val="right"/>
              <w:rPr>
                <w:sz w:val="22"/>
                <w:szCs w:val="22"/>
              </w:rPr>
            </w:pPr>
            <w:r w:rsidRPr="00FB57D7">
              <w:rPr>
                <w:sz w:val="22"/>
                <w:szCs w:val="22"/>
              </w:rPr>
              <w:t>24,9</w:t>
            </w:r>
          </w:p>
        </w:tc>
      </w:tr>
      <w:tr w:rsidR="00FB57D7" w:rsidRPr="00C540A0" w14:paraId="56068AED" w14:textId="77777777" w:rsidTr="00FB57D7">
        <w:trPr>
          <w:jc w:val="center"/>
        </w:trPr>
        <w:tc>
          <w:tcPr>
            <w:tcW w:w="780" w:type="pct"/>
          </w:tcPr>
          <w:p w14:paraId="27A6CBC6" w14:textId="77777777" w:rsidR="00FB57D7" w:rsidRPr="00F326F1" w:rsidRDefault="00FB57D7" w:rsidP="00FB57D7">
            <w:pPr>
              <w:pStyle w:val="5TextocomnIIGG"/>
              <w:spacing w:after="120"/>
              <w:rPr>
                <w:sz w:val="22"/>
                <w:szCs w:val="22"/>
              </w:rPr>
            </w:pPr>
            <w:r w:rsidRPr="00F326F1">
              <w:rPr>
                <w:sz w:val="22"/>
                <w:szCs w:val="22"/>
              </w:rPr>
              <w:t>San Cayetano</w:t>
            </w:r>
          </w:p>
        </w:tc>
        <w:tc>
          <w:tcPr>
            <w:tcW w:w="704" w:type="pct"/>
            <w:tcBorders>
              <w:top w:val="single" w:sz="4" w:space="0" w:color="auto"/>
              <w:left w:val="single" w:sz="4" w:space="0" w:color="auto"/>
              <w:bottom w:val="single" w:sz="4" w:space="0" w:color="auto"/>
              <w:right w:val="single" w:sz="4" w:space="0" w:color="auto"/>
            </w:tcBorders>
            <w:vAlign w:val="bottom"/>
          </w:tcPr>
          <w:p w14:paraId="44E4448B" w14:textId="7610359C" w:rsidR="00FB57D7" w:rsidRPr="00F326F1" w:rsidRDefault="00FB57D7" w:rsidP="00FB57D7">
            <w:pPr>
              <w:pStyle w:val="5TextocomnIIGG"/>
              <w:spacing w:after="120"/>
              <w:jc w:val="right"/>
              <w:rPr>
                <w:sz w:val="22"/>
                <w:szCs w:val="22"/>
              </w:rPr>
            </w:pPr>
            <w:r w:rsidRPr="00FB57D7">
              <w:rPr>
                <w:sz w:val="22"/>
                <w:szCs w:val="22"/>
              </w:rPr>
              <w:t>-6,4</w:t>
            </w:r>
          </w:p>
        </w:tc>
        <w:tc>
          <w:tcPr>
            <w:tcW w:w="704" w:type="pct"/>
            <w:tcBorders>
              <w:top w:val="single" w:sz="4" w:space="0" w:color="auto"/>
              <w:left w:val="nil"/>
              <w:bottom w:val="single" w:sz="4" w:space="0" w:color="auto"/>
              <w:right w:val="nil"/>
            </w:tcBorders>
            <w:vAlign w:val="bottom"/>
          </w:tcPr>
          <w:p w14:paraId="04266BA1" w14:textId="66E5A146" w:rsidR="00FB57D7" w:rsidRPr="00F326F1" w:rsidRDefault="00FB57D7" w:rsidP="00FB57D7">
            <w:pPr>
              <w:pStyle w:val="5TextocomnIIGG"/>
              <w:spacing w:after="120"/>
              <w:jc w:val="right"/>
              <w:rPr>
                <w:sz w:val="22"/>
                <w:szCs w:val="22"/>
              </w:rPr>
            </w:pPr>
            <w:r w:rsidRPr="00FB57D7">
              <w:rPr>
                <w:sz w:val="22"/>
                <w:szCs w:val="22"/>
              </w:rPr>
              <w:t>4,2</w:t>
            </w:r>
          </w:p>
        </w:tc>
        <w:tc>
          <w:tcPr>
            <w:tcW w:w="786" w:type="pct"/>
            <w:tcBorders>
              <w:top w:val="single" w:sz="4" w:space="0" w:color="auto"/>
              <w:left w:val="single" w:sz="4" w:space="0" w:color="auto"/>
              <w:bottom w:val="single" w:sz="4" w:space="0" w:color="auto"/>
              <w:right w:val="single" w:sz="4" w:space="0" w:color="auto"/>
            </w:tcBorders>
            <w:vAlign w:val="bottom"/>
          </w:tcPr>
          <w:p w14:paraId="50FBBEE0" w14:textId="1268E129" w:rsidR="00FB57D7" w:rsidRPr="00F326F1" w:rsidRDefault="00FB57D7" w:rsidP="00FB57D7">
            <w:pPr>
              <w:pStyle w:val="5TextocomnIIGG"/>
              <w:spacing w:after="120"/>
              <w:jc w:val="right"/>
              <w:rPr>
                <w:sz w:val="22"/>
                <w:szCs w:val="22"/>
              </w:rPr>
            </w:pPr>
            <w:r w:rsidRPr="00FB57D7">
              <w:rPr>
                <w:sz w:val="22"/>
                <w:szCs w:val="22"/>
              </w:rPr>
              <w:t>5,9</w:t>
            </w:r>
          </w:p>
        </w:tc>
        <w:tc>
          <w:tcPr>
            <w:tcW w:w="676" w:type="pct"/>
            <w:tcBorders>
              <w:top w:val="single" w:sz="4" w:space="0" w:color="auto"/>
              <w:left w:val="nil"/>
              <w:bottom w:val="single" w:sz="4" w:space="0" w:color="auto"/>
              <w:right w:val="single" w:sz="4" w:space="0" w:color="auto"/>
            </w:tcBorders>
            <w:vAlign w:val="bottom"/>
          </w:tcPr>
          <w:p w14:paraId="64D68AD6" w14:textId="5C92967E" w:rsidR="00FB57D7" w:rsidRPr="00F326F1" w:rsidRDefault="00FB57D7" w:rsidP="00FB57D7">
            <w:pPr>
              <w:pStyle w:val="5TextocomnIIGG"/>
              <w:spacing w:after="120"/>
              <w:jc w:val="right"/>
              <w:rPr>
                <w:sz w:val="22"/>
                <w:szCs w:val="22"/>
              </w:rPr>
            </w:pPr>
            <w:r w:rsidRPr="00FB57D7">
              <w:rPr>
                <w:sz w:val="22"/>
                <w:szCs w:val="22"/>
              </w:rPr>
              <w:t>89,5</w:t>
            </w:r>
          </w:p>
        </w:tc>
        <w:tc>
          <w:tcPr>
            <w:tcW w:w="675" w:type="pct"/>
            <w:tcBorders>
              <w:top w:val="single" w:sz="4" w:space="0" w:color="auto"/>
              <w:left w:val="nil"/>
              <w:bottom w:val="single" w:sz="4" w:space="0" w:color="auto"/>
              <w:right w:val="nil"/>
            </w:tcBorders>
            <w:vAlign w:val="bottom"/>
          </w:tcPr>
          <w:p w14:paraId="1599306D" w14:textId="7EA44D3D" w:rsidR="00FB57D7" w:rsidRPr="00F326F1" w:rsidRDefault="00FB57D7" w:rsidP="00FB57D7">
            <w:pPr>
              <w:pStyle w:val="5TextocomnIIGG"/>
              <w:spacing w:after="120"/>
              <w:jc w:val="right"/>
              <w:rPr>
                <w:sz w:val="22"/>
                <w:szCs w:val="22"/>
              </w:rPr>
            </w:pPr>
            <w:r w:rsidRPr="00FB57D7">
              <w:rPr>
                <w:sz w:val="22"/>
                <w:szCs w:val="22"/>
              </w:rPr>
              <w:t>86,1</w:t>
            </w:r>
          </w:p>
        </w:tc>
        <w:tc>
          <w:tcPr>
            <w:tcW w:w="675" w:type="pct"/>
            <w:tcBorders>
              <w:top w:val="single" w:sz="4" w:space="0" w:color="auto"/>
              <w:left w:val="single" w:sz="4" w:space="0" w:color="auto"/>
              <w:bottom w:val="single" w:sz="4" w:space="0" w:color="auto"/>
              <w:right w:val="single" w:sz="4" w:space="0" w:color="auto"/>
            </w:tcBorders>
            <w:vAlign w:val="bottom"/>
          </w:tcPr>
          <w:p w14:paraId="30E382AA" w14:textId="00342BD4" w:rsidR="00FB57D7" w:rsidRPr="00F326F1" w:rsidRDefault="00FB57D7" w:rsidP="00FB57D7">
            <w:pPr>
              <w:pStyle w:val="5TextocomnIIGG"/>
              <w:spacing w:after="120"/>
              <w:jc w:val="right"/>
              <w:rPr>
                <w:sz w:val="22"/>
                <w:szCs w:val="22"/>
              </w:rPr>
            </w:pPr>
            <w:r w:rsidRPr="00FB57D7">
              <w:rPr>
                <w:sz w:val="22"/>
                <w:szCs w:val="22"/>
              </w:rPr>
              <w:t>46,2</w:t>
            </w:r>
          </w:p>
        </w:tc>
      </w:tr>
      <w:tr w:rsidR="00FB57D7" w:rsidRPr="00C540A0" w14:paraId="60BC79AD" w14:textId="77777777" w:rsidTr="00FB57D7">
        <w:trPr>
          <w:jc w:val="center"/>
        </w:trPr>
        <w:tc>
          <w:tcPr>
            <w:tcW w:w="780" w:type="pct"/>
          </w:tcPr>
          <w:p w14:paraId="540C7B71" w14:textId="77777777" w:rsidR="00FB57D7" w:rsidRPr="00F326F1" w:rsidRDefault="00FB57D7" w:rsidP="00FB57D7">
            <w:pPr>
              <w:pStyle w:val="5TextocomnIIGG"/>
              <w:spacing w:after="120"/>
              <w:rPr>
                <w:sz w:val="22"/>
                <w:szCs w:val="22"/>
              </w:rPr>
            </w:pPr>
            <w:r w:rsidRPr="00F326F1">
              <w:rPr>
                <w:sz w:val="22"/>
                <w:szCs w:val="22"/>
              </w:rPr>
              <w:t>Tandil</w:t>
            </w:r>
          </w:p>
        </w:tc>
        <w:tc>
          <w:tcPr>
            <w:tcW w:w="704" w:type="pct"/>
            <w:tcBorders>
              <w:top w:val="single" w:sz="4" w:space="0" w:color="auto"/>
              <w:left w:val="single" w:sz="4" w:space="0" w:color="auto"/>
              <w:bottom w:val="single" w:sz="4" w:space="0" w:color="auto"/>
              <w:right w:val="single" w:sz="4" w:space="0" w:color="auto"/>
            </w:tcBorders>
            <w:vAlign w:val="bottom"/>
          </w:tcPr>
          <w:p w14:paraId="7DE88200" w14:textId="6C82117F" w:rsidR="00FB57D7" w:rsidRPr="00F326F1" w:rsidRDefault="00FB57D7" w:rsidP="00FB57D7">
            <w:pPr>
              <w:pStyle w:val="5TextocomnIIGG"/>
              <w:spacing w:after="120"/>
              <w:jc w:val="right"/>
              <w:rPr>
                <w:sz w:val="22"/>
                <w:szCs w:val="22"/>
              </w:rPr>
            </w:pPr>
            <w:r w:rsidRPr="00FB57D7">
              <w:rPr>
                <w:sz w:val="22"/>
                <w:szCs w:val="22"/>
              </w:rPr>
              <w:t>6,2</w:t>
            </w:r>
          </w:p>
        </w:tc>
        <w:tc>
          <w:tcPr>
            <w:tcW w:w="704" w:type="pct"/>
            <w:tcBorders>
              <w:top w:val="single" w:sz="4" w:space="0" w:color="auto"/>
              <w:left w:val="nil"/>
              <w:bottom w:val="single" w:sz="4" w:space="0" w:color="auto"/>
              <w:right w:val="nil"/>
            </w:tcBorders>
            <w:vAlign w:val="bottom"/>
          </w:tcPr>
          <w:p w14:paraId="5BD0460A" w14:textId="54E618CB" w:rsidR="00FB57D7" w:rsidRPr="00F326F1" w:rsidRDefault="00FB57D7" w:rsidP="00FB57D7">
            <w:pPr>
              <w:pStyle w:val="5TextocomnIIGG"/>
              <w:spacing w:after="120"/>
              <w:jc w:val="right"/>
              <w:rPr>
                <w:sz w:val="22"/>
                <w:szCs w:val="22"/>
              </w:rPr>
            </w:pPr>
            <w:r w:rsidRPr="00FB57D7">
              <w:rPr>
                <w:sz w:val="22"/>
                <w:szCs w:val="22"/>
              </w:rPr>
              <w:t>16,8</w:t>
            </w:r>
          </w:p>
        </w:tc>
        <w:tc>
          <w:tcPr>
            <w:tcW w:w="786" w:type="pct"/>
            <w:tcBorders>
              <w:top w:val="single" w:sz="4" w:space="0" w:color="auto"/>
              <w:left w:val="single" w:sz="4" w:space="0" w:color="auto"/>
              <w:bottom w:val="single" w:sz="4" w:space="0" w:color="auto"/>
              <w:right w:val="single" w:sz="4" w:space="0" w:color="auto"/>
            </w:tcBorders>
            <w:vAlign w:val="bottom"/>
          </w:tcPr>
          <w:p w14:paraId="601BDA34" w14:textId="1A51FBF0" w:rsidR="00FB57D7" w:rsidRPr="00F326F1" w:rsidRDefault="00FB57D7" w:rsidP="00FB57D7">
            <w:pPr>
              <w:pStyle w:val="5TextocomnIIGG"/>
              <w:spacing w:after="120"/>
              <w:jc w:val="right"/>
              <w:rPr>
                <w:sz w:val="22"/>
                <w:szCs w:val="22"/>
              </w:rPr>
            </w:pPr>
            <w:r w:rsidRPr="00FB57D7">
              <w:rPr>
                <w:sz w:val="22"/>
                <w:szCs w:val="22"/>
              </w:rPr>
              <w:t>13,8</w:t>
            </w:r>
          </w:p>
        </w:tc>
        <w:tc>
          <w:tcPr>
            <w:tcW w:w="676" w:type="pct"/>
            <w:tcBorders>
              <w:top w:val="single" w:sz="4" w:space="0" w:color="auto"/>
              <w:left w:val="nil"/>
              <w:bottom w:val="single" w:sz="4" w:space="0" w:color="auto"/>
              <w:right w:val="single" w:sz="4" w:space="0" w:color="auto"/>
            </w:tcBorders>
            <w:vAlign w:val="bottom"/>
          </w:tcPr>
          <w:p w14:paraId="278EDE4D" w14:textId="563AF802" w:rsidR="00FB57D7" w:rsidRPr="00F326F1" w:rsidRDefault="00FB57D7" w:rsidP="00FB57D7">
            <w:pPr>
              <w:pStyle w:val="5TextocomnIIGG"/>
              <w:spacing w:after="120"/>
              <w:jc w:val="right"/>
              <w:rPr>
                <w:sz w:val="22"/>
                <w:szCs w:val="22"/>
              </w:rPr>
            </w:pPr>
            <w:r w:rsidRPr="00FB57D7">
              <w:rPr>
                <w:sz w:val="22"/>
                <w:szCs w:val="22"/>
              </w:rPr>
              <w:t>38,6</w:t>
            </w:r>
          </w:p>
        </w:tc>
        <w:tc>
          <w:tcPr>
            <w:tcW w:w="675" w:type="pct"/>
            <w:tcBorders>
              <w:top w:val="single" w:sz="4" w:space="0" w:color="auto"/>
              <w:left w:val="nil"/>
              <w:bottom w:val="single" w:sz="4" w:space="0" w:color="auto"/>
              <w:right w:val="nil"/>
            </w:tcBorders>
            <w:vAlign w:val="bottom"/>
          </w:tcPr>
          <w:p w14:paraId="2EF2E88B" w14:textId="2F494C0E" w:rsidR="00FB57D7" w:rsidRPr="00F326F1" w:rsidRDefault="00FB57D7" w:rsidP="00FB57D7">
            <w:pPr>
              <w:pStyle w:val="5TextocomnIIGG"/>
              <w:spacing w:after="120"/>
              <w:jc w:val="right"/>
              <w:rPr>
                <w:sz w:val="22"/>
                <w:szCs w:val="22"/>
              </w:rPr>
            </w:pPr>
            <w:r w:rsidRPr="00FB57D7">
              <w:rPr>
                <w:sz w:val="22"/>
                <w:szCs w:val="22"/>
              </w:rPr>
              <w:t>13,7</w:t>
            </w:r>
          </w:p>
        </w:tc>
        <w:tc>
          <w:tcPr>
            <w:tcW w:w="675" w:type="pct"/>
            <w:tcBorders>
              <w:top w:val="single" w:sz="4" w:space="0" w:color="auto"/>
              <w:left w:val="single" w:sz="4" w:space="0" w:color="auto"/>
              <w:bottom w:val="single" w:sz="4" w:space="0" w:color="auto"/>
              <w:right w:val="single" w:sz="4" w:space="0" w:color="auto"/>
            </w:tcBorders>
            <w:vAlign w:val="bottom"/>
          </w:tcPr>
          <w:p w14:paraId="37CFFBA8" w14:textId="29F77B12" w:rsidR="00FB57D7" w:rsidRPr="00F326F1" w:rsidRDefault="00FB57D7" w:rsidP="00FB57D7">
            <w:pPr>
              <w:pStyle w:val="5TextocomnIIGG"/>
              <w:spacing w:after="120"/>
              <w:jc w:val="right"/>
              <w:rPr>
                <w:sz w:val="22"/>
                <w:szCs w:val="22"/>
              </w:rPr>
            </w:pPr>
            <w:r w:rsidRPr="00FB57D7">
              <w:rPr>
                <w:sz w:val="22"/>
                <w:szCs w:val="22"/>
              </w:rPr>
              <w:t>26,7</w:t>
            </w:r>
          </w:p>
        </w:tc>
      </w:tr>
      <w:tr w:rsidR="00FB57D7" w:rsidRPr="00C540A0" w14:paraId="636699A9" w14:textId="77777777" w:rsidTr="00FB57D7">
        <w:trPr>
          <w:jc w:val="center"/>
        </w:trPr>
        <w:tc>
          <w:tcPr>
            <w:tcW w:w="780" w:type="pct"/>
          </w:tcPr>
          <w:p w14:paraId="3994C01C" w14:textId="77777777" w:rsidR="00FB57D7" w:rsidRPr="00F326F1" w:rsidRDefault="00FB57D7" w:rsidP="00FB57D7">
            <w:pPr>
              <w:pStyle w:val="5TextocomnIIGG"/>
              <w:spacing w:after="120"/>
              <w:rPr>
                <w:sz w:val="22"/>
                <w:szCs w:val="22"/>
              </w:rPr>
            </w:pPr>
            <w:r w:rsidRPr="00F326F1">
              <w:rPr>
                <w:sz w:val="22"/>
                <w:szCs w:val="22"/>
              </w:rPr>
              <w:t>Villa Gesell</w:t>
            </w:r>
          </w:p>
        </w:tc>
        <w:tc>
          <w:tcPr>
            <w:tcW w:w="704" w:type="pct"/>
            <w:tcBorders>
              <w:top w:val="single" w:sz="4" w:space="0" w:color="auto"/>
              <w:left w:val="single" w:sz="4" w:space="0" w:color="auto"/>
              <w:bottom w:val="single" w:sz="4" w:space="0" w:color="auto"/>
              <w:right w:val="single" w:sz="4" w:space="0" w:color="auto"/>
            </w:tcBorders>
            <w:vAlign w:val="bottom"/>
          </w:tcPr>
          <w:p w14:paraId="1A9AB8FB" w14:textId="16392E0B" w:rsidR="00FB57D7" w:rsidRPr="00F326F1" w:rsidRDefault="00FB57D7" w:rsidP="00FB57D7">
            <w:pPr>
              <w:pStyle w:val="5TextocomnIIGG"/>
              <w:spacing w:after="120"/>
              <w:jc w:val="right"/>
              <w:rPr>
                <w:sz w:val="22"/>
                <w:szCs w:val="22"/>
              </w:rPr>
            </w:pPr>
            <w:r w:rsidRPr="00FB57D7">
              <w:rPr>
                <w:sz w:val="22"/>
                <w:szCs w:val="22"/>
              </w:rPr>
              <w:t>39,3</w:t>
            </w:r>
          </w:p>
        </w:tc>
        <w:tc>
          <w:tcPr>
            <w:tcW w:w="704" w:type="pct"/>
            <w:tcBorders>
              <w:top w:val="single" w:sz="4" w:space="0" w:color="auto"/>
              <w:left w:val="nil"/>
              <w:bottom w:val="single" w:sz="4" w:space="0" w:color="auto"/>
              <w:right w:val="nil"/>
            </w:tcBorders>
            <w:vAlign w:val="bottom"/>
          </w:tcPr>
          <w:p w14:paraId="3CB7419C" w14:textId="2AA820EF" w:rsidR="00FB57D7" w:rsidRPr="00F326F1" w:rsidRDefault="00FB57D7" w:rsidP="00FB57D7">
            <w:pPr>
              <w:pStyle w:val="5TextocomnIIGG"/>
              <w:spacing w:after="120"/>
              <w:jc w:val="right"/>
              <w:rPr>
                <w:sz w:val="22"/>
                <w:szCs w:val="22"/>
              </w:rPr>
            </w:pPr>
            <w:r w:rsidRPr="00FB57D7">
              <w:rPr>
                <w:sz w:val="22"/>
                <w:szCs w:val="22"/>
              </w:rPr>
              <w:t>33,0</w:t>
            </w:r>
          </w:p>
        </w:tc>
        <w:tc>
          <w:tcPr>
            <w:tcW w:w="786" w:type="pct"/>
            <w:tcBorders>
              <w:top w:val="single" w:sz="4" w:space="0" w:color="auto"/>
              <w:left w:val="single" w:sz="4" w:space="0" w:color="auto"/>
              <w:bottom w:val="single" w:sz="4" w:space="0" w:color="auto"/>
              <w:right w:val="single" w:sz="4" w:space="0" w:color="auto"/>
            </w:tcBorders>
            <w:vAlign w:val="bottom"/>
          </w:tcPr>
          <w:p w14:paraId="5D5CE200" w14:textId="0F042880" w:rsidR="00FB57D7" w:rsidRPr="00F326F1" w:rsidRDefault="00FB57D7" w:rsidP="00FB57D7">
            <w:pPr>
              <w:pStyle w:val="5TextocomnIIGG"/>
              <w:spacing w:after="120"/>
              <w:jc w:val="right"/>
              <w:rPr>
                <w:sz w:val="22"/>
                <w:szCs w:val="22"/>
              </w:rPr>
            </w:pPr>
            <w:r w:rsidRPr="00FB57D7">
              <w:rPr>
                <w:sz w:val="22"/>
                <w:szCs w:val="22"/>
              </w:rPr>
              <w:t>14,2</w:t>
            </w:r>
          </w:p>
        </w:tc>
        <w:tc>
          <w:tcPr>
            <w:tcW w:w="676" w:type="pct"/>
            <w:tcBorders>
              <w:top w:val="single" w:sz="4" w:space="0" w:color="auto"/>
              <w:left w:val="nil"/>
              <w:bottom w:val="single" w:sz="4" w:space="0" w:color="auto"/>
              <w:right w:val="single" w:sz="4" w:space="0" w:color="auto"/>
            </w:tcBorders>
            <w:vAlign w:val="bottom"/>
          </w:tcPr>
          <w:p w14:paraId="4F56FC28" w14:textId="2D926867" w:rsidR="00FB57D7" w:rsidRPr="00F326F1" w:rsidRDefault="00FB57D7" w:rsidP="00FB57D7">
            <w:pPr>
              <w:pStyle w:val="5TextocomnIIGG"/>
              <w:spacing w:after="120"/>
              <w:jc w:val="right"/>
              <w:rPr>
                <w:sz w:val="22"/>
                <w:szCs w:val="22"/>
              </w:rPr>
            </w:pPr>
            <w:r w:rsidRPr="00FB57D7">
              <w:rPr>
                <w:sz w:val="22"/>
                <w:szCs w:val="22"/>
              </w:rPr>
              <w:t>-10,2</w:t>
            </w:r>
          </w:p>
        </w:tc>
        <w:tc>
          <w:tcPr>
            <w:tcW w:w="675" w:type="pct"/>
            <w:tcBorders>
              <w:top w:val="single" w:sz="4" w:space="0" w:color="auto"/>
              <w:left w:val="nil"/>
              <w:bottom w:val="single" w:sz="4" w:space="0" w:color="auto"/>
              <w:right w:val="nil"/>
            </w:tcBorders>
            <w:vAlign w:val="bottom"/>
          </w:tcPr>
          <w:p w14:paraId="5714626C" w14:textId="64BC1035" w:rsidR="00FB57D7" w:rsidRPr="00F326F1" w:rsidRDefault="00FB57D7" w:rsidP="00FB57D7">
            <w:pPr>
              <w:pStyle w:val="5TextocomnIIGG"/>
              <w:spacing w:after="120"/>
              <w:jc w:val="right"/>
              <w:rPr>
                <w:sz w:val="22"/>
                <w:szCs w:val="22"/>
              </w:rPr>
            </w:pPr>
            <w:r w:rsidRPr="00FB57D7">
              <w:rPr>
                <w:sz w:val="22"/>
                <w:szCs w:val="22"/>
              </w:rPr>
              <w:t>11,3</w:t>
            </w:r>
          </w:p>
        </w:tc>
        <w:tc>
          <w:tcPr>
            <w:tcW w:w="675" w:type="pct"/>
            <w:tcBorders>
              <w:top w:val="single" w:sz="4" w:space="0" w:color="auto"/>
              <w:left w:val="single" w:sz="4" w:space="0" w:color="auto"/>
              <w:bottom w:val="single" w:sz="4" w:space="0" w:color="auto"/>
              <w:right w:val="single" w:sz="4" w:space="0" w:color="auto"/>
            </w:tcBorders>
            <w:vAlign w:val="bottom"/>
          </w:tcPr>
          <w:p w14:paraId="4410A58C" w14:textId="1DC6A476" w:rsidR="00FB57D7" w:rsidRPr="00F326F1" w:rsidRDefault="00FB57D7" w:rsidP="00FB57D7">
            <w:pPr>
              <w:pStyle w:val="5TextocomnIIGG"/>
              <w:spacing w:after="120"/>
              <w:jc w:val="right"/>
              <w:rPr>
                <w:sz w:val="22"/>
                <w:szCs w:val="22"/>
              </w:rPr>
            </w:pPr>
            <w:r w:rsidRPr="00FB57D7">
              <w:rPr>
                <w:sz w:val="22"/>
                <w:szCs w:val="22"/>
              </w:rPr>
              <w:t>-5,7</w:t>
            </w:r>
          </w:p>
        </w:tc>
      </w:tr>
      <w:tr w:rsidR="00FB57D7" w:rsidRPr="00C540A0" w14:paraId="5725B1B0" w14:textId="77777777" w:rsidTr="000E3502">
        <w:trPr>
          <w:jc w:val="center"/>
        </w:trPr>
        <w:tc>
          <w:tcPr>
            <w:tcW w:w="780" w:type="pct"/>
          </w:tcPr>
          <w:p w14:paraId="7221D962" w14:textId="77777777" w:rsidR="00FB57D7" w:rsidRPr="00F326F1" w:rsidRDefault="00FB57D7" w:rsidP="00FB57D7">
            <w:pPr>
              <w:pStyle w:val="5TextocomnIIGG"/>
              <w:spacing w:after="120"/>
              <w:rPr>
                <w:b/>
                <w:bCs/>
                <w:sz w:val="22"/>
                <w:szCs w:val="22"/>
              </w:rPr>
            </w:pPr>
            <w:r w:rsidRPr="00F326F1">
              <w:rPr>
                <w:b/>
                <w:bCs/>
                <w:sz w:val="22"/>
                <w:szCs w:val="22"/>
              </w:rPr>
              <w:t>Total</w:t>
            </w:r>
          </w:p>
        </w:tc>
        <w:tc>
          <w:tcPr>
            <w:tcW w:w="704" w:type="pct"/>
            <w:tcBorders>
              <w:top w:val="single" w:sz="4" w:space="0" w:color="auto"/>
              <w:left w:val="single" w:sz="4" w:space="0" w:color="auto"/>
              <w:bottom w:val="single" w:sz="4" w:space="0" w:color="auto"/>
              <w:right w:val="single" w:sz="4" w:space="0" w:color="auto"/>
            </w:tcBorders>
            <w:vAlign w:val="bottom"/>
          </w:tcPr>
          <w:p w14:paraId="179D8183" w14:textId="68A00939" w:rsidR="00FB57D7" w:rsidRPr="00F326F1" w:rsidRDefault="00FB57D7" w:rsidP="00FB57D7">
            <w:pPr>
              <w:pStyle w:val="5TextocomnIIGG"/>
              <w:spacing w:after="120"/>
              <w:jc w:val="right"/>
              <w:rPr>
                <w:sz w:val="22"/>
                <w:szCs w:val="22"/>
              </w:rPr>
            </w:pPr>
            <w:r w:rsidRPr="00FB57D7">
              <w:rPr>
                <w:sz w:val="22"/>
                <w:szCs w:val="22"/>
              </w:rPr>
              <w:t>7,0</w:t>
            </w:r>
          </w:p>
        </w:tc>
        <w:tc>
          <w:tcPr>
            <w:tcW w:w="704" w:type="pct"/>
            <w:tcBorders>
              <w:top w:val="single" w:sz="4" w:space="0" w:color="auto"/>
              <w:left w:val="nil"/>
              <w:bottom w:val="single" w:sz="4" w:space="0" w:color="auto"/>
              <w:right w:val="nil"/>
            </w:tcBorders>
            <w:vAlign w:val="bottom"/>
          </w:tcPr>
          <w:p w14:paraId="107E2A47" w14:textId="5E8EBF0D" w:rsidR="00FB57D7" w:rsidRPr="00F326F1" w:rsidRDefault="00FB57D7" w:rsidP="00FB57D7">
            <w:pPr>
              <w:pStyle w:val="5TextocomnIIGG"/>
              <w:spacing w:after="120"/>
              <w:jc w:val="right"/>
              <w:rPr>
                <w:sz w:val="22"/>
                <w:szCs w:val="22"/>
              </w:rPr>
            </w:pPr>
            <w:r w:rsidRPr="00FB57D7">
              <w:rPr>
                <w:sz w:val="22"/>
                <w:szCs w:val="22"/>
              </w:rPr>
              <w:t>12,1</w:t>
            </w:r>
          </w:p>
        </w:tc>
        <w:tc>
          <w:tcPr>
            <w:tcW w:w="786" w:type="pct"/>
            <w:tcBorders>
              <w:top w:val="single" w:sz="4" w:space="0" w:color="auto"/>
              <w:left w:val="single" w:sz="4" w:space="0" w:color="auto"/>
              <w:bottom w:val="single" w:sz="4" w:space="0" w:color="auto"/>
              <w:right w:val="single" w:sz="4" w:space="0" w:color="auto"/>
            </w:tcBorders>
            <w:vAlign w:val="bottom"/>
          </w:tcPr>
          <w:p w14:paraId="5328954C" w14:textId="25442C6B" w:rsidR="00FB57D7" w:rsidRPr="00F326F1" w:rsidRDefault="00FB57D7" w:rsidP="00FB57D7">
            <w:pPr>
              <w:pStyle w:val="5TextocomnIIGG"/>
              <w:spacing w:after="120"/>
              <w:jc w:val="right"/>
              <w:rPr>
                <w:sz w:val="22"/>
                <w:szCs w:val="22"/>
              </w:rPr>
            </w:pPr>
            <w:r w:rsidRPr="00FB57D7">
              <w:rPr>
                <w:sz w:val="22"/>
                <w:szCs w:val="22"/>
              </w:rPr>
              <w:t>9,6</w:t>
            </w:r>
          </w:p>
        </w:tc>
        <w:tc>
          <w:tcPr>
            <w:tcW w:w="676" w:type="pct"/>
            <w:tcBorders>
              <w:top w:val="single" w:sz="4" w:space="0" w:color="auto"/>
              <w:left w:val="nil"/>
              <w:bottom w:val="single" w:sz="4" w:space="0" w:color="auto"/>
              <w:right w:val="single" w:sz="4" w:space="0" w:color="auto"/>
            </w:tcBorders>
            <w:vAlign w:val="bottom"/>
          </w:tcPr>
          <w:p w14:paraId="56F46497" w14:textId="4368BE6B" w:rsidR="00FB57D7" w:rsidRPr="00F326F1" w:rsidRDefault="00FB57D7" w:rsidP="00FB57D7">
            <w:pPr>
              <w:pStyle w:val="5TextocomnIIGG"/>
              <w:spacing w:after="120"/>
              <w:jc w:val="right"/>
              <w:rPr>
                <w:sz w:val="22"/>
                <w:szCs w:val="22"/>
              </w:rPr>
            </w:pPr>
            <w:r w:rsidRPr="00FB57D7">
              <w:rPr>
                <w:sz w:val="22"/>
                <w:szCs w:val="22"/>
              </w:rPr>
              <w:t>9,8</w:t>
            </w:r>
          </w:p>
        </w:tc>
        <w:tc>
          <w:tcPr>
            <w:tcW w:w="675" w:type="pct"/>
            <w:tcBorders>
              <w:top w:val="single" w:sz="4" w:space="0" w:color="auto"/>
              <w:left w:val="nil"/>
              <w:bottom w:val="single" w:sz="4" w:space="0" w:color="auto"/>
              <w:right w:val="nil"/>
            </w:tcBorders>
            <w:vAlign w:val="bottom"/>
          </w:tcPr>
          <w:p w14:paraId="78C3E8D7" w14:textId="245DD588" w:rsidR="00FB57D7" w:rsidRPr="00F326F1" w:rsidRDefault="00FB57D7" w:rsidP="00FB57D7">
            <w:pPr>
              <w:pStyle w:val="5TextocomnIIGG"/>
              <w:spacing w:after="120"/>
              <w:jc w:val="right"/>
              <w:rPr>
                <w:sz w:val="22"/>
                <w:szCs w:val="22"/>
              </w:rPr>
            </w:pPr>
            <w:r w:rsidRPr="00FB57D7">
              <w:rPr>
                <w:sz w:val="22"/>
                <w:szCs w:val="22"/>
              </w:rPr>
              <w:t>-15,2</w:t>
            </w:r>
          </w:p>
        </w:tc>
        <w:tc>
          <w:tcPr>
            <w:tcW w:w="675" w:type="pct"/>
            <w:tcBorders>
              <w:top w:val="single" w:sz="4" w:space="0" w:color="auto"/>
              <w:left w:val="single" w:sz="4" w:space="0" w:color="auto"/>
              <w:bottom w:val="single" w:sz="4" w:space="0" w:color="auto"/>
              <w:right w:val="single" w:sz="4" w:space="0" w:color="auto"/>
            </w:tcBorders>
            <w:vAlign w:val="bottom"/>
          </w:tcPr>
          <w:p w14:paraId="0EC88734" w14:textId="3ED580E6" w:rsidR="00FB57D7" w:rsidRPr="00F326F1" w:rsidRDefault="00FB57D7" w:rsidP="00FB57D7">
            <w:pPr>
              <w:pStyle w:val="5TextocomnIIGG"/>
              <w:spacing w:after="120"/>
              <w:jc w:val="right"/>
              <w:rPr>
                <w:sz w:val="22"/>
                <w:szCs w:val="22"/>
              </w:rPr>
            </w:pPr>
            <w:r w:rsidRPr="00FB57D7">
              <w:rPr>
                <w:sz w:val="22"/>
                <w:szCs w:val="22"/>
              </w:rPr>
              <w:t>-1,1</w:t>
            </w:r>
          </w:p>
        </w:tc>
      </w:tr>
    </w:tbl>
    <w:p w14:paraId="776DEFE2" w14:textId="0CD0EDC9" w:rsidR="00FB57D7" w:rsidRDefault="00FB57D7" w:rsidP="00FB57D7">
      <w:pPr>
        <w:pStyle w:val="8FigurasyTablasFuenteyoelaboracin"/>
        <w:spacing w:after="120"/>
      </w:pPr>
      <w:r>
        <w:lastRenderedPageBreak/>
        <w:t xml:space="preserve">Fuente: </w:t>
      </w:r>
      <w:r w:rsidRPr="009C778E">
        <w:t>INDEC</w:t>
      </w:r>
      <w:r>
        <w:t xml:space="preserve">, CNPyV 1991 y CNPHyV, 2001, 2010 y 2022. </w:t>
      </w:r>
      <w:r w:rsidRPr="00735CD9">
        <w:t>Elaboración</w:t>
      </w:r>
      <w:r w:rsidRPr="00026DAC">
        <w:t xml:space="preserve"> propia</w:t>
      </w:r>
    </w:p>
    <w:p w14:paraId="58C115BB" w14:textId="6B6EA069" w:rsidR="00944569" w:rsidRDefault="00FB57D7" w:rsidP="00FB57D7">
      <w:pPr>
        <w:pStyle w:val="5TextocomnIIGG"/>
        <w:spacing w:after="120"/>
        <w:ind w:firstLine="567"/>
      </w:pPr>
      <w:r w:rsidRPr="00FB57D7">
        <w:t xml:space="preserve">En el sudeste bonaerense, el porcentaje de VPUT fue disminuyendo entre 1991 y 2022, a pesar de que durante el primer período intercensal se haya producido un aumento del valor absoluto. Como posible explicación se piensa en el mayor peso relativo que adquiere el posicionamiento de la región como ámbito de residencia permanente. Esta declaración se sostiene en las tasas de crecimiento demográfico positivas que registran casi todos los </w:t>
      </w:r>
      <w:r>
        <w:t>municipios</w:t>
      </w:r>
      <w:r w:rsidRPr="00FB57D7">
        <w:t xml:space="preserve"> durante los últimos tres períodos intercensales y se enlaza con múltiples factores, como pueden ser las oportunidades laborales, el acceso a servicios, la disponibilidad de terrenos, las redes familiares y comunitarias y las preferencias climático-ambientales. Pese a que este dato global parezca significar lo opuesto a un proceso de turistificación, la mayoría de las jurisdicciones llevan tres etapas consecutivas con tasas de crecimiento de VPUT positivas, aunque a ritmos irregulares. En realidad, son los partidos que albergan a destinos turísticos maduros y de fuerte tradición urbana, como General Pueyrredon, Necochea y Villa Gesell, aquellos que exhiben dos o tres periodos intercensales con crecimiento negativo de VPUT, acompañados</w:t>
      </w:r>
      <w:r>
        <w:t xml:space="preserve">, </w:t>
      </w:r>
      <w:r w:rsidRPr="00FB57D7">
        <w:t>no obstante</w:t>
      </w:r>
      <w:r>
        <w:t>,</w:t>
      </w:r>
      <w:r w:rsidRPr="00FB57D7">
        <w:t xml:space="preserve"> por tasas de crecimiento poblacional positivas.</w:t>
      </w:r>
    </w:p>
    <w:p w14:paraId="1DE13A7E" w14:textId="4357DEBE" w:rsidR="00FB57D7" w:rsidRDefault="00FB57D7" w:rsidP="00FB57D7">
      <w:pPr>
        <w:pStyle w:val="5TextocomnIIGG"/>
        <w:spacing w:after="120"/>
        <w:ind w:firstLine="567"/>
      </w:pPr>
      <w:r w:rsidRPr="00FB57D7">
        <w:t>Para entrar más en detalle, los mapas de la Figura 1 muestran la evolución espacial del porcentaje de VPUT por radio censal. No se incluye la distribución espacial correspondiente a 1991 porque, según consulta al INDEC, y tal como se exhibió en la Tabla 2, para ese censo únicamente están disponibles los datos hasta el nivel de partido/departamento. Se optó por mantener los intervalos de clase definidos por García (2018), quien en su propuesta de Índice de Residencias Secundarias (IRS) toma en cuenta las mismas variable, categoría censal y tipo de unidad espacial de análisis.</w:t>
      </w:r>
    </w:p>
    <w:p w14:paraId="336DA0BB" w14:textId="77777777" w:rsidR="00F90F49" w:rsidRDefault="00F90F49" w:rsidP="00FB57D7">
      <w:pPr>
        <w:pStyle w:val="5TextocomnIIGG"/>
        <w:spacing w:after="120"/>
        <w:ind w:firstLine="567"/>
      </w:pPr>
    </w:p>
    <w:p w14:paraId="7E66294C" w14:textId="1711ABA3" w:rsidR="00417073" w:rsidRPr="00F90F49" w:rsidRDefault="00417073" w:rsidP="00417073">
      <w:pPr>
        <w:pStyle w:val="7FigurasytablasencabezadoIIGG"/>
        <w:rPr>
          <w:b/>
          <w:bCs/>
        </w:rPr>
      </w:pPr>
      <w:r w:rsidRPr="00F90F49">
        <w:rPr>
          <w:b/>
          <w:bCs/>
        </w:rPr>
        <w:t>Figura 1. Sudeste de la Provincia de Buenos Aires: evolución espacial del porcentaje de viviendas de potencial uso turístico (VPUT) por radio censal, 2001, 2010 y 2022</w:t>
      </w:r>
    </w:p>
    <w:p w14:paraId="304B3C9A" w14:textId="58C6957C" w:rsidR="00417073" w:rsidRDefault="00417073" w:rsidP="00417073">
      <w:pPr>
        <w:pStyle w:val="5TextocomnIIGG"/>
        <w:spacing w:after="120"/>
        <w:jc w:val="center"/>
      </w:pPr>
      <w:r>
        <w:rPr>
          <w:noProof/>
        </w:rPr>
        <w:drawing>
          <wp:inline distT="0" distB="0" distL="0" distR="0" wp14:anchorId="05B3A25D" wp14:editId="7996EB70">
            <wp:extent cx="3600000" cy="2545200"/>
            <wp:effectExtent l="0" t="0" r="635" b="7620"/>
            <wp:docPr id="854033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545200"/>
                    </a:xfrm>
                    <a:prstGeom prst="rect">
                      <a:avLst/>
                    </a:prstGeom>
                    <a:noFill/>
                    <a:ln>
                      <a:noFill/>
                    </a:ln>
                  </pic:spPr>
                </pic:pic>
              </a:graphicData>
            </a:graphic>
          </wp:inline>
        </w:drawing>
      </w:r>
    </w:p>
    <w:p w14:paraId="2847E04F" w14:textId="11533FA0" w:rsidR="00417073" w:rsidRDefault="00AD746C" w:rsidP="00417073">
      <w:pPr>
        <w:pStyle w:val="5TextocomnIIGG"/>
        <w:spacing w:after="120"/>
        <w:jc w:val="center"/>
      </w:pPr>
      <w:r>
        <w:rPr>
          <w:noProof/>
        </w:rPr>
        <w:lastRenderedPageBreak/>
        <w:drawing>
          <wp:inline distT="0" distB="0" distL="0" distR="0" wp14:anchorId="4C4A9218" wp14:editId="617CF1C0">
            <wp:extent cx="3602990" cy="2548255"/>
            <wp:effectExtent l="0" t="0" r="0" b="4445"/>
            <wp:docPr id="286350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37A4E1D7" w14:textId="6B9CFC6A" w:rsidR="00417073" w:rsidRPr="00026DAC" w:rsidRDefault="00AD746C" w:rsidP="00417073">
      <w:pPr>
        <w:pStyle w:val="5TextocomnIIGG"/>
        <w:spacing w:after="120"/>
        <w:jc w:val="center"/>
      </w:pPr>
      <w:r>
        <w:rPr>
          <w:noProof/>
        </w:rPr>
        <w:drawing>
          <wp:inline distT="0" distB="0" distL="0" distR="0" wp14:anchorId="4C6C50DA" wp14:editId="14FA9118">
            <wp:extent cx="3602990" cy="2548255"/>
            <wp:effectExtent l="0" t="0" r="0" b="4445"/>
            <wp:docPr id="10981358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58F7E20E" w14:textId="5D200283" w:rsidR="00417073" w:rsidRDefault="00417073" w:rsidP="00417073">
      <w:pPr>
        <w:pStyle w:val="5TextocomnIIGG"/>
        <w:spacing w:after="120"/>
        <w:jc w:val="center"/>
      </w:pPr>
      <w:r w:rsidRPr="00026DAC">
        <w:t xml:space="preserve">Fuente: </w:t>
      </w:r>
      <w:r w:rsidRPr="00417073">
        <w:t>INDEC</w:t>
      </w:r>
      <w:r>
        <w:t xml:space="preserve">, </w:t>
      </w:r>
      <w:r w:rsidRPr="00417073">
        <w:t>CNPHyV, 2001, 2010 y 2022. Elaboración propi</w:t>
      </w:r>
      <w:r>
        <w:t>a</w:t>
      </w:r>
    </w:p>
    <w:p w14:paraId="0773DB5E" w14:textId="603AA35B" w:rsidR="00417073" w:rsidRDefault="00EB1C15" w:rsidP="00EB1C15">
      <w:pPr>
        <w:pStyle w:val="5TextocomnIIGG"/>
        <w:spacing w:after="120"/>
        <w:ind w:firstLine="567"/>
      </w:pPr>
      <w:r w:rsidRPr="00EB1C15">
        <w:t>Cada mapa puede ser analizado individualmente, considerando el contexto propio de su época. Sin embargo, pensar en la turistificación de los territorios desde la perspectiva del análisis espacial implica centrar la atención sobre los cambios que se revelan al comparar las distintas distribuciones espaciales obtenidas. En este sentido, el cambio más evidente se observa entre 2010 y 2022, como consecuencia de que varios radios no pertenecientes a las zonas turísticas más comunes, como son en este caso la Costa Atlántica y las Sierras de Tandil, adquieren porcentajes altos y muy altos de VPUT. Al igual que en otras partes del mundo, resalta la importancia del turismo residenciado sobre áreas litorales, aunque también su presencia se vuelve cada vez mayor en espacios no litorales (García Andreu, 2005).</w:t>
      </w:r>
    </w:p>
    <w:p w14:paraId="01A3DE60" w14:textId="3D126BF9" w:rsidR="00EB1C15" w:rsidRDefault="00EB1C15" w:rsidP="00EB1C15">
      <w:pPr>
        <w:pStyle w:val="5TextocomnIIGG"/>
        <w:spacing w:after="120"/>
        <w:ind w:firstLine="567"/>
      </w:pPr>
      <w:r w:rsidRPr="00EB1C15">
        <w:t>Sin duda, complementar el análisis de la cartografía con la indagación en la base de datos y la exploración en imágenes satelitales lleva a una mejor interpretación de la realidad. Al haber “múltiples tipos de ensamblajes de turismo residencial y, por tanto, múltiples y diferentes dinámicas” (Aledo y Nogués-Pedregal, 2019</w:t>
      </w:r>
      <w:r>
        <w:t xml:space="preserve">, p. </w:t>
      </w:r>
      <w:r w:rsidRPr="00EB1C15">
        <w:t>116), el análisis que se despliega en los siguientes párrafos intenta adentrar en la heterogeneidad de situaciones que se revelan al realizar un seguimiento por la evolución de los porcentajes según tipo de radio censal y localidad, aunque también advertir respecto a determinados errores o puntos críticos que acarrea esta fuente</w:t>
      </w:r>
      <w:r>
        <w:t xml:space="preserve"> de información</w:t>
      </w:r>
      <w:r w:rsidRPr="00EB1C15">
        <w:t>.</w:t>
      </w:r>
    </w:p>
    <w:p w14:paraId="4E9E0A51" w14:textId="7DCB47AF" w:rsidR="00EB1C15" w:rsidRDefault="00EB1C15" w:rsidP="00EB1C15">
      <w:pPr>
        <w:pStyle w:val="5TextocomnIIGG"/>
        <w:spacing w:after="120"/>
        <w:ind w:firstLine="567"/>
      </w:pPr>
      <w:r w:rsidRPr="00EB1C15">
        <w:lastRenderedPageBreak/>
        <w:t xml:space="preserve">La triangulación de datos antedicha permite expresar que la mayor parte de los radios que sobresalen entre 2010 y 2022 son de tipo rural y presentan viviendas distribuidas de forma dispersa. Si bien son radios de considerable superficie, su total de viviendas particulares varía entre unos pocos ejemplares y algunas decenas, dado que el uso de esos territorios se vincula con las </w:t>
      </w:r>
      <w:r w:rsidR="00BA0684">
        <w:t>actividades agropecuarias tradicionales del sudeste</w:t>
      </w:r>
      <w:r w:rsidRPr="00EB1C15">
        <w:t xml:space="preserve"> bonaerense. En algunos casos, el despunte de estas unidades espaciales coincide con la presencia de elementos de potencial atracción y valorización paisajística, como sierras y lagunas, y residencias que ostentan elementos representativos del disfrute y la recreación </w:t>
      </w:r>
      <w:r w:rsidR="00BA0684">
        <w:t>(</w:t>
      </w:r>
      <w:r w:rsidRPr="00EB1C15">
        <w:t>típicos de casa quinta</w:t>
      </w:r>
      <w:r w:rsidR="00BA0684">
        <w:t>)</w:t>
      </w:r>
      <w:r w:rsidRPr="00EB1C15">
        <w:t>, como piscinas y espacios parquizados. No obstante, en otros casos, la ausencia de esta clase de recursos turístico-recreativos y amenidades conduce a pensar en la tracción de otros factores explicativos, no necesariamente relacionados al turismo, como por ejemplo el despoblamiento rural vinculado al agro, que trae aparejado la desocupación de viviendas. Esta problemática afecta, principalmente, a los hábitats de ruralidad dispersa, debido a hechos como la menor oferta laboral y presencia de servicios, como así también el avance de la tecnología y del transporte, que generan la posibilidad de que los productores agropecuarios y sus familias opten por otros espacios de residencia habitual (Ares,</w:t>
      </w:r>
      <w:r w:rsidR="00BA0684">
        <w:t xml:space="preserve"> Mikkelsen y Rodríguez,</w:t>
      </w:r>
      <w:r w:rsidRPr="00EB1C15">
        <w:t xml:space="preserve"> 2022). En esta instancia del planteamiento vale recordar que, tal como se expuso en la Tabla 1, a partir del año 2010 la categoría censal objeto de análisis añadió la referencia a otros usos temporales de la vivienda, utilizando como ejemplos no solo el alquiler a extranjeros, sino también los viajes por trabajo. Estas observaciones y reflexiones aportan a la comprensión de la amplia gama de realidades que recaen dentro de esta categoría censal en un abordaje a escala regional, o que no solo contempla áreas urbanas y costeras. Algunas de esas realidades pueden estar situadas en las antípodas del tridente ocio-recreación-turismo, y ser representativas de otras motivaciones que implican un desplazamiento mayor a una noche por fuera del espacio de vida habitual, como por ejemplo, si se trata de viviendas cuyo uso estacional se debe a labores que demandan presencialidad en el marco de una campaña agrícola-ganadera.</w:t>
      </w:r>
    </w:p>
    <w:p w14:paraId="08204A21" w14:textId="5F333462" w:rsidR="00BA0684" w:rsidRDefault="00BA0684" w:rsidP="00555AB8">
      <w:pPr>
        <w:pStyle w:val="5TextocomnIIGG"/>
        <w:spacing w:after="120"/>
        <w:ind w:firstLine="567"/>
      </w:pPr>
      <w:r w:rsidRPr="00BA0684">
        <w:t>Al margen de esta discusión, se detectan radios cuyo porcentaje de VPUT descendió censo tras censo, probablemente no solo debido a un aumento en la construcción de nuevas viviendas destinadas a un uso permanente, sino también al viraje en la función de viviendas preexistentes, pasando de residencial temporal a residencial permanente, tal como Ferrando</w:t>
      </w:r>
      <w:r>
        <w:t>, Sagua y Ares</w:t>
      </w:r>
      <w:r w:rsidRPr="00BA0684">
        <w:t xml:space="preserve"> (2022) han expuesto para el caso de localidades que se ubican sobre la franja costera de los partidos de Mar Chiquita y General Pueyrredon. </w:t>
      </w:r>
    </w:p>
    <w:p w14:paraId="236DBA2B" w14:textId="77777777" w:rsidR="00BA0684" w:rsidRDefault="00BA0684" w:rsidP="00BA0684">
      <w:pPr>
        <w:pStyle w:val="5TextocomnIIGG"/>
        <w:spacing w:after="120"/>
        <w:ind w:firstLine="567"/>
      </w:pPr>
      <w:r>
        <w:t xml:space="preserve">De forma inversa, se reconocen unidades espaciales que registraron un porcentaje de VPUT cada vez más elevado. Esto ocurre independientemente de que se haya acrecentado o no el total de viviendas particulares. </w:t>
      </w:r>
    </w:p>
    <w:p w14:paraId="065B1584" w14:textId="438BDBA9" w:rsidR="00BA0684" w:rsidRDefault="00BA0684" w:rsidP="00BA0684">
      <w:pPr>
        <w:pStyle w:val="5TextocomnIIGG"/>
        <w:spacing w:after="120"/>
        <w:ind w:firstLine="567"/>
      </w:pPr>
      <w:r>
        <w:t>Entre las localidades que pertenecen al interior del sudeste bonaerense, sobresalen por sostener en el tiempo radios censales con altos porcentajes Villa Laguna La Brava en Balcarce, Sierra de los Padres y Colinas Verdes en General Pueyrredon y La Armonía en Mar Chiquita. En algunos de estos asentamientos, la desagregación de radios entre censos consecutivos permite apreciar cada vez más sus desigualdades internas. La Figura 2 ejemplifica este hecho a partir del caso de Sierra de los Padres.</w:t>
      </w:r>
    </w:p>
    <w:p w14:paraId="36876C2F" w14:textId="77777777" w:rsidR="00F90F49" w:rsidRDefault="00F90F49" w:rsidP="00BA0684">
      <w:pPr>
        <w:pStyle w:val="5TextocomnIIGG"/>
        <w:spacing w:after="120"/>
        <w:ind w:firstLine="567"/>
      </w:pPr>
    </w:p>
    <w:p w14:paraId="74061F25" w14:textId="77777777" w:rsidR="00177542" w:rsidRDefault="00177542" w:rsidP="00BA0684">
      <w:pPr>
        <w:pStyle w:val="5TextocomnIIGG"/>
        <w:spacing w:after="120"/>
        <w:ind w:firstLine="567"/>
      </w:pPr>
    </w:p>
    <w:p w14:paraId="6E105A50" w14:textId="77777777" w:rsidR="00177542" w:rsidRDefault="00177542" w:rsidP="00BA0684">
      <w:pPr>
        <w:pStyle w:val="5TextocomnIIGG"/>
        <w:spacing w:after="120"/>
        <w:ind w:firstLine="567"/>
      </w:pPr>
    </w:p>
    <w:p w14:paraId="492A563E" w14:textId="77777777" w:rsidR="00177542" w:rsidRDefault="00177542" w:rsidP="00BA0684">
      <w:pPr>
        <w:pStyle w:val="5TextocomnIIGG"/>
        <w:spacing w:after="120"/>
        <w:ind w:firstLine="567"/>
      </w:pPr>
    </w:p>
    <w:p w14:paraId="1C44586A" w14:textId="77777777" w:rsidR="00177542" w:rsidRDefault="00177542" w:rsidP="00BA0684">
      <w:pPr>
        <w:pStyle w:val="5TextocomnIIGG"/>
        <w:spacing w:after="120"/>
        <w:ind w:firstLine="567"/>
      </w:pPr>
    </w:p>
    <w:p w14:paraId="73BD729F" w14:textId="5F22AA8A" w:rsidR="00040A09" w:rsidRPr="00F90F49" w:rsidRDefault="00BA0684" w:rsidP="00BA0684">
      <w:pPr>
        <w:pStyle w:val="7FigurasytablasencabezadoIIGG"/>
        <w:rPr>
          <w:b/>
          <w:bCs/>
        </w:rPr>
      </w:pPr>
      <w:r w:rsidRPr="00F90F49">
        <w:rPr>
          <w:b/>
          <w:bCs/>
        </w:rPr>
        <w:lastRenderedPageBreak/>
        <w:t>Figura 2. Sierra de los Padres: evolución espacial del porcentaje de viviendas de potencial uso turístico (VPUT) por radio censal, 2001, 2010 y 2022</w:t>
      </w:r>
    </w:p>
    <w:p w14:paraId="13F4FB29" w14:textId="15A2DDBE" w:rsidR="00BA0684" w:rsidRDefault="00AD746C" w:rsidP="00BA0684">
      <w:pPr>
        <w:pStyle w:val="7FigurasytablasencabezadoIIGG"/>
      </w:pPr>
      <w:r>
        <w:rPr>
          <w:noProof/>
        </w:rPr>
        <w:drawing>
          <wp:inline distT="0" distB="0" distL="0" distR="0" wp14:anchorId="3F102D3F" wp14:editId="0074A321">
            <wp:extent cx="5761355" cy="1231265"/>
            <wp:effectExtent l="0" t="0" r="0" b="6985"/>
            <wp:docPr id="15027773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1231265"/>
                    </a:xfrm>
                    <a:prstGeom prst="rect">
                      <a:avLst/>
                    </a:prstGeom>
                    <a:noFill/>
                  </pic:spPr>
                </pic:pic>
              </a:graphicData>
            </a:graphic>
          </wp:inline>
        </w:drawing>
      </w:r>
    </w:p>
    <w:p w14:paraId="15A91030" w14:textId="77777777" w:rsidR="00FF6B66" w:rsidRDefault="00FF6B66" w:rsidP="00FF6B66">
      <w:pPr>
        <w:pStyle w:val="5TextocomnIIGG"/>
        <w:spacing w:after="120"/>
        <w:jc w:val="center"/>
      </w:pPr>
      <w:r w:rsidRPr="00026DAC">
        <w:t xml:space="preserve">Fuente: </w:t>
      </w:r>
      <w:r w:rsidRPr="00417073">
        <w:t>INDEC</w:t>
      </w:r>
      <w:r>
        <w:t xml:space="preserve">, </w:t>
      </w:r>
      <w:r w:rsidRPr="00417073">
        <w:t>CNPHyV, 2001, 2010 y 2022. Elaboración propi</w:t>
      </w:r>
      <w:r>
        <w:t>a</w:t>
      </w:r>
    </w:p>
    <w:p w14:paraId="3560716F" w14:textId="709E6938" w:rsidR="00040A09" w:rsidRDefault="00FF6B66" w:rsidP="00325DC9">
      <w:pPr>
        <w:pStyle w:val="5TextocomnIIGG"/>
        <w:spacing w:after="120"/>
        <w:ind w:firstLine="567"/>
      </w:pPr>
      <w:r w:rsidRPr="00FF6B66">
        <w:t>Entre los asentamientos costeros, los destinos de sol y playa más tradicionales de la región, como Mar del Plata, Miramar, Necochea, Villa Gesell y Pinamar muestran, naturalmente, un sector de la ciudad que resiste al paso del tiempo como espacio orientado al turismo. Estos radios están integrados tanto por viviendas de tipo casa como departamento. Paralelamente, sobresalen algunas pequeñas localidades como Mar del Sur en General Alvarado, Arenas Verdes en Lobería, Balneario Los Ángeles en Necochea y Balneario Pueblo San Cayetano en el distrito homónimo.</w:t>
      </w:r>
    </w:p>
    <w:p w14:paraId="51D33D94" w14:textId="44593457" w:rsidR="00FF6B66" w:rsidRDefault="00FF6B66" w:rsidP="00325DC9">
      <w:pPr>
        <w:pStyle w:val="5TextocomnIIGG"/>
        <w:spacing w:after="120"/>
        <w:ind w:firstLine="567"/>
      </w:pPr>
      <w:r w:rsidRPr="00FF6B66">
        <w:t xml:space="preserve">En la última unidad administrativa mencionada, se aprecia un cambio específico en torno a la ciudad cabecera, vinculado con la inauguración de la pista asfaltada del autódromo local en 2018, la cual habilita el desarrollo de competencias de carreras correspondientes a las categorías mayores del sudeste bonaerense. En una entrevista efectuada para otro fin a representantes de la Dirección de Producción y Turismo de la Municipalidad de San Cayetano resaltaban este acontecimiento y la nueva dinámica que imprime en el lugar, a saber:   </w:t>
      </w:r>
    </w:p>
    <w:p w14:paraId="2250EA2D" w14:textId="48A801B8" w:rsidR="00FF6B66" w:rsidRDefault="00FF6B66" w:rsidP="00FF6B66">
      <w:pPr>
        <w:pStyle w:val="5TextocomnIIGG"/>
        <w:spacing w:after="120"/>
        <w:ind w:left="720"/>
      </w:pPr>
      <w:r w:rsidRPr="00FF6B66">
        <w:rPr>
          <w:i/>
          <w:iCs/>
        </w:rPr>
        <w:t>Nosotros tenemos un autódromo donde hoy tenemos carreras muy importantes cada quince días y mueve al pueblo entero porque trabaja la carnicería, la panadería, el hotel, la estación de servicios… trabajan todos […] se asfaltó, después nos agarró la pandemia y no pudimos ver ese crecimiento inmediato, sino que nos demoró. Y para que ustedes se den una idea de cómo va cambiando la mentalidad de la sociedad, cuando el autódromo se inaugura teníamos cuatro casas para alquilar, y hoy para un fin de semana tenemos cuarenta. La gente empezó a ver que sí era una oportunidad dentro de lo que es la actividad turística</w:t>
      </w:r>
      <w:r w:rsidRPr="00FF6B66">
        <w:t xml:space="preserve"> (relevamiento personal 8/6/2023).</w:t>
      </w:r>
    </w:p>
    <w:p w14:paraId="0EF0400D" w14:textId="31D5F051" w:rsidR="00FF6B66" w:rsidRDefault="00FF6B66" w:rsidP="00FF6B66">
      <w:pPr>
        <w:pStyle w:val="5TextocomnIIGG"/>
        <w:spacing w:after="120"/>
        <w:ind w:firstLine="567"/>
      </w:pPr>
      <w:r w:rsidRPr="00FF6B66">
        <w:t>Si bien los registros municipales difícilmente coincidan con los datos resultantes de los censos, la Figura 3 muestra que en la localidad de San Cayetano y sus alrededores se incrementó progresivamente el total de VPUT</w:t>
      </w:r>
      <w:r>
        <w:t>. Se</w:t>
      </w:r>
      <w:r w:rsidRPr="00FF6B66">
        <w:t xml:space="preserve"> pas</w:t>
      </w:r>
      <w:r>
        <w:t>ó</w:t>
      </w:r>
      <w:r w:rsidRPr="00FF6B66">
        <w:t xml:space="preserve"> de 11 en 2001 a 41 en 2022.</w:t>
      </w:r>
    </w:p>
    <w:p w14:paraId="45685623" w14:textId="77777777" w:rsidR="00F90F49" w:rsidRDefault="00F90F49" w:rsidP="00FF6B66">
      <w:pPr>
        <w:pStyle w:val="7FigurasytablasencabezadoIIGG"/>
      </w:pPr>
    </w:p>
    <w:p w14:paraId="79304813" w14:textId="044E282F" w:rsidR="00FF6B66" w:rsidRPr="00F90F49" w:rsidRDefault="00FF6B66" w:rsidP="00FF6B66">
      <w:pPr>
        <w:pStyle w:val="7FigurasytablasencabezadoIIGG"/>
        <w:rPr>
          <w:b/>
          <w:bCs/>
        </w:rPr>
      </w:pPr>
      <w:r w:rsidRPr="00F90F49">
        <w:rPr>
          <w:b/>
          <w:bCs/>
        </w:rPr>
        <w:t>Figura 3. San Cayetano: evolución espacial del porcentaje de viviendas de potencial uso turístico (VPUT) por radio censal, 2001, 2010 y 2022</w:t>
      </w:r>
    </w:p>
    <w:p w14:paraId="4C49FD35" w14:textId="5DEB2326" w:rsidR="00FF6B66" w:rsidRDefault="00AD746C" w:rsidP="00FF6B66">
      <w:pPr>
        <w:pStyle w:val="7FigurasytablasencabezadoIIGG"/>
      </w:pPr>
      <w:r>
        <w:rPr>
          <w:noProof/>
        </w:rPr>
        <w:drawing>
          <wp:inline distT="0" distB="0" distL="0" distR="0" wp14:anchorId="35C37EFA" wp14:editId="760CA38C">
            <wp:extent cx="5761355" cy="1268095"/>
            <wp:effectExtent l="0" t="0" r="0" b="8255"/>
            <wp:docPr id="12271192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1268095"/>
                    </a:xfrm>
                    <a:prstGeom prst="rect">
                      <a:avLst/>
                    </a:prstGeom>
                    <a:noFill/>
                  </pic:spPr>
                </pic:pic>
              </a:graphicData>
            </a:graphic>
          </wp:inline>
        </w:drawing>
      </w:r>
    </w:p>
    <w:p w14:paraId="4D83C148" w14:textId="77777777" w:rsidR="00FF6B66" w:rsidRDefault="00FF6B66" w:rsidP="00FF6B66">
      <w:pPr>
        <w:pStyle w:val="5TextocomnIIGG"/>
        <w:spacing w:after="120"/>
        <w:jc w:val="center"/>
      </w:pPr>
      <w:r w:rsidRPr="00026DAC">
        <w:t xml:space="preserve">Fuente: </w:t>
      </w:r>
      <w:r w:rsidRPr="00417073">
        <w:t>INDEC</w:t>
      </w:r>
      <w:r>
        <w:t xml:space="preserve">, </w:t>
      </w:r>
      <w:r w:rsidRPr="00417073">
        <w:t>CNPHyV, 2001, 2010 y 2022. Elaboración propi</w:t>
      </w:r>
      <w:r>
        <w:t>a</w:t>
      </w:r>
    </w:p>
    <w:p w14:paraId="72A0A707" w14:textId="14E06485" w:rsidR="00FF6B66" w:rsidRDefault="00FF6B66" w:rsidP="00FF6B66">
      <w:pPr>
        <w:pStyle w:val="5TextocomnIIGG"/>
        <w:spacing w:after="120"/>
        <w:ind w:firstLine="567"/>
      </w:pPr>
      <w:r w:rsidRPr="00FF6B66">
        <w:lastRenderedPageBreak/>
        <w:t>Otra particularidad que se evidencia al emprender este análisis consiste en el rol destacado que empiezan a tener las urbanizaciones privadas, y que se manifiesta especialmente durante el último censo, producto de que varias de ellas se convierten en radios independientes. Como se demostró en la Tabla 1, en el relevamiento del año 2022 la definición de la categoría censal afín al turismo residenciado hace mención explícita a viviendas desocupadas situadas en barrios privados. Si bien en los mapas de escala regional esta clase de radio urbano no se luce adecuadamente, en partidos como Tandil y General Juan Madariaga se detectaron casos de emprendimientos residenciales privados con más de un 20% de VPUT.</w:t>
      </w:r>
    </w:p>
    <w:p w14:paraId="5FC46C17" w14:textId="77777777" w:rsidR="00D833C7" w:rsidRDefault="00D833C7" w:rsidP="00D833C7">
      <w:pPr>
        <w:pStyle w:val="5TextocomnIIGG"/>
        <w:spacing w:after="120"/>
        <w:ind w:firstLine="567"/>
      </w:pPr>
      <w:r w:rsidRPr="00D833C7">
        <w:t>En lo que respecta a puntos críticos de esta fuente, en más de un caso se evidenciaron contradicciones notables entre lo que informan los datos censales y lo que se conoce sobre el territorio a partir de instancias de trabajos de campo. Por ejemplo, mientras que el CNPHyV 2022 informa que en la localidad de Centinela del Mar (Partido de General Alvarado) ninguna de las 30 viviendas que componen el radio censal representativo de la localidad se usa para vacaciones, fin de semana, como segunda residencia u otro uso temporal, en campañas de reconocimiento que incluyeron diálogo con pobladores locales se corroboró que casi la totalidad de las viviendas se utilizan durante la temporada de verano, sea con fines de alquiler turístico o como segundas residencias.</w:t>
      </w:r>
    </w:p>
    <w:p w14:paraId="4CC590A8" w14:textId="177556E0" w:rsidR="00D833C7" w:rsidRDefault="00D833C7" w:rsidP="00D833C7">
      <w:pPr>
        <w:pStyle w:val="5TextocomnIIGG"/>
        <w:spacing w:after="120"/>
        <w:ind w:firstLine="567"/>
      </w:pPr>
      <w:r>
        <w:t>Otro ejemplo que se puede rescatar atañe al Partido de Villa Gesell, y más precisamente al único radio censal de la región que registró en 2022 un 100% de VPUT. Mientras que el censo notifica un total de dos viviendas particulares, la</w:t>
      </w:r>
      <w:r w:rsidRPr="008B5E24">
        <w:t xml:space="preserve"> </w:t>
      </w:r>
      <w:r>
        <w:t>exploración</w:t>
      </w:r>
      <w:r w:rsidRPr="008B5E24">
        <w:t xml:space="preserve"> en el historial de imágenes</w:t>
      </w:r>
      <w:r>
        <w:t xml:space="preserve"> de </w:t>
      </w:r>
      <w:r w:rsidRPr="008B5E24">
        <w:rPr>
          <w:i/>
          <w:iCs/>
        </w:rPr>
        <w:t>Google Earth</w:t>
      </w:r>
      <w:r w:rsidRPr="008B5E24">
        <w:t xml:space="preserve"> exhibe que</w:t>
      </w:r>
      <w:r>
        <w:t>, seis</w:t>
      </w:r>
      <w:r w:rsidRPr="008B5E24">
        <w:t xml:space="preserve"> meses antes del operativo presencial</w:t>
      </w:r>
      <w:r>
        <w:t xml:space="preserve"> (diciembre de 2021), </w:t>
      </w:r>
      <w:r w:rsidRPr="008B5E24">
        <w:t>se contabilizaban al menos 25 viviendas</w:t>
      </w:r>
      <w:r>
        <w:t>, quedando expuesto</w:t>
      </w:r>
      <w:r w:rsidRPr="008B5E24">
        <w:t xml:space="preserve"> </w:t>
      </w:r>
      <w:r>
        <w:t>un caso de</w:t>
      </w:r>
      <w:r w:rsidRPr="008B5E24">
        <w:t xml:space="preserve"> subregistro</w:t>
      </w:r>
      <w:r>
        <w:t xml:space="preserve">. </w:t>
      </w:r>
    </w:p>
    <w:p w14:paraId="305BCC9E" w14:textId="77777777" w:rsidR="00D833C7" w:rsidRDefault="00D833C7" w:rsidP="00FF6B66">
      <w:pPr>
        <w:pStyle w:val="5TextocomnIIGG"/>
        <w:spacing w:after="120"/>
        <w:ind w:firstLine="567"/>
      </w:pPr>
    </w:p>
    <w:p w14:paraId="1216CFD0" w14:textId="6CA22CB4" w:rsidR="00D833C7" w:rsidRPr="00026DAC" w:rsidRDefault="00D833C7" w:rsidP="00D833C7">
      <w:pPr>
        <w:pStyle w:val="4TtulosepgrafesIIGG"/>
        <w:spacing w:after="120"/>
      </w:pPr>
      <w:r>
        <w:t>3</w:t>
      </w:r>
      <w:r w:rsidRPr="00026DAC">
        <w:t>.</w:t>
      </w:r>
      <w:r>
        <w:t>2</w:t>
      </w:r>
      <w:r w:rsidRPr="00026DAC">
        <w:t xml:space="preserve">. </w:t>
      </w:r>
      <w:r>
        <w:t>Mapeo y análisis del turismo serviciado</w:t>
      </w:r>
    </w:p>
    <w:p w14:paraId="40D211DF" w14:textId="5AF1D31B" w:rsidR="004E0C32" w:rsidRDefault="004E0C32" w:rsidP="004E0C32">
      <w:pPr>
        <w:pStyle w:val="5TextocomnIIGG"/>
        <w:spacing w:after="120"/>
        <w:ind w:firstLine="567"/>
      </w:pPr>
      <w:r w:rsidRPr="004E0C32">
        <w:t>La Tabla 4 muestra, para cada partido, el total de viviendas colectivas suscritas como alojamiento turístico en los últimos cuatro censos generales, junto a las tasas de crecimiento resultantes. Tal como se anticipó, dos factores perjudican la comparabilidad entre columnas. En primer lugar, las diferentes épocas del año en las que se relevaron los censos, las cuales, por cierto, se hallan circunscriptas a momentos del año en los que el común de la población tiene menor movilidad de tipo viaje; en segundo lugar, el cambio metodológico de censo de hecho a censo de derecho, establecido para el año 2022.</w:t>
      </w:r>
    </w:p>
    <w:p w14:paraId="4E3313D7" w14:textId="77777777" w:rsidR="00F90F49" w:rsidRDefault="00F90F49" w:rsidP="004E0C32">
      <w:pPr>
        <w:pStyle w:val="5TextocomnIIGG"/>
        <w:spacing w:after="120"/>
        <w:ind w:firstLine="567"/>
      </w:pPr>
    </w:p>
    <w:p w14:paraId="71F90C14" w14:textId="7AF5C9E6" w:rsidR="004E0C32" w:rsidRPr="00F90F49" w:rsidRDefault="004E0C32" w:rsidP="004E0C32">
      <w:pPr>
        <w:pStyle w:val="7FigurasytablasencabezadoIIGG"/>
        <w:rPr>
          <w:b/>
          <w:bCs/>
        </w:rPr>
      </w:pPr>
      <w:r w:rsidRPr="00F90F49">
        <w:rPr>
          <w:b/>
          <w:bCs/>
        </w:rPr>
        <w:t>Tabla 4. Partidos del sudeste de la Provincia de Buenos Aires: viviendas colectivas censadas como alojamiento turístico, total y tasa de crecimiento anual intercensal (TCAI) (‰), 1991, 2001, 2010 y 2022</w:t>
      </w:r>
    </w:p>
    <w:tbl>
      <w:tblPr>
        <w:tblStyle w:val="Tablaconcuadrcula"/>
        <w:tblW w:w="5000" w:type="pct"/>
        <w:jc w:val="center"/>
        <w:tblLayout w:type="fixed"/>
        <w:tblLook w:val="04A0" w:firstRow="1" w:lastRow="0" w:firstColumn="1" w:lastColumn="0" w:noHBand="0" w:noVBand="1"/>
      </w:tblPr>
      <w:tblGrid>
        <w:gridCol w:w="1939"/>
        <w:gridCol w:w="1035"/>
        <w:gridCol w:w="1017"/>
        <w:gridCol w:w="1018"/>
        <w:gridCol w:w="940"/>
        <w:gridCol w:w="1094"/>
        <w:gridCol w:w="1017"/>
        <w:gridCol w:w="1000"/>
      </w:tblGrid>
      <w:tr w:rsidR="00510048" w:rsidRPr="00C540A0" w14:paraId="17B1AAE9" w14:textId="4B38288A" w:rsidTr="00510048">
        <w:trPr>
          <w:jc w:val="center"/>
        </w:trPr>
        <w:tc>
          <w:tcPr>
            <w:tcW w:w="1070" w:type="pct"/>
            <w:vMerge w:val="restart"/>
          </w:tcPr>
          <w:p w14:paraId="7A514763" w14:textId="06410941" w:rsidR="00510048" w:rsidRPr="00D821B0" w:rsidRDefault="00510048" w:rsidP="00926D32">
            <w:pPr>
              <w:pStyle w:val="5TextocomnIIGG"/>
              <w:spacing w:after="120"/>
              <w:jc w:val="center"/>
              <w:rPr>
                <w:b/>
              </w:rPr>
            </w:pPr>
            <w:bookmarkStart w:id="3" w:name="_Hlk193357455"/>
            <w:r>
              <w:rPr>
                <w:b/>
              </w:rPr>
              <w:t>Partidos</w:t>
            </w:r>
          </w:p>
        </w:tc>
        <w:tc>
          <w:tcPr>
            <w:tcW w:w="3930" w:type="pct"/>
            <w:gridSpan w:val="7"/>
          </w:tcPr>
          <w:p w14:paraId="44780F5F" w14:textId="5966CB64" w:rsidR="00510048" w:rsidRPr="00D821B0" w:rsidRDefault="00510048" w:rsidP="00926D32">
            <w:pPr>
              <w:pStyle w:val="5TextocomnIIGG"/>
              <w:spacing w:after="120"/>
              <w:jc w:val="center"/>
              <w:rPr>
                <w:b/>
              </w:rPr>
            </w:pPr>
            <w:r w:rsidRPr="004E0C32">
              <w:rPr>
                <w:b/>
              </w:rPr>
              <w:t>Viviendas colectivas censadas como alojamiento turístico</w:t>
            </w:r>
          </w:p>
        </w:tc>
      </w:tr>
      <w:bookmarkEnd w:id="3"/>
      <w:tr w:rsidR="00510048" w:rsidRPr="00C540A0" w14:paraId="3FB6612F" w14:textId="4CF2962A" w:rsidTr="00D50E0B">
        <w:trPr>
          <w:jc w:val="center"/>
        </w:trPr>
        <w:tc>
          <w:tcPr>
            <w:tcW w:w="1070" w:type="pct"/>
            <w:vMerge/>
          </w:tcPr>
          <w:p w14:paraId="15F664EB" w14:textId="014F1D62" w:rsidR="00510048" w:rsidRPr="00C540A0" w:rsidRDefault="00510048" w:rsidP="004E0C32">
            <w:pPr>
              <w:pStyle w:val="5TextocomnIIGG"/>
              <w:spacing w:after="120"/>
            </w:pPr>
          </w:p>
        </w:tc>
        <w:tc>
          <w:tcPr>
            <w:tcW w:w="571" w:type="pct"/>
            <w:vMerge w:val="restart"/>
            <w:tcBorders>
              <w:top w:val="nil"/>
              <w:left w:val="single" w:sz="4" w:space="0" w:color="auto"/>
              <w:right w:val="single" w:sz="4" w:space="0" w:color="auto"/>
            </w:tcBorders>
            <w:vAlign w:val="center"/>
          </w:tcPr>
          <w:p w14:paraId="288A4EA9" w14:textId="0E41248A" w:rsidR="00510048" w:rsidRPr="004E0C32" w:rsidRDefault="00510048" w:rsidP="004E0C32">
            <w:pPr>
              <w:pStyle w:val="5TextocomnIIGG"/>
              <w:spacing w:after="120"/>
              <w:jc w:val="center"/>
              <w:rPr>
                <w:b/>
              </w:rPr>
            </w:pPr>
            <w:r w:rsidRPr="004E0C32">
              <w:rPr>
                <w:b/>
              </w:rPr>
              <w:t xml:space="preserve">mayo </w:t>
            </w:r>
            <w:r>
              <w:rPr>
                <w:b/>
              </w:rPr>
              <w:t xml:space="preserve">de </w:t>
            </w:r>
            <w:r w:rsidRPr="004E0C32">
              <w:rPr>
                <w:b/>
              </w:rPr>
              <w:t>1991</w:t>
            </w:r>
          </w:p>
        </w:tc>
        <w:tc>
          <w:tcPr>
            <w:tcW w:w="561" w:type="pct"/>
            <w:vMerge w:val="restart"/>
            <w:tcBorders>
              <w:top w:val="nil"/>
              <w:left w:val="single" w:sz="4" w:space="0" w:color="auto"/>
              <w:right w:val="single" w:sz="4" w:space="0" w:color="auto"/>
            </w:tcBorders>
            <w:vAlign w:val="center"/>
          </w:tcPr>
          <w:p w14:paraId="5CF86137" w14:textId="493AD9AD" w:rsidR="00510048" w:rsidRPr="004E0C32" w:rsidRDefault="00510048" w:rsidP="004E0C32">
            <w:pPr>
              <w:pStyle w:val="5TextocomnIIGG"/>
              <w:spacing w:after="120"/>
              <w:jc w:val="center"/>
              <w:rPr>
                <w:b/>
              </w:rPr>
            </w:pPr>
            <w:r w:rsidRPr="004E0C32">
              <w:rPr>
                <w:b/>
              </w:rPr>
              <w:t xml:space="preserve">noviembre </w:t>
            </w:r>
            <w:r>
              <w:rPr>
                <w:b/>
              </w:rPr>
              <w:t xml:space="preserve">de </w:t>
            </w:r>
            <w:r w:rsidRPr="004E0C32">
              <w:rPr>
                <w:b/>
              </w:rPr>
              <w:t>2001</w:t>
            </w:r>
          </w:p>
        </w:tc>
        <w:tc>
          <w:tcPr>
            <w:tcW w:w="562" w:type="pct"/>
            <w:vMerge w:val="restart"/>
            <w:tcBorders>
              <w:top w:val="nil"/>
              <w:left w:val="single" w:sz="4" w:space="0" w:color="auto"/>
              <w:right w:val="single" w:sz="4" w:space="0" w:color="auto"/>
            </w:tcBorders>
            <w:vAlign w:val="center"/>
          </w:tcPr>
          <w:p w14:paraId="5AB370D2" w14:textId="5CF17319" w:rsidR="00510048" w:rsidRPr="004E0C32" w:rsidRDefault="00510048" w:rsidP="004E0C32">
            <w:pPr>
              <w:pStyle w:val="5TextocomnIIGG"/>
              <w:spacing w:after="120"/>
              <w:jc w:val="center"/>
              <w:rPr>
                <w:b/>
              </w:rPr>
            </w:pPr>
            <w:r w:rsidRPr="004E0C32">
              <w:rPr>
                <w:b/>
              </w:rPr>
              <w:t xml:space="preserve">octubre </w:t>
            </w:r>
            <w:r>
              <w:rPr>
                <w:b/>
              </w:rPr>
              <w:t xml:space="preserve">de </w:t>
            </w:r>
            <w:r w:rsidRPr="004E0C32">
              <w:rPr>
                <w:b/>
              </w:rPr>
              <w:t>2010</w:t>
            </w:r>
          </w:p>
        </w:tc>
        <w:tc>
          <w:tcPr>
            <w:tcW w:w="519" w:type="pct"/>
            <w:vMerge w:val="restart"/>
            <w:tcBorders>
              <w:top w:val="nil"/>
              <w:left w:val="single" w:sz="4" w:space="0" w:color="auto"/>
              <w:right w:val="single" w:sz="4" w:space="0" w:color="auto"/>
            </w:tcBorders>
            <w:vAlign w:val="center"/>
          </w:tcPr>
          <w:p w14:paraId="03C20FAE" w14:textId="30A080B9" w:rsidR="00510048" w:rsidRPr="004E0C32" w:rsidRDefault="00510048" w:rsidP="004E0C32">
            <w:pPr>
              <w:pStyle w:val="5TextocomnIIGG"/>
              <w:spacing w:after="120"/>
              <w:jc w:val="center"/>
              <w:rPr>
                <w:b/>
              </w:rPr>
            </w:pPr>
            <w:r w:rsidRPr="004E0C32">
              <w:rPr>
                <w:b/>
              </w:rPr>
              <w:t xml:space="preserve">mayo </w:t>
            </w:r>
            <w:r>
              <w:rPr>
                <w:b/>
              </w:rPr>
              <w:t xml:space="preserve">de </w:t>
            </w:r>
            <w:r w:rsidRPr="004E0C32">
              <w:rPr>
                <w:b/>
              </w:rPr>
              <w:t>2022</w:t>
            </w:r>
          </w:p>
        </w:tc>
        <w:tc>
          <w:tcPr>
            <w:tcW w:w="1717" w:type="pct"/>
            <w:gridSpan w:val="3"/>
          </w:tcPr>
          <w:p w14:paraId="11779D41" w14:textId="1D162147" w:rsidR="00510048" w:rsidRPr="00C540A0" w:rsidRDefault="00510048" w:rsidP="00510048">
            <w:pPr>
              <w:pStyle w:val="5TextocomnIIGG"/>
              <w:spacing w:after="120"/>
              <w:jc w:val="center"/>
            </w:pPr>
            <w:r w:rsidRPr="00510048">
              <w:rPr>
                <w:b/>
              </w:rPr>
              <w:t>TCAI ‰</w:t>
            </w:r>
          </w:p>
        </w:tc>
      </w:tr>
      <w:tr w:rsidR="00510048" w:rsidRPr="00C540A0" w14:paraId="793ADC19" w14:textId="34D891D8" w:rsidTr="00510048">
        <w:trPr>
          <w:jc w:val="center"/>
        </w:trPr>
        <w:tc>
          <w:tcPr>
            <w:tcW w:w="1070" w:type="pct"/>
            <w:vMerge/>
          </w:tcPr>
          <w:p w14:paraId="52BB189F" w14:textId="6E04106C" w:rsidR="00510048" w:rsidRPr="00C540A0" w:rsidRDefault="00510048" w:rsidP="00510048">
            <w:pPr>
              <w:pStyle w:val="5TextocomnIIGG"/>
              <w:spacing w:after="120"/>
            </w:pPr>
          </w:p>
        </w:tc>
        <w:tc>
          <w:tcPr>
            <w:tcW w:w="571" w:type="pct"/>
            <w:vMerge/>
            <w:tcBorders>
              <w:left w:val="single" w:sz="4" w:space="0" w:color="auto"/>
              <w:bottom w:val="single" w:sz="4" w:space="0" w:color="auto"/>
              <w:right w:val="single" w:sz="4" w:space="0" w:color="auto"/>
            </w:tcBorders>
            <w:vAlign w:val="center"/>
          </w:tcPr>
          <w:p w14:paraId="6EAC6FB7" w14:textId="19A87102" w:rsidR="00510048" w:rsidRPr="00C540A0" w:rsidRDefault="00510048" w:rsidP="00510048">
            <w:pPr>
              <w:pStyle w:val="5TextocomnIIGG"/>
              <w:spacing w:after="120"/>
            </w:pPr>
          </w:p>
        </w:tc>
        <w:tc>
          <w:tcPr>
            <w:tcW w:w="561" w:type="pct"/>
            <w:vMerge/>
            <w:tcBorders>
              <w:left w:val="single" w:sz="4" w:space="0" w:color="auto"/>
              <w:bottom w:val="single" w:sz="4" w:space="0" w:color="auto"/>
              <w:right w:val="single" w:sz="4" w:space="0" w:color="auto"/>
            </w:tcBorders>
            <w:vAlign w:val="center"/>
          </w:tcPr>
          <w:p w14:paraId="6846A528" w14:textId="5326FC43" w:rsidR="00510048" w:rsidRPr="00C540A0" w:rsidRDefault="00510048" w:rsidP="00510048">
            <w:pPr>
              <w:pStyle w:val="5TextocomnIIGG"/>
              <w:spacing w:after="120"/>
            </w:pPr>
          </w:p>
        </w:tc>
        <w:tc>
          <w:tcPr>
            <w:tcW w:w="562" w:type="pct"/>
            <w:vMerge/>
            <w:tcBorders>
              <w:left w:val="single" w:sz="4" w:space="0" w:color="auto"/>
              <w:bottom w:val="single" w:sz="4" w:space="0" w:color="auto"/>
              <w:right w:val="single" w:sz="4" w:space="0" w:color="auto"/>
            </w:tcBorders>
            <w:vAlign w:val="center"/>
          </w:tcPr>
          <w:p w14:paraId="4EDC1E4E" w14:textId="77777777" w:rsidR="00510048" w:rsidRPr="00C540A0" w:rsidRDefault="00510048" w:rsidP="00510048">
            <w:pPr>
              <w:pStyle w:val="5TextocomnIIGG"/>
              <w:spacing w:after="120"/>
            </w:pPr>
          </w:p>
        </w:tc>
        <w:tc>
          <w:tcPr>
            <w:tcW w:w="519" w:type="pct"/>
            <w:vMerge/>
            <w:tcBorders>
              <w:left w:val="single" w:sz="4" w:space="0" w:color="auto"/>
              <w:bottom w:val="single" w:sz="4" w:space="0" w:color="auto"/>
              <w:right w:val="single" w:sz="4" w:space="0" w:color="auto"/>
            </w:tcBorders>
            <w:vAlign w:val="center"/>
          </w:tcPr>
          <w:p w14:paraId="2231B0B3" w14:textId="77777777" w:rsidR="00510048" w:rsidRPr="00C540A0" w:rsidRDefault="00510048" w:rsidP="00510048">
            <w:pPr>
              <w:pStyle w:val="5TextocomnIIGG"/>
              <w:spacing w:after="120"/>
            </w:pPr>
          </w:p>
        </w:tc>
        <w:tc>
          <w:tcPr>
            <w:tcW w:w="604" w:type="pct"/>
            <w:tcBorders>
              <w:top w:val="nil"/>
              <w:left w:val="nil"/>
              <w:bottom w:val="single" w:sz="4" w:space="0" w:color="auto"/>
              <w:right w:val="single" w:sz="4" w:space="0" w:color="auto"/>
            </w:tcBorders>
            <w:vAlign w:val="bottom"/>
          </w:tcPr>
          <w:p w14:paraId="064D12AE" w14:textId="73406F0D" w:rsidR="00510048" w:rsidRPr="00510048" w:rsidRDefault="00510048" w:rsidP="00510048">
            <w:pPr>
              <w:pStyle w:val="5TextocomnIIGG"/>
              <w:spacing w:after="120"/>
              <w:jc w:val="center"/>
              <w:rPr>
                <w:b/>
              </w:rPr>
            </w:pPr>
            <w:r w:rsidRPr="00510048">
              <w:rPr>
                <w:b/>
              </w:rPr>
              <w:t>1991-2001</w:t>
            </w:r>
          </w:p>
        </w:tc>
        <w:tc>
          <w:tcPr>
            <w:tcW w:w="561" w:type="pct"/>
            <w:tcBorders>
              <w:top w:val="nil"/>
              <w:left w:val="nil"/>
              <w:bottom w:val="single" w:sz="4" w:space="0" w:color="auto"/>
              <w:right w:val="single" w:sz="4" w:space="0" w:color="auto"/>
            </w:tcBorders>
            <w:vAlign w:val="bottom"/>
          </w:tcPr>
          <w:p w14:paraId="23E4996D" w14:textId="09F1422F" w:rsidR="00510048" w:rsidRPr="00510048" w:rsidRDefault="00510048" w:rsidP="00510048">
            <w:pPr>
              <w:pStyle w:val="5TextocomnIIGG"/>
              <w:spacing w:after="120"/>
              <w:jc w:val="center"/>
              <w:rPr>
                <w:b/>
              </w:rPr>
            </w:pPr>
            <w:r w:rsidRPr="00510048">
              <w:rPr>
                <w:b/>
              </w:rPr>
              <w:t>2001-2010</w:t>
            </w:r>
          </w:p>
        </w:tc>
        <w:tc>
          <w:tcPr>
            <w:tcW w:w="552" w:type="pct"/>
            <w:tcBorders>
              <w:top w:val="single" w:sz="4" w:space="0" w:color="auto"/>
              <w:left w:val="nil"/>
              <w:bottom w:val="single" w:sz="4" w:space="0" w:color="auto"/>
              <w:right w:val="single" w:sz="4" w:space="0" w:color="auto"/>
            </w:tcBorders>
            <w:vAlign w:val="bottom"/>
          </w:tcPr>
          <w:p w14:paraId="735FCD07" w14:textId="0784AD51" w:rsidR="00510048" w:rsidRPr="00510048" w:rsidRDefault="00510048" w:rsidP="00510048">
            <w:pPr>
              <w:pStyle w:val="5TextocomnIIGG"/>
              <w:spacing w:after="120"/>
              <w:jc w:val="center"/>
              <w:rPr>
                <w:b/>
              </w:rPr>
            </w:pPr>
            <w:r w:rsidRPr="00510048">
              <w:rPr>
                <w:b/>
              </w:rPr>
              <w:t>2010-2022</w:t>
            </w:r>
          </w:p>
        </w:tc>
      </w:tr>
      <w:tr w:rsidR="00510048" w:rsidRPr="00C540A0" w14:paraId="7CCA4080" w14:textId="3D498346" w:rsidTr="00510048">
        <w:trPr>
          <w:jc w:val="center"/>
        </w:trPr>
        <w:tc>
          <w:tcPr>
            <w:tcW w:w="1070" w:type="pct"/>
          </w:tcPr>
          <w:p w14:paraId="621AB2DA" w14:textId="6EA4A9EC" w:rsidR="00510048" w:rsidRPr="00C540A0" w:rsidRDefault="00510048" w:rsidP="00510048">
            <w:pPr>
              <w:pStyle w:val="5TextocomnIIGG"/>
              <w:spacing w:after="120"/>
            </w:pPr>
            <w:r w:rsidRPr="00F326F1">
              <w:rPr>
                <w:sz w:val="22"/>
                <w:szCs w:val="22"/>
              </w:rPr>
              <w:t>Ayacucho</w:t>
            </w:r>
          </w:p>
        </w:tc>
        <w:tc>
          <w:tcPr>
            <w:tcW w:w="571" w:type="pct"/>
            <w:tcBorders>
              <w:top w:val="single" w:sz="4" w:space="0" w:color="auto"/>
              <w:left w:val="nil"/>
              <w:bottom w:val="single" w:sz="4" w:space="0" w:color="auto"/>
              <w:right w:val="single" w:sz="4" w:space="0" w:color="auto"/>
            </w:tcBorders>
            <w:vAlign w:val="bottom"/>
          </w:tcPr>
          <w:p w14:paraId="354C3421" w14:textId="4299CB82" w:rsidR="00510048" w:rsidRPr="00510048" w:rsidRDefault="00510048" w:rsidP="00510048">
            <w:pPr>
              <w:pStyle w:val="5TextocomnIIGG"/>
              <w:spacing w:after="120"/>
              <w:jc w:val="right"/>
              <w:rPr>
                <w:sz w:val="22"/>
                <w:szCs w:val="22"/>
              </w:rPr>
            </w:pPr>
            <w:r w:rsidRPr="00510048">
              <w:rPr>
                <w:sz w:val="22"/>
                <w:szCs w:val="22"/>
              </w:rPr>
              <w:t>1</w:t>
            </w:r>
          </w:p>
        </w:tc>
        <w:tc>
          <w:tcPr>
            <w:tcW w:w="561" w:type="pct"/>
            <w:tcBorders>
              <w:top w:val="single" w:sz="4" w:space="0" w:color="auto"/>
              <w:left w:val="nil"/>
              <w:bottom w:val="single" w:sz="4" w:space="0" w:color="auto"/>
              <w:right w:val="single" w:sz="4" w:space="0" w:color="auto"/>
            </w:tcBorders>
            <w:vAlign w:val="bottom"/>
          </w:tcPr>
          <w:p w14:paraId="4778B526" w14:textId="2121236E" w:rsidR="00510048" w:rsidRPr="00510048" w:rsidRDefault="00510048" w:rsidP="00510048">
            <w:pPr>
              <w:pStyle w:val="5TextocomnIIGG"/>
              <w:spacing w:after="120"/>
              <w:jc w:val="right"/>
              <w:rPr>
                <w:sz w:val="22"/>
                <w:szCs w:val="22"/>
              </w:rPr>
            </w:pPr>
            <w:r w:rsidRPr="00510048">
              <w:rPr>
                <w:sz w:val="22"/>
                <w:szCs w:val="22"/>
              </w:rPr>
              <w:t>8</w:t>
            </w:r>
          </w:p>
        </w:tc>
        <w:tc>
          <w:tcPr>
            <w:tcW w:w="562" w:type="pct"/>
            <w:tcBorders>
              <w:top w:val="single" w:sz="4" w:space="0" w:color="auto"/>
              <w:left w:val="nil"/>
              <w:bottom w:val="single" w:sz="4" w:space="0" w:color="auto"/>
              <w:right w:val="single" w:sz="4" w:space="0" w:color="auto"/>
            </w:tcBorders>
            <w:vAlign w:val="bottom"/>
          </w:tcPr>
          <w:p w14:paraId="69787D3B" w14:textId="0F58F5BA" w:rsidR="00510048" w:rsidRPr="00510048" w:rsidRDefault="00510048" w:rsidP="00510048">
            <w:pPr>
              <w:pStyle w:val="5TextocomnIIGG"/>
              <w:spacing w:after="120"/>
              <w:jc w:val="right"/>
              <w:rPr>
                <w:sz w:val="22"/>
                <w:szCs w:val="22"/>
              </w:rPr>
            </w:pPr>
            <w:r w:rsidRPr="00510048">
              <w:rPr>
                <w:sz w:val="22"/>
                <w:szCs w:val="22"/>
              </w:rPr>
              <w:t>4</w:t>
            </w:r>
          </w:p>
        </w:tc>
        <w:tc>
          <w:tcPr>
            <w:tcW w:w="519" w:type="pct"/>
            <w:tcBorders>
              <w:top w:val="single" w:sz="4" w:space="0" w:color="auto"/>
              <w:left w:val="nil"/>
              <w:bottom w:val="single" w:sz="4" w:space="0" w:color="auto"/>
              <w:right w:val="single" w:sz="4" w:space="0" w:color="auto"/>
            </w:tcBorders>
            <w:vAlign w:val="bottom"/>
          </w:tcPr>
          <w:p w14:paraId="306F6C39" w14:textId="62D78DFA" w:rsidR="00510048" w:rsidRPr="00510048" w:rsidRDefault="00510048" w:rsidP="00510048">
            <w:pPr>
              <w:pStyle w:val="5TextocomnIIGG"/>
              <w:spacing w:after="120"/>
              <w:jc w:val="right"/>
              <w:rPr>
                <w:sz w:val="22"/>
                <w:szCs w:val="22"/>
              </w:rPr>
            </w:pPr>
            <w:r w:rsidRPr="00510048">
              <w:rPr>
                <w:sz w:val="22"/>
                <w:szCs w:val="22"/>
              </w:rPr>
              <w:t>1</w:t>
            </w:r>
          </w:p>
        </w:tc>
        <w:tc>
          <w:tcPr>
            <w:tcW w:w="604" w:type="pct"/>
            <w:tcBorders>
              <w:top w:val="single" w:sz="4" w:space="0" w:color="auto"/>
              <w:left w:val="nil"/>
              <w:bottom w:val="single" w:sz="4" w:space="0" w:color="auto"/>
              <w:right w:val="single" w:sz="4" w:space="0" w:color="auto"/>
            </w:tcBorders>
            <w:vAlign w:val="bottom"/>
          </w:tcPr>
          <w:p w14:paraId="001245C1" w14:textId="026E8C83" w:rsidR="00510048" w:rsidRPr="00510048" w:rsidRDefault="00510048" w:rsidP="00510048">
            <w:pPr>
              <w:pStyle w:val="5TextocomnIIGG"/>
              <w:spacing w:after="120"/>
              <w:jc w:val="right"/>
              <w:rPr>
                <w:sz w:val="22"/>
                <w:szCs w:val="22"/>
              </w:rPr>
            </w:pPr>
            <w:r w:rsidRPr="00510048">
              <w:rPr>
                <w:sz w:val="22"/>
                <w:szCs w:val="22"/>
              </w:rPr>
              <w:t>197,9</w:t>
            </w:r>
          </w:p>
        </w:tc>
        <w:tc>
          <w:tcPr>
            <w:tcW w:w="561" w:type="pct"/>
            <w:tcBorders>
              <w:top w:val="single" w:sz="4" w:space="0" w:color="auto"/>
              <w:left w:val="nil"/>
              <w:bottom w:val="single" w:sz="4" w:space="0" w:color="auto"/>
              <w:right w:val="single" w:sz="4" w:space="0" w:color="auto"/>
            </w:tcBorders>
            <w:vAlign w:val="bottom"/>
          </w:tcPr>
          <w:p w14:paraId="5F99829B" w14:textId="66112526" w:rsidR="00510048" w:rsidRPr="00510048" w:rsidRDefault="00510048" w:rsidP="00510048">
            <w:pPr>
              <w:pStyle w:val="5TextocomnIIGG"/>
              <w:spacing w:after="120"/>
              <w:jc w:val="right"/>
              <w:rPr>
                <w:sz w:val="22"/>
                <w:szCs w:val="22"/>
              </w:rPr>
            </w:pPr>
            <w:r w:rsidRPr="00510048">
              <w:rPr>
                <w:sz w:val="22"/>
                <w:szCs w:val="22"/>
              </w:rPr>
              <w:t>-77,5</w:t>
            </w:r>
          </w:p>
        </w:tc>
        <w:tc>
          <w:tcPr>
            <w:tcW w:w="552" w:type="pct"/>
            <w:tcBorders>
              <w:top w:val="single" w:sz="4" w:space="0" w:color="auto"/>
              <w:left w:val="nil"/>
              <w:bottom w:val="single" w:sz="4" w:space="0" w:color="auto"/>
              <w:right w:val="single" w:sz="4" w:space="0" w:color="auto"/>
            </w:tcBorders>
            <w:vAlign w:val="bottom"/>
          </w:tcPr>
          <w:p w14:paraId="483DE67A" w14:textId="3ACB1F6A" w:rsidR="00510048" w:rsidRPr="00510048" w:rsidRDefault="00510048" w:rsidP="00510048">
            <w:pPr>
              <w:pStyle w:val="5TextocomnIIGG"/>
              <w:spacing w:after="120"/>
              <w:jc w:val="right"/>
              <w:rPr>
                <w:sz w:val="22"/>
                <w:szCs w:val="22"/>
              </w:rPr>
            </w:pPr>
            <w:r w:rsidRPr="00510048">
              <w:rPr>
                <w:sz w:val="22"/>
                <w:szCs w:val="22"/>
              </w:rPr>
              <w:t>-119,9</w:t>
            </w:r>
          </w:p>
        </w:tc>
      </w:tr>
      <w:tr w:rsidR="00510048" w:rsidRPr="00C540A0" w14:paraId="13ADDA80" w14:textId="09BFAC31" w:rsidTr="00510048">
        <w:trPr>
          <w:jc w:val="center"/>
        </w:trPr>
        <w:tc>
          <w:tcPr>
            <w:tcW w:w="1070" w:type="pct"/>
          </w:tcPr>
          <w:p w14:paraId="76197C90" w14:textId="3E17A7F7" w:rsidR="00510048" w:rsidRPr="00C540A0" w:rsidRDefault="00510048" w:rsidP="00510048">
            <w:pPr>
              <w:pStyle w:val="5TextocomnIIGG"/>
              <w:spacing w:after="120"/>
            </w:pPr>
            <w:r w:rsidRPr="00F326F1">
              <w:rPr>
                <w:sz w:val="22"/>
                <w:szCs w:val="22"/>
              </w:rPr>
              <w:t>Balcarce</w:t>
            </w:r>
          </w:p>
        </w:tc>
        <w:tc>
          <w:tcPr>
            <w:tcW w:w="571" w:type="pct"/>
            <w:tcBorders>
              <w:top w:val="single" w:sz="4" w:space="0" w:color="auto"/>
              <w:left w:val="nil"/>
              <w:bottom w:val="single" w:sz="4" w:space="0" w:color="auto"/>
              <w:right w:val="single" w:sz="4" w:space="0" w:color="auto"/>
            </w:tcBorders>
            <w:vAlign w:val="bottom"/>
          </w:tcPr>
          <w:p w14:paraId="4ACC8923" w14:textId="1D80F29D" w:rsidR="00510048" w:rsidRPr="00510048" w:rsidRDefault="00510048" w:rsidP="00510048">
            <w:pPr>
              <w:pStyle w:val="5TextocomnIIGG"/>
              <w:spacing w:after="120"/>
              <w:jc w:val="right"/>
              <w:rPr>
                <w:sz w:val="22"/>
                <w:szCs w:val="22"/>
              </w:rPr>
            </w:pPr>
            <w:r w:rsidRPr="00510048">
              <w:rPr>
                <w:sz w:val="22"/>
                <w:szCs w:val="22"/>
              </w:rPr>
              <w:t>3</w:t>
            </w:r>
          </w:p>
        </w:tc>
        <w:tc>
          <w:tcPr>
            <w:tcW w:w="561" w:type="pct"/>
            <w:tcBorders>
              <w:top w:val="single" w:sz="4" w:space="0" w:color="auto"/>
              <w:left w:val="nil"/>
              <w:bottom w:val="single" w:sz="4" w:space="0" w:color="auto"/>
              <w:right w:val="single" w:sz="4" w:space="0" w:color="auto"/>
            </w:tcBorders>
            <w:vAlign w:val="bottom"/>
          </w:tcPr>
          <w:p w14:paraId="23B5E20D" w14:textId="76E820FC" w:rsidR="00510048" w:rsidRPr="00510048" w:rsidRDefault="00510048" w:rsidP="00510048">
            <w:pPr>
              <w:pStyle w:val="5TextocomnIIGG"/>
              <w:spacing w:after="120"/>
              <w:jc w:val="right"/>
              <w:rPr>
                <w:sz w:val="22"/>
                <w:szCs w:val="22"/>
              </w:rPr>
            </w:pPr>
            <w:r w:rsidRPr="00510048">
              <w:rPr>
                <w:sz w:val="22"/>
                <w:szCs w:val="22"/>
              </w:rPr>
              <w:t>4</w:t>
            </w:r>
          </w:p>
        </w:tc>
        <w:tc>
          <w:tcPr>
            <w:tcW w:w="562" w:type="pct"/>
            <w:tcBorders>
              <w:top w:val="single" w:sz="4" w:space="0" w:color="auto"/>
              <w:left w:val="nil"/>
              <w:bottom w:val="single" w:sz="4" w:space="0" w:color="auto"/>
              <w:right w:val="single" w:sz="4" w:space="0" w:color="auto"/>
            </w:tcBorders>
            <w:vAlign w:val="bottom"/>
          </w:tcPr>
          <w:p w14:paraId="31ABBAE5" w14:textId="42466D57" w:rsidR="00510048" w:rsidRPr="00510048" w:rsidRDefault="00510048" w:rsidP="00510048">
            <w:pPr>
              <w:pStyle w:val="5TextocomnIIGG"/>
              <w:spacing w:after="120"/>
              <w:jc w:val="right"/>
              <w:rPr>
                <w:sz w:val="22"/>
                <w:szCs w:val="22"/>
              </w:rPr>
            </w:pPr>
            <w:r w:rsidRPr="00510048">
              <w:rPr>
                <w:sz w:val="22"/>
                <w:szCs w:val="22"/>
              </w:rPr>
              <w:t>6</w:t>
            </w:r>
          </w:p>
        </w:tc>
        <w:tc>
          <w:tcPr>
            <w:tcW w:w="519" w:type="pct"/>
            <w:tcBorders>
              <w:top w:val="single" w:sz="4" w:space="0" w:color="auto"/>
              <w:left w:val="nil"/>
              <w:bottom w:val="single" w:sz="4" w:space="0" w:color="auto"/>
              <w:right w:val="single" w:sz="4" w:space="0" w:color="auto"/>
            </w:tcBorders>
            <w:vAlign w:val="bottom"/>
          </w:tcPr>
          <w:p w14:paraId="7BC63A3D" w14:textId="22DD7DF2" w:rsidR="00510048" w:rsidRPr="00510048" w:rsidRDefault="00510048" w:rsidP="00510048">
            <w:pPr>
              <w:pStyle w:val="5TextocomnIIGG"/>
              <w:spacing w:after="120"/>
              <w:jc w:val="right"/>
              <w:rPr>
                <w:sz w:val="22"/>
                <w:szCs w:val="22"/>
              </w:rPr>
            </w:pPr>
            <w:r w:rsidRPr="00510048">
              <w:rPr>
                <w:sz w:val="22"/>
                <w:szCs w:val="22"/>
              </w:rPr>
              <w:t>2</w:t>
            </w:r>
          </w:p>
        </w:tc>
        <w:tc>
          <w:tcPr>
            <w:tcW w:w="604" w:type="pct"/>
            <w:tcBorders>
              <w:top w:val="single" w:sz="4" w:space="0" w:color="auto"/>
              <w:left w:val="nil"/>
              <w:bottom w:val="single" w:sz="4" w:space="0" w:color="auto"/>
              <w:right w:val="single" w:sz="4" w:space="0" w:color="auto"/>
            </w:tcBorders>
            <w:vAlign w:val="bottom"/>
          </w:tcPr>
          <w:p w14:paraId="29D8488D" w14:textId="26357080" w:rsidR="00510048" w:rsidRPr="00510048" w:rsidRDefault="00510048" w:rsidP="00510048">
            <w:pPr>
              <w:pStyle w:val="5TextocomnIIGG"/>
              <w:spacing w:after="120"/>
              <w:jc w:val="right"/>
              <w:rPr>
                <w:sz w:val="22"/>
                <w:szCs w:val="22"/>
              </w:rPr>
            </w:pPr>
            <w:r w:rsidRPr="00510048">
              <w:rPr>
                <w:sz w:val="22"/>
                <w:szCs w:val="22"/>
              </w:rPr>
              <w:t>27,4</w:t>
            </w:r>
          </w:p>
        </w:tc>
        <w:tc>
          <w:tcPr>
            <w:tcW w:w="561" w:type="pct"/>
            <w:tcBorders>
              <w:top w:val="single" w:sz="4" w:space="0" w:color="auto"/>
              <w:left w:val="nil"/>
              <w:bottom w:val="single" w:sz="4" w:space="0" w:color="auto"/>
              <w:right w:val="single" w:sz="4" w:space="0" w:color="auto"/>
            </w:tcBorders>
            <w:vAlign w:val="bottom"/>
          </w:tcPr>
          <w:p w14:paraId="36DFFFDF" w14:textId="6B29B231" w:rsidR="00510048" w:rsidRPr="00510048" w:rsidRDefault="00510048" w:rsidP="00510048">
            <w:pPr>
              <w:pStyle w:val="5TextocomnIIGG"/>
              <w:spacing w:after="120"/>
              <w:jc w:val="right"/>
              <w:rPr>
                <w:sz w:val="22"/>
                <w:szCs w:val="22"/>
              </w:rPr>
            </w:pPr>
            <w:r w:rsidRPr="00510048">
              <w:rPr>
                <w:sz w:val="22"/>
                <w:szCs w:val="22"/>
              </w:rPr>
              <w:t>45,3</w:t>
            </w:r>
          </w:p>
        </w:tc>
        <w:tc>
          <w:tcPr>
            <w:tcW w:w="552" w:type="pct"/>
            <w:tcBorders>
              <w:top w:val="single" w:sz="4" w:space="0" w:color="auto"/>
              <w:left w:val="nil"/>
              <w:bottom w:val="single" w:sz="4" w:space="0" w:color="auto"/>
              <w:right w:val="single" w:sz="4" w:space="0" w:color="auto"/>
            </w:tcBorders>
            <w:vAlign w:val="bottom"/>
          </w:tcPr>
          <w:p w14:paraId="193D8D6C" w14:textId="39A5FDE2" w:rsidR="00510048" w:rsidRPr="00510048" w:rsidRDefault="00510048" w:rsidP="00510048">
            <w:pPr>
              <w:pStyle w:val="5TextocomnIIGG"/>
              <w:spacing w:after="120"/>
              <w:jc w:val="right"/>
              <w:rPr>
                <w:sz w:val="22"/>
                <w:szCs w:val="22"/>
              </w:rPr>
            </w:pPr>
            <w:r w:rsidRPr="00510048">
              <w:rPr>
                <w:sz w:val="22"/>
                <w:szCs w:val="22"/>
              </w:rPr>
              <w:t>-95,0</w:t>
            </w:r>
          </w:p>
        </w:tc>
      </w:tr>
      <w:tr w:rsidR="00510048" w:rsidRPr="00C540A0" w14:paraId="3D9FC79C" w14:textId="77777777" w:rsidTr="00510048">
        <w:trPr>
          <w:jc w:val="center"/>
        </w:trPr>
        <w:tc>
          <w:tcPr>
            <w:tcW w:w="1070" w:type="pct"/>
          </w:tcPr>
          <w:p w14:paraId="3C8C78A4" w14:textId="2C93717E" w:rsidR="00510048" w:rsidRPr="00C540A0" w:rsidRDefault="00510048" w:rsidP="00510048">
            <w:pPr>
              <w:pStyle w:val="5TextocomnIIGG"/>
              <w:spacing w:after="120"/>
            </w:pPr>
            <w:r w:rsidRPr="00F326F1">
              <w:rPr>
                <w:sz w:val="22"/>
                <w:szCs w:val="22"/>
              </w:rPr>
              <w:t>Gral. Alvarado</w:t>
            </w:r>
          </w:p>
        </w:tc>
        <w:tc>
          <w:tcPr>
            <w:tcW w:w="571" w:type="pct"/>
            <w:tcBorders>
              <w:top w:val="single" w:sz="4" w:space="0" w:color="auto"/>
              <w:left w:val="nil"/>
              <w:bottom w:val="single" w:sz="4" w:space="0" w:color="auto"/>
              <w:right w:val="single" w:sz="4" w:space="0" w:color="auto"/>
            </w:tcBorders>
            <w:vAlign w:val="bottom"/>
          </w:tcPr>
          <w:p w14:paraId="73FD07D0" w14:textId="30099926" w:rsidR="00510048" w:rsidRPr="00510048" w:rsidRDefault="00510048" w:rsidP="00510048">
            <w:pPr>
              <w:pStyle w:val="5TextocomnIIGG"/>
              <w:spacing w:after="120"/>
              <w:jc w:val="right"/>
              <w:rPr>
                <w:sz w:val="22"/>
                <w:szCs w:val="22"/>
              </w:rPr>
            </w:pPr>
            <w:r w:rsidRPr="00510048">
              <w:rPr>
                <w:sz w:val="22"/>
                <w:szCs w:val="22"/>
              </w:rPr>
              <w:t>4</w:t>
            </w:r>
          </w:p>
        </w:tc>
        <w:tc>
          <w:tcPr>
            <w:tcW w:w="561" w:type="pct"/>
            <w:tcBorders>
              <w:top w:val="single" w:sz="4" w:space="0" w:color="auto"/>
              <w:left w:val="nil"/>
              <w:bottom w:val="single" w:sz="4" w:space="0" w:color="auto"/>
              <w:right w:val="single" w:sz="4" w:space="0" w:color="auto"/>
            </w:tcBorders>
            <w:vAlign w:val="bottom"/>
          </w:tcPr>
          <w:p w14:paraId="4D21A767" w14:textId="7B451CAB" w:rsidR="00510048" w:rsidRPr="00510048" w:rsidRDefault="00510048" w:rsidP="00510048">
            <w:pPr>
              <w:pStyle w:val="5TextocomnIIGG"/>
              <w:spacing w:after="120"/>
              <w:jc w:val="right"/>
              <w:rPr>
                <w:sz w:val="22"/>
                <w:szCs w:val="22"/>
              </w:rPr>
            </w:pPr>
            <w:r w:rsidRPr="00510048">
              <w:rPr>
                <w:sz w:val="22"/>
                <w:szCs w:val="22"/>
              </w:rPr>
              <w:t>30</w:t>
            </w:r>
          </w:p>
        </w:tc>
        <w:tc>
          <w:tcPr>
            <w:tcW w:w="562" w:type="pct"/>
            <w:tcBorders>
              <w:top w:val="single" w:sz="4" w:space="0" w:color="auto"/>
              <w:left w:val="nil"/>
              <w:bottom w:val="single" w:sz="4" w:space="0" w:color="auto"/>
              <w:right w:val="single" w:sz="4" w:space="0" w:color="auto"/>
            </w:tcBorders>
            <w:vAlign w:val="bottom"/>
          </w:tcPr>
          <w:p w14:paraId="1F20098A" w14:textId="2569D278" w:rsidR="00510048" w:rsidRPr="00510048" w:rsidRDefault="00510048" w:rsidP="00510048">
            <w:pPr>
              <w:pStyle w:val="5TextocomnIIGG"/>
              <w:spacing w:after="120"/>
              <w:jc w:val="right"/>
              <w:rPr>
                <w:sz w:val="22"/>
                <w:szCs w:val="22"/>
              </w:rPr>
            </w:pPr>
            <w:r w:rsidRPr="00510048">
              <w:rPr>
                <w:sz w:val="22"/>
                <w:szCs w:val="22"/>
              </w:rPr>
              <w:t>33</w:t>
            </w:r>
          </w:p>
        </w:tc>
        <w:tc>
          <w:tcPr>
            <w:tcW w:w="519" w:type="pct"/>
            <w:tcBorders>
              <w:top w:val="single" w:sz="4" w:space="0" w:color="auto"/>
              <w:left w:val="nil"/>
              <w:bottom w:val="single" w:sz="4" w:space="0" w:color="auto"/>
              <w:right w:val="single" w:sz="4" w:space="0" w:color="auto"/>
            </w:tcBorders>
            <w:vAlign w:val="bottom"/>
          </w:tcPr>
          <w:p w14:paraId="2B1AB4EC" w14:textId="67BC134B" w:rsidR="00510048" w:rsidRPr="00510048" w:rsidRDefault="00510048" w:rsidP="00510048">
            <w:pPr>
              <w:pStyle w:val="5TextocomnIIGG"/>
              <w:spacing w:after="120"/>
              <w:jc w:val="right"/>
              <w:rPr>
                <w:sz w:val="22"/>
                <w:szCs w:val="22"/>
              </w:rPr>
            </w:pPr>
            <w:r w:rsidRPr="00510048">
              <w:rPr>
                <w:sz w:val="22"/>
                <w:szCs w:val="22"/>
              </w:rPr>
              <w:t>20</w:t>
            </w:r>
          </w:p>
        </w:tc>
        <w:tc>
          <w:tcPr>
            <w:tcW w:w="604" w:type="pct"/>
            <w:tcBorders>
              <w:top w:val="single" w:sz="4" w:space="0" w:color="auto"/>
              <w:left w:val="nil"/>
              <w:bottom w:val="single" w:sz="4" w:space="0" w:color="auto"/>
              <w:right w:val="single" w:sz="4" w:space="0" w:color="auto"/>
            </w:tcBorders>
            <w:vAlign w:val="bottom"/>
          </w:tcPr>
          <w:p w14:paraId="3A9B87A5" w14:textId="353D0BF3" w:rsidR="00510048" w:rsidRPr="00510048" w:rsidRDefault="00510048" w:rsidP="00510048">
            <w:pPr>
              <w:pStyle w:val="5TextocomnIIGG"/>
              <w:spacing w:after="120"/>
              <w:jc w:val="right"/>
              <w:rPr>
                <w:sz w:val="22"/>
                <w:szCs w:val="22"/>
              </w:rPr>
            </w:pPr>
            <w:r w:rsidRPr="00510048">
              <w:rPr>
                <w:sz w:val="22"/>
                <w:szCs w:val="22"/>
              </w:rPr>
              <w:t>191,7</w:t>
            </w:r>
          </w:p>
        </w:tc>
        <w:tc>
          <w:tcPr>
            <w:tcW w:w="561" w:type="pct"/>
            <w:tcBorders>
              <w:top w:val="single" w:sz="4" w:space="0" w:color="auto"/>
              <w:left w:val="nil"/>
              <w:bottom w:val="single" w:sz="4" w:space="0" w:color="auto"/>
              <w:right w:val="single" w:sz="4" w:space="0" w:color="auto"/>
            </w:tcBorders>
            <w:vAlign w:val="bottom"/>
          </w:tcPr>
          <w:p w14:paraId="7BAF8A79" w14:textId="02002BBE" w:rsidR="00510048" w:rsidRPr="00510048" w:rsidRDefault="00510048" w:rsidP="00510048">
            <w:pPr>
              <w:pStyle w:val="5TextocomnIIGG"/>
              <w:spacing w:after="120"/>
              <w:jc w:val="right"/>
              <w:rPr>
                <w:sz w:val="22"/>
                <w:szCs w:val="22"/>
              </w:rPr>
            </w:pPr>
            <w:r w:rsidRPr="00510048">
              <w:rPr>
                <w:sz w:val="22"/>
                <w:szCs w:val="22"/>
              </w:rPr>
              <w:t>10,7</w:t>
            </w:r>
          </w:p>
        </w:tc>
        <w:tc>
          <w:tcPr>
            <w:tcW w:w="552" w:type="pct"/>
            <w:tcBorders>
              <w:top w:val="single" w:sz="4" w:space="0" w:color="auto"/>
              <w:left w:val="nil"/>
              <w:bottom w:val="single" w:sz="4" w:space="0" w:color="auto"/>
              <w:right w:val="single" w:sz="4" w:space="0" w:color="auto"/>
            </w:tcBorders>
            <w:vAlign w:val="bottom"/>
          </w:tcPr>
          <w:p w14:paraId="18603361" w14:textId="5B9ACFEB" w:rsidR="00510048" w:rsidRPr="00510048" w:rsidRDefault="00510048" w:rsidP="00510048">
            <w:pPr>
              <w:pStyle w:val="5TextocomnIIGG"/>
              <w:spacing w:after="120"/>
              <w:jc w:val="right"/>
              <w:rPr>
                <w:sz w:val="22"/>
                <w:szCs w:val="22"/>
              </w:rPr>
            </w:pPr>
            <w:r w:rsidRPr="00510048">
              <w:rPr>
                <w:sz w:val="22"/>
                <w:szCs w:val="22"/>
              </w:rPr>
              <w:t>-43,3</w:t>
            </w:r>
          </w:p>
        </w:tc>
      </w:tr>
      <w:tr w:rsidR="00510048" w:rsidRPr="00C540A0" w14:paraId="7583036E" w14:textId="77777777" w:rsidTr="00510048">
        <w:trPr>
          <w:jc w:val="center"/>
        </w:trPr>
        <w:tc>
          <w:tcPr>
            <w:tcW w:w="1070" w:type="pct"/>
          </w:tcPr>
          <w:p w14:paraId="495E96A5" w14:textId="21D4F306" w:rsidR="00510048" w:rsidRPr="00C540A0" w:rsidRDefault="00510048" w:rsidP="00510048">
            <w:pPr>
              <w:pStyle w:val="5TextocomnIIGG"/>
              <w:spacing w:after="120"/>
            </w:pPr>
            <w:r w:rsidRPr="00F326F1">
              <w:rPr>
                <w:sz w:val="22"/>
                <w:szCs w:val="22"/>
              </w:rPr>
              <w:t>Gral. Madariaga</w:t>
            </w:r>
          </w:p>
        </w:tc>
        <w:tc>
          <w:tcPr>
            <w:tcW w:w="571" w:type="pct"/>
            <w:tcBorders>
              <w:top w:val="single" w:sz="4" w:space="0" w:color="auto"/>
              <w:left w:val="nil"/>
              <w:bottom w:val="single" w:sz="4" w:space="0" w:color="auto"/>
              <w:right w:val="single" w:sz="4" w:space="0" w:color="auto"/>
            </w:tcBorders>
            <w:vAlign w:val="bottom"/>
          </w:tcPr>
          <w:p w14:paraId="4CC622B7" w14:textId="5D27578B" w:rsidR="00510048" w:rsidRPr="00510048" w:rsidRDefault="00510048" w:rsidP="00510048">
            <w:pPr>
              <w:pStyle w:val="5TextocomnIIGG"/>
              <w:spacing w:after="120"/>
              <w:jc w:val="right"/>
              <w:rPr>
                <w:sz w:val="22"/>
                <w:szCs w:val="22"/>
              </w:rPr>
            </w:pPr>
            <w:r w:rsidRPr="00510048">
              <w:rPr>
                <w:sz w:val="22"/>
                <w:szCs w:val="22"/>
              </w:rPr>
              <w:t>2</w:t>
            </w:r>
          </w:p>
        </w:tc>
        <w:tc>
          <w:tcPr>
            <w:tcW w:w="561" w:type="pct"/>
            <w:tcBorders>
              <w:top w:val="single" w:sz="4" w:space="0" w:color="auto"/>
              <w:left w:val="nil"/>
              <w:bottom w:val="single" w:sz="4" w:space="0" w:color="auto"/>
              <w:right w:val="single" w:sz="4" w:space="0" w:color="auto"/>
            </w:tcBorders>
            <w:vAlign w:val="bottom"/>
          </w:tcPr>
          <w:p w14:paraId="682E9A19" w14:textId="495652ED" w:rsidR="00510048" w:rsidRPr="00510048" w:rsidRDefault="00510048" w:rsidP="00510048">
            <w:pPr>
              <w:pStyle w:val="5TextocomnIIGG"/>
              <w:spacing w:after="120"/>
              <w:jc w:val="right"/>
              <w:rPr>
                <w:sz w:val="22"/>
                <w:szCs w:val="22"/>
              </w:rPr>
            </w:pPr>
            <w:r w:rsidRPr="00510048">
              <w:rPr>
                <w:sz w:val="22"/>
                <w:szCs w:val="22"/>
              </w:rPr>
              <w:t>5</w:t>
            </w:r>
          </w:p>
        </w:tc>
        <w:tc>
          <w:tcPr>
            <w:tcW w:w="562" w:type="pct"/>
            <w:tcBorders>
              <w:top w:val="single" w:sz="4" w:space="0" w:color="auto"/>
              <w:left w:val="nil"/>
              <w:bottom w:val="single" w:sz="4" w:space="0" w:color="auto"/>
              <w:right w:val="single" w:sz="4" w:space="0" w:color="auto"/>
            </w:tcBorders>
            <w:vAlign w:val="bottom"/>
          </w:tcPr>
          <w:p w14:paraId="5EDAA632" w14:textId="0FB8295D" w:rsidR="00510048" w:rsidRPr="00510048" w:rsidRDefault="00510048" w:rsidP="00510048">
            <w:pPr>
              <w:pStyle w:val="5TextocomnIIGG"/>
              <w:spacing w:after="120"/>
              <w:jc w:val="right"/>
              <w:rPr>
                <w:sz w:val="22"/>
                <w:szCs w:val="22"/>
              </w:rPr>
            </w:pPr>
            <w:r w:rsidRPr="00510048">
              <w:rPr>
                <w:sz w:val="22"/>
                <w:szCs w:val="22"/>
              </w:rPr>
              <w:t>4</w:t>
            </w:r>
          </w:p>
        </w:tc>
        <w:tc>
          <w:tcPr>
            <w:tcW w:w="519" w:type="pct"/>
            <w:tcBorders>
              <w:top w:val="single" w:sz="4" w:space="0" w:color="auto"/>
              <w:left w:val="nil"/>
              <w:bottom w:val="single" w:sz="4" w:space="0" w:color="auto"/>
              <w:right w:val="single" w:sz="4" w:space="0" w:color="auto"/>
            </w:tcBorders>
            <w:vAlign w:val="bottom"/>
          </w:tcPr>
          <w:p w14:paraId="0526A256" w14:textId="27179167" w:rsidR="00510048" w:rsidRPr="00510048" w:rsidRDefault="00510048" w:rsidP="00510048">
            <w:pPr>
              <w:pStyle w:val="5TextocomnIIGG"/>
              <w:spacing w:after="120"/>
              <w:jc w:val="right"/>
              <w:rPr>
                <w:sz w:val="22"/>
                <w:szCs w:val="22"/>
              </w:rPr>
            </w:pPr>
            <w:r w:rsidRPr="00510048">
              <w:rPr>
                <w:sz w:val="22"/>
                <w:szCs w:val="22"/>
              </w:rPr>
              <w:t>1</w:t>
            </w:r>
          </w:p>
        </w:tc>
        <w:tc>
          <w:tcPr>
            <w:tcW w:w="604" w:type="pct"/>
            <w:tcBorders>
              <w:top w:val="single" w:sz="4" w:space="0" w:color="auto"/>
              <w:left w:val="nil"/>
              <w:bottom w:val="single" w:sz="4" w:space="0" w:color="auto"/>
              <w:right w:val="single" w:sz="4" w:space="0" w:color="auto"/>
            </w:tcBorders>
            <w:vAlign w:val="bottom"/>
          </w:tcPr>
          <w:p w14:paraId="362E6C5F" w14:textId="4E31F43C" w:rsidR="00510048" w:rsidRPr="00510048" w:rsidRDefault="00510048" w:rsidP="00510048">
            <w:pPr>
              <w:pStyle w:val="5TextocomnIIGG"/>
              <w:spacing w:after="120"/>
              <w:jc w:val="right"/>
              <w:rPr>
                <w:sz w:val="22"/>
                <w:szCs w:val="22"/>
              </w:rPr>
            </w:pPr>
            <w:r w:rsidRPr="00510048">
              <w:rPr>
                <w:sz w:val="22"/>
                <w:szCs w:val="22"/>
              </w:rPr>
              <w:t>87,2</w:t>
            </w:r>
          </w:p>
        </w:tc>
        <w:tc>
          <w:tcPr>
            <w:tcW w:w="561" w:type="pct"/>
            <w:tcBorders>
              <w:top w:val="single" w:sz="4" w:space="0" w:color="auto"/>
              <w:left w:val="nil"/>
              <w:bottom w:val="single" w:sz="4" w:space="0" w:color="auto"/>
              <w:right w:val="single" w:sz="4" w:space="0" w:color="auto"/>
            </w:tcBorders>
            <w:vAlign w:val="bottom"/>
          </w:tcPr>
          <w:p w14:paraId="2E005C05" w14:textId="6D737723" w:rsidR="00510048" w:rsidRPr="00510048" w:rsidRDefault="00510048" w:rsidP="00510048">
            <w:pPr>
              <w:pStyle w:val="5TextocomnIIGG"/>
              <w:spacing w:after="120"/>
              <w:jc w:val="right"/>
              <w:rPr>
                <w:sz w:val="22"/>
                <w:szCs w:val="22"/>
              </w:rPr>
            </w:pPr>
            <w:r w:rsidRPr="00510048">
              <w:rPr>
                <w:sz w:val="22"/>
                <w:szCs w:val="22"/>
              </w:rPr>
              <w:t>-25,0</w:t>
            </w:r>
          </w:p>
        </w:tc>
        <w:tc>
          <w:tcPr>
            <w:tcW w:w="552" w:type="pct"/>
            <w:tcBorders>
              <w:top w:val="single" w:sz="4" w:space="0" w:color="auto"/>
              <w:left w:val="nil"/>
              <w:bottom w:val="single" w:sz="4" w:space="0" w:color="auto"/>
              <w:right w:val="single" w:sz="4" w:space="0" w:color="auto"/>
            </w:tcBorders>
            <w:vAlign w:val="bottom"/>
          </w:tcPr>
          <w:p w14:paraId="5ED6E7AF" w14:textId="01AE75A6" w:rsidR="00510048" w:rsidRPr="00510048" w:rsidRDefault="00510048" w:rsidP="00510048">
            <w:pPr>
              <w:pStyle w:val="5TextocomnIIGG"/>
              <w:spacing w:after="120"/>
              <w:jc w:val="right"/>
              <w:rPr>
                <w:sz w:val="22"/>
                <w:szCs w:val="22"/>
              </w:rPr>
            </w:pPr>
            <w:r w:rsidRPr="00510048">
              <w:rPr>
                <w:sz w:val="22"/>
                <w:szCs w:val="22"/>
              </w:rPr>
              <w:t>-119,9</w:t>
            </w:r>
          </w:p>
        </w:tc>
      </w:tr>
      <w:tr w:rsidR="00510048" w:rsidRPr="00C540A0" w14:paraId="62CB04FB" w14:textId="77777777" w:rsidTr="00510048">
        <w:trPr>
          <w:jc w:val="center"/>
        </w:trPr>
        <w:tc>
          <w:tcPr>
            <w:tcW w:w="1070" w:type="pct"/>
          </w:tcPr>
          <w:p w14:paraId="626B6686" w14:textId="53B52B2E" w:rsidR="00510048" w:rsidRPr="00C540A0" w:rsidRDefault="00510048" w:rsidP="00510048">
            <w:pPr>
              <w:pStyle w:val="5TextocomnIIGG"/>
              <w:spacing w:after="120"/>
            </w:pPr>
            <w:r w:rsidRPr="00F326F1">
              <w:rPr>
                <w:sz w:val="22"/>
                <w:szCs w:val="22"/>
              </w:rPr>
              <w:lastRenderedPageBreak/>
              <w:t>Gral. Pueyrred</w:t>
            </w:r>
            <w:r>
              <w:rPr>
                <w:sz w:val="22"/>
                <w:szCs w:val="22"/>
              </w:rPr>
              <w:t>o</w:t>
            </w:r>
            <w:r w:rsidRPr="00F326F1">
              <w:rPr>
                <w:sz w:val="22"/>
                <w:szCs w:val="22"/>
              </w:rPr>
              <w:t>n</w:t>
            </w:r>
          </w:p>
        </w:tc>
        <w:tc>
          <w:tcPr>
            <w:tcW w:w="571" w:type="pct"/>
            <w:tcBorders>
              <w:top w:val="single" w:sz="4" w:space="0" w:color="auto"/>
              <w:left w:val="nil"/>
              <w:bottom w:val="single" w:sz="4" w:space="0" w:color="auto"/>
              <w:right w:val="single" w:sz="4" w:space="0" w:color="auto"/>
            </w:tcBorders>
            <w:vAlign w:val="bottom"/>
          </w:tcPr>
          <w:p w14:paraId="4D490031" w14:textId="1CE42591" w:rsidR="00510048" w:rsidRPr="00510048" w:rsidRDefault="00510048" w:rsidP="00510048">
            <w:pPr>
              <w:pStyle w:val="5TextocomnIIGG"/>
              <w:spacing w:after="120"/>
              <w:jc w:val="right"/>
              <w:rPr>
                <w:sz w:val="22"/>
                <w:szCs w:val="22"/>
              </w:rPr>
            </w:pPr>
            <w:r w:rsidRPr="00510048">
              <w:rPr>
                <w:sz w:val="22"/>
                <w:szCs w:val="22"/>
              </w:rPr>
              <w:t>44</w:t>
            </w:r>
          </w:p>
        </w:tc>
        <w:tc>
          <w:tcPr>
            <w:tcW w:w="561" w:type="pct"/>
            <w:tcBorders>
              <w:top w:val="single" w:sz="4" w:space="0" w:color="auto"/>
              <w:left w:val="nil"/>
              <w:bottom w:val="single" w:sz="4" w:space="0" w:color="auto"/>
              <w:right w:val="single" w:sz="4" w:space="0" w:color="auto"/>
            </w:tcBorders>
            <w:vAlign w:val="bottom"/>
          </w:tcPr>
          <w:p w14:paraId="049925A8" w14:textId="7781F15C" w:rsidR="00510048" w:rsidRPr="00510048" w:rsidRDefault="00510048" w:rsidP="00510048">
            <w:pPr>
              <w:pStyle w:val="5TextocomnIIGG"/>
              <w:spacing w:after="120"/>
              <w:jc w:val="right"/>
              <w:rPr>
                <w:sz w:val="22"/>
                <w:szCs w:val="22"/>
              </w:rPr>
            </w:pPr>
            <w:r w:rsidRPr="00510048">
              <w:rPr>
                <w:sz w:val="22"/>
                <w:szCs w:val="22"/>
              </w:rPr>
              <w:t>419</w:t>
            </w:r>
          </w:p>
        </w:tc>
        <w:tc>
          <w:tcPr>
            <w:tcW w:w="562" w:type="pct"/>
            <w:tcBorders>
              <w:top w:val="single" w:sz="4" w:space="0" w:color="auto"/>
              <w:left w:val="nil"/>
              <w:bottom w:val="single" w:sz="4" w:space="0" w:color="auto"/>
              <w:right w:val="single" w:sz="4" w:space="0" w:color="auto"/>
            </w:tcBorders>
            <w:vAlign w:val="bottom"/>
          </w:tcPr>
          <w:p w14:paraId="024646F2" w14:textId="4F15446A" w:rsidR="00510048" w:rsidRPr="00510048" w:rsidRDefault="00510048" w:rsidP="00510048">
            <w:pPr>
              <w:pStyle w:val="5TextocomnIIGG"/>
              <w:spacing w:after="120"/>
              <w:jc w:val="right"/>
              <w:rPr>
                <w:sz w:val="22"/>
                <w:szCs w:val="22"/>
              </w:rPr>
            </w:pPr>
            <w:r w:rsidRPr="00510048">
              <w:rPr>
                <w:sz w:val="22"/>
                <w:szCs w:val="22"/>
              </w:rPr>
              <w:t>377</w:t>
            </w:r>
          </w:p>
        </w:tc>
        <w:tc>
          <w:tcPr>
            <w:tcW w:w="519" w:type="pct"/>
            <w:tcBorders>
              <w:top w:val="single" w:sz="4" w:space="0" w:color="auto"/>
              <w:left w:val="nil"/>
              <w:bottom w:val="single" w:sz="4" w:space="0" w:color="auto"/>
              <w:right w:val="single" w:sz="4" w:space="0" w:color="auto"/>
            </w:tcBorders>
            <w:vAlign w:val="bottom"/>
          </w:tcPr>
          <w:p w14:paraId="5D1C6C22" w14:textId="7DEE8938" w:rsidR="00510048" w:rsidRPr="00510048" w:rsidRDefault="00510048" w:rsidP="00510048">
            <w:pPr>
              <w:pStyle w:val="5TextocomnIIGG"/>
              <w:spacing w:after="120"/>
              <w:jc w:val="right"/>
              <w:rPr>
                <w:sz w:val="22"/>
                <w:szCs w:val="22"/>
              </w:rPr>
            </w:pPr>
            <w:r w:rsidRPr="00510048">
              <w:rPr>
                <w:sz w:val="22"/>
                <w:szCs w:val="22"/>
              </w:rPr>
              <w:t>78</w:t>
            </w:r>
          </w:p>
        </w:tc>
        <w:tc>
          <w:tcPr>
            <w:tcW w:w="604" w:type="pct"/>
            <w:tcBorders>
              <w:top w:val="single" w:sz="4" w:space="0" w:color="auto"/>
              <w:left w:val="nil"/>
              <w:bottom w:val="single" w:sz="4" w:space="0" w:color="auto"/>
              <w:right w:val="single" w:sz="4" w:space="0" w:color="auto"/>
            </w:tcBorders>
            <w:vAlign w:val="bottom"/>
          </w:tcPr>
          <w:p w14:paraId="266D335D" w14:textId="43132D11" w:rsidR="00510048" w:rsidRPr="00510048" w:rsidRDefault="00510048" w:rsidP="00510048">
            <w:pPr>
              <w:pStyle w:val="5TextocomnIIGG"/>
              <w:spacing w:after="120"/>
              <w:jc w:val="right"/>
              <w:rPr>
                <w:sz w:val="22"/>
                <w:szCs w:val="22"/>
              </w:rPr>
            </w:pPr>
            <w:r w:rsidRPr="00510048">
              <w:rPr>
                <w:sz w:val="22"/>
                <w:szCs w:val="22"/>
              </w:rPr>
              <w:t>214,5</w:t>
            </w:r>
          </w:p>
        </w:tc>
        <w:tc>
          <w:tcPr>
            <w:tcW w:w="561" w:type="pct"/>
            <w:tcBorders>
              <w:top w:val="single" w:sz="4" w:space="0" w:color="auto"/>
              <w:left w:val="nil"/>
              <w:bottom w:val="single" w:sz="4" w:space="0" w:color="auto"/>
              <w:right w:val="single" w:sz="4" w:space="0" w:color="auto"/>
            </w:tcBorders>
            <w:vAlign w:val="bottom"/>
          </w:tcPr>
          <w:p w14:paraId="46584D8D" w14:textId="51B4CB9A" w:rsidR="00510048" w:rsidRPr="00510048" w:rsidRDefault="00510048" w:rsidP="00510048">
            <w:pPr>
              <w:pStyle w:val="5TextocomnIIGG"/>
              <w:spacing w:after="120"/>
              <w:jc w:val="right"/>
              <w:rPr>
                <w:sz w:val="22"/>
                <w:szCs w:val="22"/>
              </w:rPr>
            </w:pPr>
            <w:r w:rsidRPr="00510048">
              <w:rPr>
                <w:sz w:val="22"/>
                <w:szCs w:val="22"/>
              </w:rPr>
              <w:t>-11,8</w:t>
            </w:r>
          </w:p>
        </w:tc>
        <w:tc>
          <w:tcPr>
            <w:tcW w:w="552" w:type="pct"/>
            <w:tcBorders>
              <w:top w:val="single" w:sz="4" w:space="0" w:color="auto"/>
              <w:left w:val="nil"/>
              <w:bottom w:val="single" w:sz="4" w:space="0" w:color="auto"/>
              <w:right w:val="single" w:sz="4" w:space="0" w:color="auto"/>
            </w:tcBorders>
            <w:vAlign w:val="bottom"/>
          </w:tcPr>
          <w:p w14:paraId="44A40119" w14:textId="1FF3B867" w:rsidR="00510048" w:rsidRPr="00510048" w:rsidRDefault="00510048" w:rsidP="00510048">
            <w:pPr>
              <w:pStyle w:val="5TextocomnIIGG"/>
              <w:spacing w:after="120"/>
              <w:jc w:val="right"/>
              <w:rPr>
                <w:sz w:val="22"/>
                <w:szCs w:val="22"/>
              </w:rPr>
            </w:pPr>
            <w:r w:rsidRPr="00510048">
              <w:rPr>
                <w:sz w:val="22"/>
                <w:szCs w:val="22"/>
              </w:rPr>
              <w:t>-136,3</w:t>
            </w:r>
          </w:p>
        </w:tc>
      </w:tr>
      <w:tr w:rsidR="00510048" w:rsidRPr="00C540A0" w14:paraId="199BBDA5" w14:textId="77777777" w:rsidTr="00510048">
        <w:trPr>
          <w:jc w:val="center"/>
        </w:trPr>
        <w:tc>
          <w:tcPr>
            <w:tcW w:w="1070" w:type="pct"/>
          </w:tcPr>
          <w:p w14:paraId="6B5A575F" w14:textId="684677FF" w:rsidR="00510048" w:rsidRPr="00C540A0" w:rsidRDefault="00510048" w:rsidP="00510048">
            <w:pPr>
              <w:pStyle w:val="5TextocomnIIGG"/>
              <w:spacing w:after="120"/>
            </w:pPr>
            <w:r w:rsidRPr="00F326F1">
              <w:rPr>
                <w:sz w:val="22"/>
                <w:szCs w:val="22"/>
              </w:rPr>
              <w:t>Lobería</w:t>
            </w:r>
          </w:p>
        </w:tc>
        <w:tc>
          <w:tcPr>
            <w:tcW w:w="571" w:type="pct"/>
            <w:tcBorders>
              <w:top w:val="single" w:sz="4" w:space="0" w:color="auto"/>
              <w:left w:val="nil"/>
              <w:bottom w:val="single" w:sz="4" w:space="0" w:color="auto"/>
              <w:right w:val="single" w:sz="4" w:space="0" w:color="auto"/>
            </w:tcBorders>
            <w:vAlign w:val="bottom"/>
          </w:tcPr>
          <w:p w14:paraId="03D6CF07" w14:textId="63F5F8A5" w:rsidR="00510048" w:rsidRPr="00510048" w:rsidRDefault="00510048" w:rsidP="00510048">
            <w:pPr>
              <w:pStyle w:val="5TextocomnIIGG"/>
              <w:spacing w:after="120"/>
              <w:jc w:val="right"/>
              <w:rPr>
                <w:sz w:val="22"/>
                <w:szCs w:val="22"/>
              </w:rPr>
            </w:pPr>
            <w:r w:rsidRPr="00510048">
              <w:rPr>
                <w:sz w:val="22"/>
                <w:szCs w:val="22"/>
              </w:rPr>
              <w:t>2</w:t>
            </w:r>
          </w:p>
        </w:tc>
        <w:tc>
          <w:tcPr>
            <w:tcW w:w="561" w:type="pct"/>
            <w:tcBorders>
              <w:top w:val="single" w:sz="4" w:space="0" w:color="auto"/>
              <w:left w:val="nil"/>
              <w:bottom w:val="single" w:sz="4" w:space="0" w:color="auto"/>
              <w:right w:val="single" w:sz="4" w:space="0" w:color="auto"/>
            </w:tcBorders>
            <w:vAlign w:val="bottom"/>
          </w:tcPr>
          <w:p w14:paraId="62D0E83A" w14:textId="6E50B8BE" w:rsidR="00510048" w:rsidRPr="00510048" w:rsidRDefault="00510048" w:rsidP="00510048">
            <w:pPr>
              <w:pStyle w:val="5TextocomnIIGG"/>
              <w:spacing w:after="120"/>
              <w:jc w:val="right"/>
              <w:rPr>
                <w:sz w:val="22"/>
                <w:szCs w:val="22"/>
              </w:rPr>
            </w:pPr>
            <w:r w:rsidRPr="00510048">
              <w:rPr>
                <w:sz w:val="22"/>
                <w:szCs w:val="22"/>
              </w:rPr>
              <w:t>2</w:t>
            </w:r>
          </w:p>
        </w:tc>
        <w:tc>
          <w:tcPr>
            <w:tcW w:w="562" w:type="pct"/>
            <w:tcBorders>
              <w:top w:val="single" w:sz="4" w:space="0" w:color="auto"/>
              <w:left w:val="nil"/>
              <w:bottom w:val="single" w:sz="4" w:space="0" w:color="auto"/>
              <w:right w:val="single" w:sz="4" w:space="0" w:color="auto"/>
            </w:tcBorders>
            <w:vAlign w:val="bottom"/>
          </w:tcPr>
          <w:p w14:paraId="0369EB1D" w14:textId="29CC32F5" w:rsidR="00510048" w:rsidRPr="00510048" w:rsidRDefault="00510048" w:rsidP="00510048">
            <w:pPr>
              <w:pStyle w:val="5TextocomnIIGG"/>
              <w:spacing w:after="120"/>
              <w:jc w:val="right"/>
              <w:rPr>
                <w:sz w:val="22"/>
                <w:szCs w:val="22"/>
              </w:rPr>
            </w:pPr>
            <w:r w:rsidRPr="00510048">
              <w:rPr>
                <w:sz w:val="22"/>
                <w:szCs w:val="22"/>
              </w:rPr>
              <w:t>2</w:t>
            </w:r>
          </w:p>
        </w:tc>
        <w:tc>
          <w:tcPr>
            <w:tcW w:w="519" w:type="pct"/>
            <w:tcBorders>
              <w:top w:val="single" w:sz="4" w:space="0" w:color="auto"/>
              <w:left w:val="nil"/>
              <w:bottom w:val="single" w:sz="4" w:space="0" w:color="auto"/>
              <w:right w:val="single" w:sz="4" w:space="0" w:color="auto"/>
            </w:tcBorders>
            <w:vAlign w:val="bottom"/>
          </w:tcPr>
          <w:p w14:paraId="116D7C8C" w14:textId="19CBA411" w:rsidR="00510048" w:rsidRPr="00510048" w:rsidRDefault="00510048" w:rsidP="00510048">
            <w:pPr>
              <w:pStyle w:val="5TextocomnIIGG"/>
              <w:spacing w:after="120"/>
              <w:jc w:val="right"/>
              <w:rPr>
                <w:sz w:val="22"/>
                <w:szCs w:val="22"/>
              </w:rPr>
            </w:pPr>
            <w:r w:rsidRPr="00510048">
              <w:rPr>
                <w:sz w:val="22"/>
                <w:szCs w:val="22"/>
              </w:rPr>
              <w:t>0</w:t>
            </w:r>
          </w:p>
        </w:tc>
        <w:tc>
          <w:tcPr>
            <w:tcW w:w="604" w:type="pct"/>
            <w:tcBorders>
              <w:top w:val="single" w:sz="4" w:space="0" w:color="auto"/>
              <w:left w:val="nil"/>
              <w:bottom w:val="single" w:sz="4" w:space="0" w:color="auto"/>
              <w:right w:val="single" w:sz="4" w:space="0" w:color="auto"/>
            </w:tcBorders>
            <w:vAlign w:val="bottom"/>
          </w:tcPr>
          <w:p w14:paraId="304FC580" w14:textId="3461E975" w:rsidR="00510048" w:rsidRPr="00510048" w:rsidRDefault="00510048" w:rsidP="00510048">
            <w:pPr>
              <w:pStyle w:val="5TextocomnIIGG"/>
              <w:spacing w:after="120"/>
              <w:jc w:val="right"/>
              <w:rPr>
                <w:sz w:val="22"/>
                <w:szCs w:val="22"/>
              </w:rPr>
            </w:pPr>
            <w:r w:rsidRPr="00510048">
              <w:rPr>
                <w:sz w:val="22"/>
                <w:szCs w:val="22"/>
              </w:rPr>
              <w:t>0,0</w:t>
            </w:r>
          </w:p>
        </w:tc>
        <w:tc>
          <w:tcPr>
            <w:tcW w:w="561" w:type="pct"/>
            <w:tcBorders>
              <w:top w:val="single" w:sz="4" w:space="0" w:color="auto"/>
              <w:left w:val="nil"/>
              <w:bottom w:val="single" w:sz="4" w:space="0" w:color="auto"/>
              <w:right w:val="single" w:sz="4" w:space="0" w:color="auto"/>
            </w:tcBorders>
            <w:vAlign w:val="bottom"/>
          </w:tcPr>
          <w:p w14:paraId="7F5893A4" w14:textId="2B45F9B5" w:rsidR="00510048" w:rsidRPr="00510048" w:rsidRDefault="00510048" w:rsidP="00510048">
            <w:pPr>
              <w:pStyle w:val="5TextocomnIIGG"/>
              <w:spacing w:after="120"/>
              <w:jc w:val="right"/>
              <w:rPr>
                <w:sz w:val="22"/>
                <w:szCs w:val="22"/>
              </w:rPr>
            </w:pPr>
            <w:r w:rsidRPr="00510048">
              <w:rPr>
                <w:sz w:val="22"/>
                <w:szCs w:val="22"/>
              </w:rPr>
              <w:t>0,0</w:t>
            </w:r>
          </w:p>
        </w:tc>
        <w:tc>
          <w:tcPr>
            <w:tcW w:w="552" w:type="pct"/>
            <w:tcBorders>
              <w:top w:val="single" w:sz="4" w:space="0" w:color="auto"/>
              <w:left w:val="nil"/>
              <w:bottom w:val="single" w:sz="4" w:space="0" w:color="auto"/>
              <w:right w:val="single" w:sz="4" w:space="0" w:color="auto"/>
            </w:tcBorders>
            <w:vAlign w:val="bottom"/>
          </w:tcPr>
          <w:p w14:paraId="0424FA1C" w14:textId="3689642E" w:rsidR="00510048" w:rsidRPr="00510048" w:rsidRDefault="00510048" w:rsidP="00510048">
            <w:pPr>
              <w:pStyle w:val="5TextocomnIIGG"/>
              <w:spacing w:after="120"/>
              <w:jc w:val="right"/>
              <w:rPr>
                <w:sz w:val="22"/>
                <w:szCs w:val="22"/>
              </w:rPr>
            </w:pPr>
            <w:r w:rsidRPr="00510048">
              <w:rPr>
                <w:sz w:val="22"/>
                <w:szCs w:val="22"/>
              </w:rPr>
              <w:t> ---</w:t>
            </w:r>
          </w:p>
        </w:tc>
      </w:tr>
      <w:tr w:rsidR="00510048" w:rsidRPr="00C540A0" w14:paraId="7C749187" w14:textId="77777777" w:rsidTr="00510048">
        <w:trPr>
          <w:jc w:val="center"/>
        </w:trPr>
        <w:tc>
          <w:tcPr>
            <w:tcW w:w="1070" w:type="pct"/>
          </w:tcPr>
          <w:p w14:paraId="6F8376C3" w14:textId="72766E3D" w:rsidR="00510048" w:rsidRPr="00C540A0" w:rsidRDefault="00510048" w:rsidP="00510048">
            <w:pPr>
              <w:pStyle w:val="5TextocomnIIGG"/>
              <w:spacing w:after="120"/>
            </w:pPr>
            <w:r w:rsidRPr="00F326F1">
              <w:rPr>
                <w:sz w:val="22"/>
                <w:szCs w:val="22"/>
              </w:rPr>
              <w:t>Maipú</w:t>
            </w:r>
          </w:p>
        </w:tc>
        <w:tc>
          <w:tcPr>
            <w:tcW w:w="571" w:type="pct"/>
            <w:tcBorders>
              <w:top w:val="single" w:sz="4" w:space="0" w:color="auto"/>
              <w:left w:val="nil"/>
              <w:bottom w:val="single" w:sz="4" w:space="0" w:color="auto"/>
              <w:right w:val="single" w:sz="4" w:space="0" w:color="auto"/>
            </w:tcBorders>
            <w:vAlign w:val="bottom"/>
          </w:tcPr>
          <w:p w14:paraId="21700091" w14:textId="4FD500DE" w:rsidR="00510048" w:rsidRPr="00510048" w:rsidRDefault="00510048" w:rsidP="00510048">
            <w:pPr>
              <w:pStyle w:val="5TextocomnIIGG"/>
              <w:spacing w:after="120"/>
              <w:jc w:val="right"/>
              <w:rPr>
                <w:sz w:val="22"/>
                <w:szCs w:val="22"/>
              </w:rPr>
            </w:pPr>
            <w:r w:rsidRPr="00510048">
              <w:rPr>
                <w:sz w:val="22"/>
                <w:szCs w:val="22"/>
              </w:rPr>
              <w:t>1</w:t>
            </w:r>
          </w:p>
        </w:tc>
        <w:tc>
          <w:tcPr>
            <w:tcW w:w="561" w:type="pct"/>
            <w:tcBorders>
              <w:top w:val="single" w:sz="4" w:space="0" w:color="auto"/>
              <w:left w:val="nil"/>
              <w:bottom w:val="single" w:sz="4" w:space="0" w:color="auto"/>
              <w:right w:val="single" w:sz="4" w:space="0" w:color="auto"/>
            </w:tcBorders>
            <w:vAlign w:val="bottom"/>
          </w:tcPr>
          <w:p w14:paraId="60D2798A" w14:textId="398F1B6B" w:rsidR="00510048" w:rsidRPr="00510048" w:rsidRDefault="00510048" w:rsidP="00510048">
            <w:pPr>
              <w:pStyle w:val="5TextocomnIIGG"/>
              <w:spacing w:after="120"/>
              <w:jc w:val="right"/>
              <w:rPr>
                <w:sz w:val="22"/>
                <w:szCs w:val="22"/>
              </w:rPr>
            </w:pPr>
            <w:r w:rsidRPr="00510048">
              <w:rPr>
                <w:sz w:val="22"/>
                <w:szCs w:val="22"/>
              </w:rPr>
              <w:t>0</w:t>
            </w:r>
          </w:p>
        </w:tc>
        <w:tc>
          <w:tcPr>
            <w:tcW w:w="562" w:type="pct"/>
            <w:tcBorders>
              <w:top w:val="single" w:sz="4" w:space="0" w:color="auto"/>
              <w:left w:val="nil"/>
              <w:bottom w:val="single" w:sz="4" w:space="0" w:color="auto"/>
              <w:right w:val="single" w:sz="4" w:space="0" w:color="auto"/>
            </w:tcBorders>
            <w:vAlign w:val="bottom"/>
          </w:tcPr>
          <w:p w14:paraId="058D8C30" w14:textId="421B9862" w:rsidR="00510048" w:rsidRPr="00510048" w:rsidRDefault="00510048" w:rsidP="00510048">
            <w:pPr>
              <w:pStyle w:val="5TextocomnIIGG"/>
              <w:spacing w:after="120"/>
              <w:jc w:val="right"/>
              <w:rPr>
                <w:sz w:val="22"/>
                <w:szCs w:val="22"/>
              </w:rPr>
            </w:pPr>
            <w:r w:rsidRPr="00510048">
              <w:rPr>
                <w:sz w:val="22"/>
                <w:szCs w:val="22"/>
              </w:rPr>
              <w:t>3</w:t>
            </w:r>
          </w:p>
        </w:tc>
        <w:tc>
          <w:tcPr>
            <w:tcW w:w="519" w:type="pct"/>
            <w:tcBorders>
              <w:top w:val="single" w:sz="4" w:space="0" w:color="auto"/>
              <w:left w:val="nil"/>
              <w:bottom w:val="single" w:sz="4" w:space="0" w:color="auto"/>
              <w:right w:val="single" w:sz="4" w:space="0" w:color="auto"/>
            </w:tcBorders>
            <w:vAlign w:val="bottom"/>
          </w:tcPr>
          <w:p w14:paraId="2247B3E1" w14:textId="37B1D081" w:rsidR="00510048" w:rsidRPr="00510048" w:rsidRDefault="00510048" w:rsidP="00510048">
            <w:pPr>
              <w:pStyle w:val="5TextocomnIIGG"/>
              <w:spacing w:after="120"/>
              <w:jc w:val="right"/>
              <w:rPr>
                <w:sz w:val="22"/>
                <w:szCs w:val="22"/>
              </w:rPr>
            </w:pPr>
            <w:r w:rsidRPr="00510048">
              <w:rPr>
                <w:sz w:val="22"/>
                <w:szCs w:val="22"/>
              </w:rPr>
              <w:t>0</w:t>
            </w:r>
          </w:p>
        </w:tc>
        <w:tc>
          <w:tcPr>
            <w:tcW w:w="604" w:type="pct"/>
            <w:tcBorders>
              <w:top w:val="single" w:sz="4" w:space="0" w:color="auto"/>
              <w:left w:val="nil"/>
              <w:bottom w:val="single" w:sz="4" w:space="0" w:color="auto"/>
              <w:right w:val="single" w:sz="4" w:space="0" w:color="auto"/>
            </w:tcBorders>
            <w:vAlign w:val="bottom"/>
          </w:tcPr>
          <w:p w14:paraId="33CC792F" w14:textId="3B98A3BB" w:rsidR="00510048" w:rsidRPr="00510048" w:rsidRDefault="00510048" w:rsidP="00510048">
            <w:pPr>
              <w:pStyle w:val="5TextocomnIIGG"/>
              <w:spacing w:after="120"/>
              <w:jc w:val="right"/>
              <w:rPr>
                <w:sz w:val="22"/>
                <w:szCs w:val="22"/>
              </w:rPr>
            </w:pPr>
            <w:r w:rsidRPr="00510048">
              <w:rPr>
                <w:sz w:val="22"/>
                <w:szCs w:val="22"/>
              </w:rPr>
              <w:t> ---</w:t>
            </w:r>
          </w:p>
        </w:tc>
        <w:tc>
          <w:tcPr>
            <w:tcW w:w="561" w:type="pct"/>
            <w:tcBorders>
              <w:top w:val="single" w:sz="4" w:space="0" w:color="auto"/>
              <w:left w:val="nil"/>
              <w:bottom w:val="single" w:sz="4" w:space="0" w:color="auto"/>
              <w:right w:val="single" w:sz="4" w:space="0" w:color="auto"/>
            </w:tcBorders>
            <w:vAlign w:val="bottom"/>
          </w:tcPr>
          <w:p w14:paraId="4651CDA0" w14:textId="69CDFF9E" w:rsidR="00510048" w:rsidRPr="00510048" w:rsidRDefault="00510048" w:rsidP="00510048">
            <w:pPr>
              <w:pStyle w:val="5TextocomnIIGG"/>
              <w:spacing w:after="120"/>
              <w:jc w:val="right"/>
              <w:rPr>
                <w:sz w:val="22"/>
                <w:szCs w:val="22"/>
              </w:rPr>
            </w:pPr>
            <w:r w:rsidRPr="00510048">
              <w:rPr>
                <w:sz w:val="22"/>
                <w:szCs w:val="22"/>
              </w:rPr>
              <w:t> ---</w:t>
            </w:r>
          </w:p>
        </w:tc>
        <w:tc>
          <w:tcPr>
            <w:tcW w:w="552" w:type="pct"/>
            <w:tcBorders>
              <w:top w:val="single" w:sz="4" w:space="0" w:color="auto"/>
              <w:left w:val="nil"/>
              <w:bottom w:val="single" w:sz="4" w:space="0" w:color="auto"/>
              <w:right w:val="single" w:sz="4" w:space="0" w:color="auto"/>
            </w:tcBorders>
            <w:vAlign w:val="bottom"/>
          </w:tcPr>
          <w:p w14:paraId="4B4A4CE4" w14:textId="1ED44391" w:rsidR="00510048" w:rsidRPr="00510048" w:rsidRDefault="00510048" w:rsidP="00510048">
            <w:pPr>
              <w:pStyle w:val="5TextocomnIIGG"/>
              <w:spacing w:after="120"/>
              <w:jc w:val="right"/>
              <w:rPr>
                <w:sz w:val="22"/>
                <w:szCs w:val="22"/>
              </w:rPr>
            </w:pPr>
            <w:r w:rsidRPr="00510048">
              <w:rPr>
                <w:sz w:val="22"/>
                <w:szCs w:val="22"/>
              </w:rPr>
              <w:t> ---</w:t>
            </w:r>
          </w:p>
        </w:tc>
      </w:tr>
      <w:tr w:rsidR="00510048" w:rsidRPr="00C540A0" w14:paraId="149BC3D1" w14:textId="77777777" w:rsidTr="00510048">
        <w:trPr>
          <w:jc w:val="center"/>
        </w:trPr>
        <w:tc>
          <w:tcPr>
            <w:tcW w:w="1070" w:type="pct"/>
          </w:tcPr>
          <w:p w14:paraId="619FF823" w14:textId="44701CFC" w:rsidR="00510048" w:rsidRPr="00C540A0" w:rsidRDefault="00510048" w:rsidP="00510048">
            <w:pPr>
              <w:pStyle w:val="5TextocomnIIGG"/>
              <w:spacing w:after="120"/>
            </w:pPr>
            <w:r w:rsidRPr="00F326F1">
              <w:rPr>
                <w:sz w:val="22"/>
                <w:szCs w:val="22"/>
              </w:rPr>
              <w:t>Mar Chiquita</w:t>
            </w:r>
          </w:p>
        </w:tc>
        <w:tc>
          <w:tcPr>
            <w:tcW w:w="571" w:type="pct"/>
            <w:tcBorders>
              <w:top w:val="single" w:sz="4" w:space="0" w:color="auto"/>
              <w:left w:val="nil"/>
              <w:bottom w:val="single" w:sz="4" w:space="0" w:color="auto"/>
              <w:right w:val="single" w:sz="4" w:space="0" w:color="auto"/>
            </w:tcBorders>
            <w:vAlign w:val="bottom"/>
          </w:tcPr>
          <w:p w14:paraId="50FF46BB" w14:textId="5030CC1F" w:rsidR="00510048" w:rsidRPr="00510048" w:rsidRDefault="00510048" w:rsidP="00510048">
            <w:pPr>
              <w:pStyle w:val="5TextocomnIIGG"/>
              <w:spacing w:after="120"/>
              <w:jc w:val="right"/>
              <w:rPr>
                <w:sz w:val="22"/>
                <w:szCs w:val="22"/>
              </w:rPr>
            </w:pPr>
            <w:r w:rsidRPr="00510048">
              <w:rPr>
                <w:sz w:val="22"/>
                <w:szCs w:val="22"/>
              </w:rPr>
              <w:t>2</w:t>
            </w:r>
          </w:p>
        </w:tc>
        <w:tc>
          <w:tcPr>
            <w:tcW w:w="561" w:type="pct"/>
            <w:tcBorders>
              <w:top w:val="single" w:sz="4" w:space="0" w:color="auto"/>
              <w:left w:val="nil"/>
              <w:bottom w:val="single" w:sz="4" w:space="0" w:color="auto"/>
              <w:right w:val="single" w:sz="4" w:space="0" w:color="auto"/>
            </w:tcBorders>
            <w:vAlign w:val="bottom"/>
          </w:tcPr>
          <w:p w14:paraId="6C4962FA" w14:textId="7B138ECF" w:rsidR="00510048" w:rsidRPr="00510048" w:rsidRDefault="00510048" w:rsidP="00510048">
            <w:pPr>
              <w:pStyle w:val="5TextocomnIIGG"/>
              <w:spacing w:after="120"/>
              <w:jc w:val="right"/>
              <w:rPr>
                <w:sz w:val="22"/>
                <w:szCs w:val="22"/>
              </w:rPr>
            </w:pPr>
            <w:r w:rsidRPr="00510048">
              <w:rPr>
                <w:sz w:val="22"/>
                <w:szCs w:val="22"/>
              </w:rPr>
              <w:t>3</w:t>
            </w:r>
          </w:p>
        </w:tc>
        <w:tc>
          <w:tcPr>
            <w:tcW w:w="562" w:type="pct"/>
            <w:tcBorders>
              <w:top w:val="single" w:sz="4" w:space="0" w:color="auto"/>
              <w:left w:val="nil"/>
              <w:bottom w:val="single" w:sz="4" w:space="0" w:color="auto"/>
              <w:right w:val="single" w:sz="4" w:space="0" w:color="auto"/>
            </w:tcBorders>
            <w:vAlign w:val="bottom"/>
          </w:tcPr>
          <w:p w14:paraId="5666F200" w14:textId="385A9B54" w:rsidR="00510048" w:rsidRPr="00510048" w:rsidRDefault="00510048" w:rsidP="00510048">
            <w:pPr>
              <w:pStyle w:val="5TextocomnIIGG"/>
              <w:spacing w:after="120"/>
              <w:jc w:val="right"/>
              <w:rPr>
                <w:sz w:val="22"/>
                <w:szCs w:val="22"/>
              </w:rPr>
            </w:pPr>
            <w:r w:rsidRPr="00510048">
              <w:rPr>
                <w:sz w:val="22"/>
                <w:szCs w:val="22"/>
              </w:rPr>
              <w:t>16</w:t>
            </w:r>
          </w:p>
        </w:tc>
        <w:tc>
          <w:tcPr>
            <w:tcW w:w="519" w:type="pct"/>
            <w:tcBorders>
              <w:top w:val="single" w:sz="4" w:space="0" w:color="auto"/>
              <w:left w:val="nil"/>
              <w:bottom w:val="single" w:sz="4" w:space="0" w:color="auto"/>
              <w:right w:val="single" w:sz="4" w:space="0" w:color="auto"/>
            </w:tcBorders>
            <w:vAlign w:val="bottom"/>
          </w:tcPr>
          <w:p w14:paraId="465EDA78" w14:textId="0705B05F" w:rsidR="00510048" w:rsidRPr="00510048" w:rsidRDefault="00510048" w:rsidP="00510048">
            <w:pPr>
              <w:pStyle w:val="5TextocomnIIGG"/>
              <w:spacing w:after="120"/>
              <w:jc w:val="right"/>
              <w:rPr>
                <w:sz w:val="22"/>
                <w:szCs w:val="22"/>
              </w:rPr>
            </w:pPr>
            <w:r w:rsidRPr="00510048">
              <w:rPr>
                <w:sz w:val="22"/>
                <w:szCs w:val="22"/>
              </w:rPr>
              <w:t>14</w:t>
            </w:r>
          </w:p>
        </w:tc>
        <w:tc>
          <w:tcPr>
            <w:tcW w:w="604" w:type="pct"/>
            <w:tcBorders>
              <w:top w:val="single" w:sz="4" w:space="0" w:color="auto"/>
              <w:left w:val="nil"/>
              <w:bottom w:val="single" w:sz="4" w:space="0" w:color="auto"/>
              <w:right w:val="single" w:sz="4" w:space="0" w:color="auto"/>
            </w:tcBorders>
            <w:vAlign w:val="bottom"/>
          </w:tcPr>
          <w:p w14:paraId="3FEFF9B9" w14:textId="004BF19A" w:rsidR="00510048" w:rsidRPr="00510048" w:rsidRDefault="00510048" w:rsidP="00510048">
            <w:pPr>
              <w:pStyle w:val="5TextocomnIIGG"/>
              <w:spacing w:after="120"/>
              <w:jc w:val="right"/>
              <w:rPr>
                <w:sz w:val="22"/>
                <w:szCs w:val="22"/>
              </w:rPr>
            </w:pPr>
            <w:r w:rsidRPr="00510048">
              <w:rPr>
                <w:sz w:val="22"/>
                <w:szCs w:val="22"/>
              </w:rPr>
              <w:t>38,6</w:t>
            </w:r>
          </w:p>
        </w:tc>
        <w:tc>
          <w:tcPr>
            <w:tcW w:w="561" w:type="pct"/>
            <w:tcBorders>
              <w:top w:val="single" w:sz="4" w:space="0" w:color="auto"/>
              <w:left w:val="nil"/>
              <w:bottom w:val="single" w:sz="4" w:space="0" w:color="auto"/>
              <w:right w:val="single" w:sz="4" w:space="0" w:color="auto"/>
            </w:tcBorders>
            <w:vAlign w:val="bottom"/>
          </w:tcPr>
          <w:p w14:paraId="744BF6A9" w14:textId="7C804030" w:rsidR="00510048" w:rsidRPr="00510048" w:rsidRDefault="00510048" w:rsidP="00510048">
            <w:pPr>
              <w:pStyle w:val="5TextocomnIIGG"/>
              <w:spacing w:after="120"/>
              <w:jc w:val="right"/>
              <w:rPr>
                <w:sz w:val="22"/>
                <w:szCs w:val="22"/>
              </w:rPr>
            </w:pPr>
            <w:r w:rsidRPr="00510048">
              <w:rPr>
                <w:sz w:val="22"/>
                <w:szCs w:val="22"/>
              </w:rPr>
              <w:t>187,2</w:t>
            </w:r>
          </w:p>
        </w:tc>
        <w:tc>
          <w:tcPr>
            <w:tcW w:w="552" w:type="pct"/>
            <w:tcBorders>
              <w:top w:val="single" w:sz="4" w:space="0" w:color="auto"/>
              <w:left w:val="nil"/>
              <w:bottom w:val="single" w:sz="4" w:space="0" w:color="auto"/>
              <w:right w:val="single" w:sz="4" w:space="0" w:color="auto"/>
            </w:tcBorders>
            <w:vAlign w:val="bottom"/>
          </w:tcPr>
          <w:p w14:paraId="2142A409" w14:textId="5F2B67D3" w:rsidR="00510048" w:rsidRPr="00510048" w:rsidRDefault="00510048" w:rsidP="00510048">
            <w:pPr>
              <w:pStyle w:val="5TextocomnIIGG"/>
              <w:spacing w:after="120"/>
              <w:jc w:val="right"/>
              <w:rPr>
                <w:sz w:val="22"/>
                <w:szCs w:val="22"/>
              </w:rPr>
            </w:pPr>
            <w:r w:rsidRPr="00510048">
              <w:rPr>
                <w:sz w:val="22"/>
                <w:szCs w:val="22"/>
              </w:rPr>
              <w:t>-11,6</w:t>
            </w:r>
          </w:p>
        </w:tc>
      </w:tr>
      <w:tr w:rsidR="00510048" w:rsidRPr="00C540A0" w14:paraId="55FF4C03" w14:textId="77777777" w:rsidTr="00510048">
        <w:trPr>
          <w:jc w:val="center"/>
        </w:trPr>
        <w:tc>
          <w:tcPr>
            <w:tcW w:w="1070" w:type="pct"/>
          </w:tcPr>
          <w:p w14:paraId="31D4086E" w14:textId="1C14CF15" w:rsidR="00510048" w:rsidRPr="00C540A0" w:rsidRDefault="00510048" w:rsidP="00510048">
            <w:pPr>
              <w:pStyle w:val="5TextocomnIIGG"/>
              <w:spacing w:after="120"/>
            </w:pPr>
            <w:r w:rsidRPr="00F326F1">
              <w:rPr>
                <w:sz w:val="22"/>
                <w:szCs w:val="22"/>
              </w:rPr>
              <w:t>Necochea</w:t>
            </w:r>
          </w:p>
        </w:tc>
        <w:tc>
          <w:tcPr>
            <w:tcW w:w="571" w:type="pct"/>
            <w:tcBorders>
              <w:top w:val="single" w:sz="4" w:space="0" w:color="auto"/>
              <w:left w:val="nil"/>
              <w:bottom w:val="single" w:sz="4" w:space="0" w:color="auto"/>
              <w:right w:val="single" w:sz="4" w:space="0" w:color="auto"/>
            </w:tcBorders>
            <w:vAlign w:val="bottom"/>
          </w:tcPr>
          <w:p w14:paraId="2E543D0D" w14:textId="1F3AF195" w:rsidR="00510048" w:rsidRPr="00510048" w:rsidRDefault="00510048" w:rsidP="00510048">
            <w:pPr>
              <w:pStyle w:val="5TextocomnIIGG"/>
              <w:spacing w:after="120"/>
              <w:jc w:val="right"/>
              <w:rPr>
                <w:sz w:val="22"/>
                <w:szCs w:val="22"/>
              </w:rPr>
            </w:pPr>
            <w:r w:rsidRPr="00510048">
              <w:rPr>
                <w:sz w:val="22"/>
                <w:szCs w:val="22"/>
              </w:rPr>
              <w:t>4</w:t>
            </w:r>
          </w:p>
        </w:tc>
        <w:tc>
          <w:tcPr>
            <w:tcW w:w="561" w:type="pct"/>
            <w:tcBorders>
              <w:top w:val="single" w:sz="4" w:space="0" w:color="auto"/>
              <w:left w:val="nil"/>
              <w:bottom w:val="single" w:sz="4" w:space="0" w:color="auto"/>
              <w:right w:val="single" w:sz="4" w:space="0" w:color="auto"/>
            </w:tcBorders>
            <w:vAlign w:val="bottom"/>
          </w:tcPr>
          <w:p w14:paraId="70B6F46F" w14:textId="33529222" w:rsidR="00510048" w:rsidRPr="00510048" w:rsidRDefault="00510048" w:rsidP="00510048">
            <w:pPr>
              <w:pStyle w:val="5TextocomnIIGG"/>
              <w:spacing w:after="120"/>
              <w:jc w:val="right"/>
              <w:rPr>
                <w:sz w:val="22"/>
                <w:szCs w:val="22"/>
              </w:rPr>
            </w:pPr>
            <w:r w:rsidRPr="00510048">
              <w:rPr>
                <w:sz w:val="22"/>
                <w:szCs w:val="22"/>
              </w:rPr>
              <w:t>56</w:t>
            </w:r>
          </w:p>
        </w:tc>
        <w:tc>
          <w:tcPr>
            <w:tcW w:w="562" w:type="pct"/>
            <w:tcBorders>
              <w:top w:val="single" w:sz="4" w:space="0" w:color="auto"/>
              <w:left w:val="nil"/>
              <w:bottom w:val="single" w:sz="4" w:space="0" w:color="auto"/>
              <w:right w:val="single" w:sz="4" w:space="0" w:color="auto"/>
            </w:tcBorders>
            <w:vAlign w:val="bottom"/>
          </w:tcPr>
          <w:p w14:paraId="35CC48ED" w14:textId="01BCF441" w:rsidR="00510048" w:rsidRPr="00510048" w:rsidRDefault="00510048" w:rsidP="00510048">
            <w:pPr>
              <w:pStyle w:val="5TextocomnIIGG"/>
              <w:spacing w:after="120"/>
              <w:jc w:val="right"/>
              <w:rPr>
                <w:sz w:val="22"/>
                <w:szCs w:val="22"/>
              </w:rPr>
            </w:pPr>
            <w:r w:rsidRPr="00510048">
              <w:rPr>
                <w:sz w:val="22"/>
                <w:szCs w:val="22"/>
              </w:rPr>
              <w:t>72</w:t>
            </w:r>
          </w:p>
        </w:tc>
        <w:tc>
          <w:tcPr>
            <w:tcW w:w="519" w:type="pct"/>
            <w:tcBorders>
              <w:top w:val="single" w:sz="4" w:space="0" w:color="auto"/>
              <w:left w:val="nil"/>
              <w:bottom w:val="single" w:sz="4" w:space="0" w:color="auto"/>
              <w:right w:val="single" w:sz="4" w:space="0" w:color="auto"/>
            </w:tcBorders>
            <w:vAlign w:val="bottom"/>
          </w:tcPr>
          <w:p w14:paraId="791676A6" w14:textId="48F3032E" w:rsidR="00510048" w:rsidRPr="00510048" w:rsidRDefault="00510048" w:rsidP="00510048">
            <w:pPr>
              <w:pStyle w:val="5TextocomnIIGG"/>
              <w:spacing w:after="120"/>
              <w:jc w:val="right"/>
              <w:rPr>
                <w:sz w:val="22"/>
                <w:szCs w:val="22"/>
              </w:rPr>
            </w:pPr>
            <w:r w:rsidRPr="00510048">
              <w:rPr>
                <w:sz w:val="22"/>
                <w:szCs w:val="22"/>
              </w:rPr>
              <w:t>14</w:t>
            </w:r>
          </w:p>
        </w:tc>
        <w:tc>
          <w:tcPr>
            <w:tcW w:w="604" w:type="pct"/>
            <w:tcBorders>
              <w:top w:val="single" w:sz="4" w:space="0" w:color="auto"/>
              <w:left w:val="nil"/>
              <w:bottom w:val="single" w:sz="4" w:space="0" w:color="auto"/>
              <w:right w:val="single" w:sz="4" w:space="0" w:color="auto"/>
            </w:tcBorders>
            <w:vAlign w:val="bottom"/>
          </w:tcPr>
          <w:p w14:paraId="6DD2B43D" w14:textId="2DCDE3F1" w:rsidR="00510048" w:rsidRPr="00510048" w:rsidRDefault="00510048" w:rsidP="00510048">
            <w:pPr>
              <w:pStyle w:val="5TextocomnIIGG"/>
              <w:spacing w:after="120"/>
              <w:jc w:val="right"/>
              <w:rPr>
                <w:sz w:val="22"/>
                <w:szCs w:val="22"/>
              </w:rPr>
            </w:pPr>
            <w:r w:rsidRPr="00510048">
              <w:rPr>
                <w:sz w:val="22"/>
                <w:szCs w:val="22"/>
              </w:rPr>
              <w:t>251,1</w:t>
            </w:r>
          </w:p>
        </w:tc>
        <w:tc>
          <w:tcPr>
            <w:tcW w:w="561" w:type="pct"/>
            <w:tcBorders>
              <w:top w:val="single" w:sz="4" w:space="0" w:color="auto"/>
              <w:left w:val="nil"/>
              <w:bottom w:val="single" w:sz="4" w:space="0" w:color="auto"/>
              <w:right w:val="single" w:sz="4" w:space="0" w:color="auto"/>
            </w:tcBorders>
            <w:vAlign w:val="bottom"/>
          </w:tcPr>
          <w:p w14:paraId="475984C4" w14:textId="4EAE5211" w:rsidR="00510048" w:rsidRPr="00510048" w:rsidRDefault="00510048" w:rsidP="00510048">
            <w:pPr>
              <w:pStyle w:val="5TextocomnIIGG"/>
              <w:spacing w:after="120"/>
              <w:jc w:val="right"/>
              <w:rPr>
                <w:sz w:val="22"/>
                <w:szCs w:val="22"/>
              </w:rPr>
            </w:pPr>
            <w:r w:rsidRPr="00510048">
              <w:rPr>
                <w:sz w:val="22"/>
                <w:szCs w:val="22"/>
              </w:rPr>
              <w:t>28,1</w:t>
            </w:r>
          </w:p>
        </w:tc>
        <w:tc>
          <w:tcPr>
            <w:tcW w:w="552" w:type="pct"/>
            <w:tcBorders>
              <w:top w:val="single" w:sz="4" w:space="0" w:color="auto"/>
              <w:left w:val="nil"/>
              <w:bottom w:val="single" w:sz="4" w:space="0" w:color="auto"/>
              <w:right w:val="single" w:sz="4" w:space="0" w:color="auto"/>
            </w:tcBorders>
            <w:vAlign w:val="bottom"/>
          </w:tcPr>
          <w:p w14:paraId="50472FBD" w14:textId="108F34E3" w:rsidR="00510048" w:rsidRPr="00510048" w:rsidRDefault="00510048" w:rsidP="00510048">
            <w:pPr>
              <w:pStyle w:val="5TextocomnIIGG"/>
              <w:spacing w:after="120"/>
              <w:jc w:val="right"/>
              <w:rPr>
                <w:sz w:val="22"/>
                <w:szCs w:val="22"/>
              </w:rPr>
            </w:pPr>
            <w:r w:rsidRPr="00510048">
              <w:rPr>
                <w:sz w:val="22"/>
                <w:szCs w:val="22"/>
              </w:rPr>
              <w:t>-141,7</w:t>
            </w:r>
          </w:p>
        </w:tc>
      </w:tr>
      <w:tr w:rsidR="00510048" w:rsidRPr="00C540A0" w14:paraId="73F31248" w14:textId="77777777" w:rsidTr="00510048">
        <w:trPr>
          <w:jc w:val="center"/>
        </w:trPr>
        <w:tc>
          <w:tcPr>
            <w:tcW w:w="1070" w:type="pct"/>
          </w:tcPr>
          <w:p w14:paraId="05986850" w14:textId="655922CE" w:rsidR="00510048" w:rsidRPr="00C540A0" w:rsidRDefault="00510048" w:rsidP="00510048">
            <w:pPr>
              <w:pStyle w:val="5TextocomnIIGG"/>
              <w:spacing w:after="120"/>
            </w:pPr>
            <w:r w:rsidRPr="00F326F1">
              <w:rPr>
                <w:sz w:val="22"/>
                <w:szCs w:val="22"/>
              </w:rPr>
              <w:t>Pinamar</w:t>
            </w:r>
          </w:p>
        </w:tc>
        <w:tc>
          <w:tcPr>
            <w:tcW w:w="571" w:type="pct"/>
            <w:tcBorders>
              <w:top w:val="single" w:sz="4" w:space="0" w:color="auto"/>
              <w:left w:val="nil"/>
              <w:bottom w:val="single" w:sz="4" w:space="0" w:color="auto"/>
              <w:right w:val="single" w:sz="4" w:space="0" w:color="auto"/>
            </w:tcBorders>
            <w:vAlign w:val="bottom"/>
          </w:tcPr>
          <w:p w14:paraId="42E66C2D" w14:textId="60ECB2B8" w:rsidR="00510048" w:rsidRPr="00510048" w:rsidRDefault="00510048" w:rsidP="00510048">
            <w:pPr>
              <w:pStyle w:val="5TextocomnIIGG"/>
              <w:spacing w:after="120"/>
              <w:jc w:val="right"/>
              <w:rPr>
                <w:sz w:val="22"/>
                <w:szCs w:val="22"/>
              </w:rPr>
            </w:pPr>
            <w:r w:rsidRPr="00510048">
              <w:rPr>
                <w:sz w:val="22"/>
                <w:szCs w:val="22"/>
              </w:rPr>
              <w:t>0</w:t>
            </w:r>
          </w:p>
        </w:tc>
        <w:tc>
          <w:tcPr>
            <w:tcW w:w="561" w:type="pct"/>
            <w:tcBorders>
              <w:top w:val="single" w:sz="4" w:space="0" w:color="auto"/>
              <w:left w:val="nil"/>
              <w:bottom w:val="single" w:sz="4" w:space="0" w:color="auto"/>
              <w:right w:val="single" w:sz="4" w:space="0" w:color="auto"/>
            </w:tcBorders>
            <w:vAlign w:val="bottom"/>
          </w:tcPr>
          <w:p w14:paraId="1CD0CD25" w14:textId="739116E8" w:rsidR="00510048" w:rsidRPr="00510048" w:rsidRDefault="00510048" w:rsidP="00510048">
            <w:pPr>
              <w:pStyle w:val="5TextocomnIIGG"/>
              <w:spacing w:after="120"/>
              <w:jc w:val="right"/>
              <w:rPr>
                <w:sz w:val="22"/>
                <w:szCs w:val="22"/>
              </w:rPr>
            </w:pPr>
            <w:r w:rsidRPr="00510048">
              <w:rPr>
                <w:sz w:val="22"/>
                <w:szCs w:val="22"/>
              </w:rPr>
              <w:t>90</w:t>
            </w:r>
          </w:p>
        </w:tc>
        <w:tc>
          <w:tcPr>
            <w:tcW w:w="562" w:type="pct"/>
            <w:tcBorders>
              <w:top w:val="single" w:sz="4" w:space="0" w:color="auto"/>
              <w:left w:val="nil"/>
              <w:bottom w:val="single" w:sz="4" w:space="0" w:color="auto"/>
              <w:right w:val="single" w:sz="4" w:space="0" w:color="auto"/>
            </w:tcBorders>
            <w:vAlign w:val="bottom"/>
          </w:tcPr>
          <w:p w14:paraId="115AD345" w14:textId="2028A8DC" w:rsidR="00510048" w:rsidRPr="00510048" w:rsidRDefault="00510048" w:rsidP="00510048">
            <w:pPr>
              <w:pStyle w:val="5TextocomnIIGG"/>
              <w:spacing w:after="120"/>
              <w:jc w:val="right"/>
              <w:rPr>
                <w:sz w:val="22"/>
                <w:szCs w:val="22"/>
              </w:rPr>
            </w:pPr>
            <w:r w:rsidRPr="00510048">
              <w:rPr>
                <w:sz w:val="22"/>
                <w:szCs w:val="22"/>
              </w:rPr>
              <w:t>102</w:t>
            </w:r>
          </w:p>
        </w:tc>
        <w:tc>
          <w:tcPr>
            <w:tcW w:w="519" w:type="pct"/>
            <w:tcBorders>
              <w:top w:val="single" w:sz="4" w:space="0" w:color="auto"/>
              <w:left w:val="nil"/>
              <w:bottom w:val="single" w:sz="4" w:space="0" w:color="auto"/>
              <w:right w:val="single" w:sz="4" w:space="0" w:color="auto"/>
            </w:tcBorders>
            <w:vAlign w:val="bottom"/>
          </w:tcPr>
          <w:p w14:paraId="6467B4D6" w14:textId="52E2CD06" w:rsidR="00510048" w:rsidRPr="00510048" w:rsidRDefault="00510048" w:rsidP="00510048">
            <w:pPr>
              <w:pStyle w:val="5TextocomnIIGG"/>
              <w:spacing w:after="120"/>
              <w:jc w:val="right"/>
              <w:rPr>
                <w:sz w:val="22"/>
                <w:szCs w:val="22"/>
              </w:rPr>
            </w:pPr>
            <w:r w:rsidRPr="00510048">
              <w:rPr>
                <w:sz w:val="22"/>
                <w:szCs w:val="22"/>
              </w:rPr>
              <w:t>39</w:t>
            </w:r>
          </w:p>
        </w:tc>
        <w:tc>
          <w:tcPr>
            <w:tcW w:w="604" w:type="pct"/>
            <w:tcBorders>
              <w:top w:val="single" w:sz="4" w:space="0" w:color="auto"/>
              <w:left w:val="nil"/>
              <w:bottom w:val="single" w:sz="4" w:space="0" w:color="auto"/>
              <w:right w:val="single" w:sz="4" w:space="0" w:color="auto"/>
            </w:tcBorders>
            <w:vAlign w:val="bottom"/>
          </w:tcPr>
          <w:p w14:paraId="79916D79" w14:textId="61E0357F" w:rsidR="00510048" w:rsidRPr="00510048" w:rsidRDefault="00510048" w:rsidP="00510048">
            <w:pPr>
              <w:pStyle w:val="5TextocomnIIGG"/>
              <w:spacing w:after="120"/>
              <w:jc w:val="right"/>
              <w:rPr>
                <w:sz w:val="22"/>
                <w:szCs w:val="22"/>
              </w:rPr>
            </w:pPr>
            <w:r w:rsidRPr="00510048">
              <w:rPr>
                <w:sz w:val="22"/>
                <w:szCs w:val="22"/>
              </w:rPr>
              <w:t> ---</w:t>
            </w:r>
          </w:p>
        </w:tc>
        <w:tc>
          <w:tcPr>
            <w:tcW w:w="561" w:type="pct"/>
            <w:tcBorders>
              <w:top w:val="single" w:sz="4" w:space="0" w:color="auto"/>
              <w:left w:val="nil"/>
              <w:bottom w:val="single" w:sz="4" w:space="0" w:color="auto"/>
              <w:right w:val="single" w:sz="4" w:space="0" w:color="auto"/>
            </w:tcBorders>
            <w:vAlign w:val="bottom"/>
          </w:tcPr>
          <w:p w14:paraId="5B21C533" w14:textId="71712C90" w:rsidR="00510048" w:rsidRPr="00510048" w:rsidRDefault="00510048" w:rsidP="00510048">
            <w:pPr>
              <w:pStyle w:val="5TextocomnIIGG"/>
              <w:spacing w:after="120"/>
              <w:jc w:val="right"/>
              <w:rPr>
                <w:sz w:val="22"/>
                <w:szCs w:val="22"/>
              </w:rPr>
            </w:pPr>
            <w:r w:rsidRPr="00510048">
              <w:rPr>
                <w:sz w:val="22"/>
                <w:szCs w:val="22"/>
              </w:rPr>
              <w:t>14,0</w:t>
            </w:r>
          </w:p>
        </w:tc>
        <w:tc>
          <w:tcPr>
            <w:tcW w:w="552" w:type="pct"/>
            <w:tcBorders>
              <w:top w:val="single" w:sz="4" w:space="0" w:color="auto"/>
              <w:left w:val="nil"/>
              <w:bottom w:val="single" w:sz="4" w:space="0" w:color="auto"/>
              <w:right w:val="single" w:sz="4" w:space="0" w:color="auto"/>
            </w:tcBorders>
            <w:vAlign w:val="bottom"/>
          </w:tcPr>
          <w:p w14:paraId="39971450" w14:textId="1DC791F1" w:rsidR="00510048" w:rsidRPr="00510048" w:rsidRDefault="00510048" w:rsidP="00510048">
            <w:pPr>
              <w:pStyle w:val="5TextocomnIIGG"/>
              <w:spacing w:after="120"/>
              <w:jc w:val="right"/>
              <w:rPr>
                <w:sz w:val="22"/>
                <w:szCs w:val="22"/>
              </w:rPr>
            </w:pPr>
            <w:r w:rsidRPr="00510048">
              <w:rPr>
                <w:sz w:val="22"/>
                <w:szCs w:val="22"/>
              </w:rPr>
              <w:t>-83,2</w:t>
            </w:r>
          </w:p>
        </w:tc>
      </w:tr>
      <w:tr w:rsidR="00510048" w:rsidRPr="00C540A0" w14:paraId="326E3889" w14:textId="77777777" w:rsidTr="00510048">
        <w:trPr>
          <w:jc w:val="center"/>
        </w:trPr>
        <w:tc>
          <w:tcPr>
            <w:tcW w:w="1070" w:type="pct"/>
          </w:tcPr>
          <w:p w14:paraId="174B71B9" w14:textId="2799324C" w:rsidR="00510048" w:rsidRPr="00C540A0" w:rsidRDefault="00510048" w:rsidP="00510048">
            <w:pPr>
              <w:pStyle w:val="5TextocomnIIGG"/>
              <w:spacing w:after="120"/>
            </w:pPr>
            <w:r w:rsidRPr="00F326F1">
              <w:rPr>
                <w:sz w:val="22"/>
                <w:szCs w:val="22"/>
              </w:rPr>
              <w:t>San Cayetano</w:t>
            </w:r>
          </w:p>
        </w:tc>
        <w:tc>
          <w:tcPr>
            <w:tcW w:w="571" w:type="pct"/>
            <w:tcBorders>
              <w:top w:val="single" w:sz="4" w:space="0" w:color="auto"/>
              <w:left w:val="nil"/>
              <w:bottom w:val="single" w:sz="4" w:space="0" w:color="auto"/>
              <w:right w:val="single" w:sz="4" w:space="0" w:color="auto"/>
            </w:tcBorders>
            <w:vAlign w:val="bottom"/>
          </w:tcPr>
          <w:p w14:paraId="445682AD" w14:textId="0C368752" w:rsidR="00510048" w:rsidRPr="00510048" w:rsidRDefault="00510048" w:rsidP="00510048">
            <w:pPr>
              <w:pStyle w:val="5TextocomnIIGG"/>
              <w:spacing w:after="120"/>
              <w:jc w:val="right"/>
              <w:rPr>
                <w:sz w:val="22"/>
                <w:szCs w:val="22"/>
              </w:rPr>
            </w:pPr>
            <w:r w:rsidRPr="00510048">
              <w:rPr>
                <w:sz w:val="22"/>
                <w:szCs w:val="22"/>
              </w:rPr>
              <w:t>1</w:t>
            </w:r>
          </w:p>
        </w:tc>
        <w:tc>
          <w:tcPr>
            <w:tcW w:w="561" w:type="pct"/>
            <w:tcBorders>
              <w:top w:val="single" w:sz="4" w:space="0" w:color="auto"/>
              <w:left w:val="nil"/>
              <w:bottom w:val="single" w:sz="4" w:space="0" w:color="auto"/>
              <w:right w:val="single" w:sz="4" w:space="0" w:color="auto"/>
            </w:tcBorders>
            <w:vAlign w:val="bottom"/>
          </w:tcPr>
          <w:p w14:paraId="45DFF0BA" w14:textId="22F2142E" w:rsidR="00510048" w:rsidRPr="00510048" w:rsidRDefault="00510048" w:rsidP="00510048">
            <w:pPr>
              <w:pStyle w:val="5TextocomnIIGG"/>
              <w:spacing w:after="120"/>
              <w:jc w:val="right"/>
              <w:rPr>
                <w:sz w:val="22"/>
                <w:szCs w:val="22"/>
              </w:rPr>
            </w:pPr>
            <w:r w:rsidRPr="00510048">
              <w:rPr>
                <w:sz w:val="22"/>
                <w:szCs w:val="22"/>
              </w:rPr>
              <w:t>3</w:t>
            </w:r>
          </w:p>
        </w:tc>
        <w:tc>
          <w:tcPr>
            <w:tcW w:w="562" w:type="pct"/>
            <w:tcBorders>
              <w:top w:val="single" w:sz="4" w:space="0" w:color="auto"/>
              <w:left w:val="nil"/>
              <w:bottom w:val="single" w:sz="4" w:space="0" w:color="auto"/>
              <w:right w:val="single" w:sz="4" w:space="0" w:color="auto"/>
            </w:tcBorders>
            <w:vAlign w:val="bottom"/>
          </w:tcPr>
          <w:p w14:paraId="3B22ED28" w14:textId="3BFCF5D0" w:rsidR="00510048" w:rsidRPr="00510048" w:rsidRDefault="00510048" w:rsidP="00510048">
            <w:pPr>
              <w:pStyle w:val="5TextocomnIIGG"/>
              <w:spacing w:after="120"/>
              <w:jc w:val="right"/>
              <w:rPr>
                <w:sz w:val="22"/>
                <w:szCs w:val="22"/>
              </w:rPr>
            </w:pPr>
            <w:r w:rsidRPr="00510048">
              <w:rPr>
                <w:sz w:val="22"/>
                <w:szCs w:val="22"/>
              </w:rPr>
              <w:t>2</w:t>
            </w:r>
          </w:p>
        </w:tc>
        <w:tc>
          <w:tcPr>
            <w:tcW w:w="519" w:type="pct"/>
            <w:tcBorders>
              <w:top w:val="single" w:sz="4" w:space="0" w:color="auto"/>
              <w:left w:val="nil"/>
              <w:bottom w:val="single" w:sz="4" w:space="0" w:color="auto"/>
              <w:right w:val="single" w:sz="4" w:space="0" w:color="auto"/>
            </w:tcBorders>
            <w:vAlign w:val="bottom"/>
          </w:tcPr>
          <w:p w14:paraId="45F0EC5A" w14:textId="726F02E1" w:rsidR="00510048" w:rsidRPr="00510048" w:rsidRDefault="00510048" w:rsidP="00510048">
            <w:pPr>
              <w:pStyle w:val="5TextocomnIIGG"/>
              <w:spacing w:after="120"/>
              <w:jc w:val="right"/>
              <w:rPr>
                <w:sz w:val="22"/>
                <w:szCs w:val="22"/>
              </w:rPr>
            </w:pPr>
            <w:r w:rsidRPr="00510048">
              <w:rPr>
                <w:sz w:val="22"/>
                <w:szCs w:val="22"/>
              </w:rPr>
              <w:t>0</w:t>
            </w:r>
          </w:p>
        </w:tc>
        <w:tc>
          <w:tcPr>
            <w:tcW w:w="604" w:type="pct"/>
            <w:tcBorders>
              <w:top w:val="single" w:sz="4" w:space="0" w:color="auto"/>
              <w:left w:val="nil"/>
              <w:bottom w:val="single" w:sz="4" w:space="0" w:color="auto"/>
              <w:right w:val="single" w:sz="4" w:space="0" w:color="auto"/>
            </w:tcBorders>
            <w:vAlign w:val="bottom"/>
          </w:tcPr>
          <w:p w14:paraId="46A803D9" w14:textId="27CE552C" w:rsidR="00510048" w:rsidRPr="00510048" w:rsidRDefault="00510048" w:rsidP="00510048">
            <w:pPr>
              <w:pStyle w:val="5TextocomnIIGG"/>
              <w:spacing w:after="120"/>
              <w:jc w:val="right"/>
              <w:rPr>
                <w:sz w:val="22"/>
                <w:szCs w:val="22"/>
              </w:rPr>
            </w:pPr>
            <w:r w:rsidRPr="00510048">
              <w:rPr>
                <w:sz w:val="22"/>
                <w:szCs w:val="22"/>
              </w:rPr>
              <w:t>104,5</w:t>
            </w:r>
          </w:p>
        </w:tc>
        <w:tc>
          <w:tcPr>
            <w:tcW w:w="561" w:type="pct"/>
            <w:tcBorders>
              <w:top w:val="single" w:sz="4" w:space="0" w:color="auto"/>
              <w:left w:val="nil"/>
              <w:bottom w:val="single" w:sz="4" w:space="0" w:color="auto"/>
              <w:right w:val="single" w:sz="4" w:space="0" w:color="auto"/>
            </w:tcBorders>
            <w:vAlign w:val="bottom"/>
          </w:tcPr>
          <w:p w14:paraId="36A87CCA" w14:textId="31A62DF6" w:rsidR="00510048" w:rsidRPr="00510048" w:rsidRDefault="00510048" w:rsidP="00510048">
            <w:pPr>
              <w:pStyle w:val="5TextocomnIIGG"/>
              <w:spacing w:after="120"/>
              <w:jc w:val="right"/>
              <w:rPr>
                <w:sz w:val="22"/>
                <w:szCs w:val="22"/>
              </w:rPr>
            </w:pPr>
            <w:r w:rsidRPr="00510048">
              <w:rPr>
                <w:sz w:val="22"/>
                <w:szCs w:val="22"/>
              </w:rPr>
              <w:t>-45,3</w:t>
            </w:r>
          </w:p>
        </w:tc>
        <w:tc>
          <w:tcPr>
            <w:tcW w:w="552" w:type="pct"/>
            <w:tcBorders>
              <w:top w:val="single" w:sz="4" w:space="0" w:color="auto"/>
              <w:left w:val="nil"/>
              <w:bottom w:val="single" w:sz="4" w:space="0" w:color="auto"/>
              <w:right w:val="single" w:sz="4" w:space="0" w:color="auto"/>
            </w:tcBorders>
            <w:vAlign w:val="bottom"/>
          </w:tcPr>
          <w:p w14:paraId="78C82CDE" w14:textId="4F3DF9F4" w:rsidR="00510048" w:rsidRPr="00510048" w:rsidRDefault="00510048" w:rsidP="00510048">
            <w:pPr>
              <w:pStyle w:val="5TextocomnIIGG"/>
              <w:spacing w:after="120"/>
              <w:jc w:val="right"/>
              <w:rPr>
                <w:sz w:val="22"/>
                <w:szCs w:val="22"/>
              </w:rPr>
            </w:pPr>
            <w:r w:rsidRPr="00510048">
              <w:rPr>
                <w:sz w:val="22"/>
                <w:szCs w:val="22"/>
              </w:rPr>
              <w:t> ---</w:t>
            </w:r>
          </w:p>
        </w:tc>
      </w:tr>
      <w:tr w:rsidR="00510048" w:rsidRPr="00C540A0" w14:paraId="0E6710CE" w14:textId="77777777" w:rsidTr="00510048">
        <w:trPr>
          <w:jc w:val="center"/>
        </w:trPr>
        <w:tc>
          <w:tcPr>
            <w:tcW w:w="1070" w:type="pct"/>
          </w:tcPr>
          <w:p w14:paraId="2F05C65A" w14:textId="3B2B51F2" w:rsidR="00510048" w:rsidRPr="00C540A0" w:rsidRDefault="00510048" w:rsidP="00510048">
            <w:pPr>
              <w:pStyle w:val="5TextocomnIIGG"/>
              <w:spacing w:after="120"/>
            </w:pPr>
            <w:r w:rsidRPr="00F326F1">
              <w:rPr>
                <w:sz w:val="22"/>
                <w:szCs w:val="22"/>
              </w:rPr>
              <w:t>Tandil</w:t>
            </w:r>
          </w:p>
        </w:tc>
        <w:tc>
          <w:tcPr>
            <w:tcW w:w="571" w:type="pct"/>
            <w:tcBorders>
              <w:top w:val="single" w:sz="4" w:space="0" w:color="auto"/>
              <w:left w:val="nil"/>
              <w:bottom w:val="single" w:sz="4" w:space="0" w:color="auto"/>
              <w:right w:val="single" w:sz="4" w:space="0" w:color="auto"/>
            </w:tcBorders>
            <w:vAlign w:val="bottom"/>
          </w:tcPr>
          <w:p w14:paraId="0B973A93" w14:textId="17AAD957" w:rsidR="00510048" w:rsidRPr="00510048" w:rsidRDefault="00510048" w:rsidP="00510048">
            <w:pPr>
              <w:pStyle w:val="5TextocomnIIGG"/>
              <w:spacing w:after="120"/>
              <w:jc w:val="right"/>
              <w:rPr>
                <w:sz w:val="22"/>
                <w:szCs w:val="22"/>
              </w:rPr>
            </w:pPr>
            <w:r w:rsidRPr="00510048">
              <w:rPr>
                <w:sz w:val="22"/>
                <w:szCs w:val="22"/>
              </w:rPr>
              <w:t>3</w:t>
            </w:r>
          </w:p>
        </w:tc>
        <w:tc>
          <w:tcPr>
            <w:tcW w:w="561" w:type="pct"/>
            <w:tcBorders>
              <w:top w:val="single" w:sz="4" w:space="0" w:color="auto"/>
              <w:left w:val="nil"/>
              <w:bottom w:val="single" w:sz="4" w:space="0" w:color="auto"/>
              <w:right w:val="single" w:sz="4" w:space="0" w:color="auto"/>
            </w:tcBorders>
            <w:vAlign w:val="bottom"/>
          </w:tcPr>
          <w:p w14:paraId="43AEBEA4" w14:textId="10608DF7" w:rsidR="00510048" w:rsidRPr="00510048" w:rsidRDefault="00510048" w:rsidP="00510048">
            <w:pPr>
              <w:pStyle w:val="5TextocomnIIGG"/>
              <w:spacing w:after="120"/>
              <w:jc w:val="right"/>
              <w:rPr>
                <w:sz w:val="22"/>
                <w:szCs w:val="22"/>
              </w:rPr>
            </w:pPr>
            <w:r w:rsidRPr="00510048">
              <w:rPr>
                <w:sz w:val="22"/>
                <w:szCs w:val="22"/>
              </w:rPr>
              <w:t>22</w:t>
            </w:r>
          </w:p>
        </w:tc>
        <w:tc>
          <w:tcPr>
            <w:tcW w:w="562" w:type="pct"/>
            <w:tcBorders>
              <w:top w:val="single" w:sz="4" w:space="0" w:color="auto"/>
              <w:left w:val="nil"/>
              <w:bottom w:val="single" w:sz="4" w:space="0" w:color="auto"/>
              <w:right w:val="single" w:sz="4" w:space="0" w:color="auto"/>
            </w:tcBorders>
            <w:vAlign w:val="bottom"/>
          </w:tcPr>
          <w:p w14:paraId="21D47DFC" w14:textId="6332E869" w:rsidR="00510048" w:rsidRPr="00510048" w:rsidRDefault="00510048" w:rsidP="00510048">
            <w:pPr>
              <w:pStyle w:val="5TextocomnIIGG"/>
              <w:spacing w:after="120"/>
              <w:jc w:val="right"/>
              <w:rPr>
                <w:sz w:val="22"/>
                <w:szCs w:val="22"/>
              </w:rPr>
            </w:pPr>
            <w:r w:rsidRPr="00510048">
              <w:rPr>
                <w:sz w:val="22"/>
                <w:szCs w:val="22"/>
              </w:rPr>
              <w:t>106</w:t>
            </w:r>
          </w:p>
        </w:tc>
        <w:tc>
          <w:tcPr>
            <w:tcW w:w="519" w:type="pct"/>
            <w:tcBorders>
              <w:top w:val="single" w:sz="4" w:space="0" w:color="auto"/>
              <w:left w:val="nil"/>
              <w:bottom w:val="single" w:sz="4" w:space="0" w:color="auto"/>
              <w:right w:val="single" w:sz="4" w:space="0" w:color="auto"/>
            </w:tcBorders>
            <w:vAlign w:val="bottom"/>
          </w:tcPr>
          <w:p w14:paraId="6FF1EF4E" w14:textId="330B0060" w:rsidR="00510048" w:rsidRPr="00510048" w:rsidRDefault="00510048" w:rsidP="00510048">
            <w:pPr>
              <w:pStyle w:val="5TextocomnIIGG"/>
              <w:spacing w:after="120"/>
              <w:jc w:val="right"/>
              <w:rPr>
                <w:sz w:val="22"/>
                <w:szCs w:val="22"/>
              </w:rPr>
            </w:pPr>
            <w:r w:rsidRPr="00510048">
              <w:rPr>
                <w:sz w:val="22"/>
                <w:szCs w:val="22"/>
              </w:rPr>
              <w:t>24</w:t>
            </w:r>
          </w:p>
        </w:tc>
        <w:tc>
          <w:tcPr>
            <w:tcW w:w="604" w:type="pct"/>
            <w:tcBorders>
              <w:top w:val="single" w:sz="4" w:space="0" w:color="auto"/>
              <w:left w:val="nil"/>
              <w:bottom w:val="single" w:sz="4" w:space="0" w:color="auto"/>
              <w:right w:val="single" w:sz="4" w:space="0" w:color="auto"/>
            </w:tcBorders>
            <w:vAlign w:val="bottom"/>
          </w:tcPr>
          <w:p w14:paraId="2F767D78" w14:textId="481A42DC" w:rsidR="00510048" w:rsidRPr="00510048" w:rsidRDefault="00510048" w:rsidP="00510048">
            <w:pPr>
              <w:pStyle w:val="5TextocomnIIGG"/>
              <w:spacing w:after="120"/>
              <w:jc w:val="right"/>
              <w:rPr>
                <w:sz w:val="22"/>
                <w:szCs w:val="22"/>
              </w:rPr>
            </w:pPr>
            <w:r w:rsidRPr="00510048">
              <w:rPr>
                <w:sz w:val="22"/>
                <w:szCs w:val="22"/>
              </w:rPr>
              <w:t>189,6</w:t>
            </w:r>
          </w:p>
        </w:tc>
        <w:tc>
          <w:tcPr>
            <w:tcW w:w="561" w:type="pct"/>
            <w:tcBorders>
              <w:top w:val="single" w:sz="4" w:space="0" w:color="auto"/>
              <w:left w:val="nil"/>
              <w:bottom w:val="single" w:sz="4" w:space="0" w:color="auto"/>
              <w:right w:val="single" w:sz="4" w:space="0" w:color="auto"/>
            </w:tcBorders>
            <w:vAlign w:val="bottom"/>
          </w:tcPr>
          <w:p w14:paraId="6FB8416D" w14:textId="3283BF8C" w:rsidR="00510048" w:rsidRPr="00510048" w:rsidRDefault="00510048" w:rsidP="00510048">
            <w:pPr>
              <w:pStyle w:val="5TextocomnIIGG"/>
              <w:spacing w:after="120"/>
              <w:jc w:val="right"/>
              <w:rPr>
                <w:sz w:val="22"/>
                <w:szCs w:val="22"/>
              </w:rPr>
            </w:pPr>
            <w:r w:rsidRPr="00510048">
              <w:rPr>
                <w:sz w:val="22"/>
                <w:szCs w:val="22"/>
              </w:rPr>
              <w:t>175,9</w:t>
            </w:r>
          </w:p>
        </w:tc>
        <w:tc>
          <w:tcPr>
            <w:tcW w:w="552" w:type="pct"/>
            <w:tcBorders>
              <w:top w:val="single" w:sz="4" w:space="0" w:color="auto"/>
              <w:left w:val="nil"/>
              <w:bottom w:val="single" w:sz="4" w:space="0" w:color="auto"/>
              <w:right w:val="single" w:sz="4" w:space="0" w:color="auto"/>
            </w:tcBorders>
            <w:vAlign w:val="bottom"/>
          </w:tcPr>
          <w:p w14:paraId="0AB2F4D4" w14:textId="03583E99" w:rsidR="00510048" w:rsidRPr="00510048" w:rsidRDefault="00510048" w:rsidP="00510048">
            <w:pPr>
              <w:pStyle w:val="5TextocomnIIGG"/>
              <w:spacing w:after="120"/>
              <w:jc w:val="right"/>
              <w:rPr>
                <w:sz w:val="22"/>
                <w:szCs w:val="22"/>
              </w:rPr>
            </w:pPr>
            <w:r w:rsidRPr="00510048">
              <w:rPr>
                <w:sz w:val="22"/>
                <w:szCs w:val="22"/>
              </w:rPr>
              <w:t>-128,5</w:t>
            </w:r>
          </w:p>
        </w:tc>
      </w:tr>
      <w:tr w:rsidR="00510048" w:rsidRPr="00C540A0" w14:paraId="34727026" w14:textId="77777777" w:rsidTr="00510048">
        <w:trPr>
          <w:jc w:val="center"/>
        </w:trPr>
        <w:tc>
          <w:tcPr>
            <w:tcW w:w="1070" w:type="pct"/>
          </w:tcPr>
          <w:p w14:paraId="41F41471" w14:textId="07F37D92" w:rsidR="00510048" w:rsidRPr="00C540A0" w:rsidRDefault="00510048" w:rsidP="00510048">
            <w:pPr>
              <w:pStyle w:val="5TextocomnIIGG"/>
              <w:spacing w:after="120"/>
            </w:pPr>
            <w:r w:rsidRPr="00F326F1">
              <w:rPr>
                <w:sz w:val="22"/>
                <w:szCs w:val="22"/>
              </w:rPr>
              <w:t>Villa Gesell</w:t>
            </w:r>
          </w:p>
        </w:tc>
        <w:tc>
          <w:tcPr>
            <w:tcW w:w="571" w:type="pct"/>
            <w:tcBorders>
              <w:top w:val="single" w:sz="4" w:space="0" w:color="auto"/>
              <w:left w:val="nil"/>
              <w:bottom w:val="single" w:sz="4" w:space="0" w:color="auto"/>
              <w:right w:val="single" w:sz="4" w:space="0" w:color="auto"/>
            </w:tcBorders>
            <w:vAlign w:val="bottom"/>
          </w:tcPr>
          <w:p w14:paraId="4BC1064C" w14:textId="6B6613CD" w:rsidR="00510048" w:rsidRPr="00510048" w:rsidRDefault="00510048" w:rsidP="00510048">
            <w:pPr>
              <w:pStyle w:val="5TextocomnIIGG"/>
              <w:spacing w:after="120"/>
              <w:jc w:val="right"/>
              <w:rPr>
                <w:sz w:val="22"/>
                <w:szCs w:val="22"/>
              </w:rPr>
            </w:pPr>
            <w:r w:rsidRPr="00510048">
              <w:rPr>
                <w:sz w:val="22"/>
                <w:szCs w:val="22"/>
              </w:rPr>
              <w:t>0</w:t>
            </w:r>
          </w:p>
        </w:tc>
        <w:tc>
          <w:tcPr>
            <w:tcW w:w="561" w:type="pct"/>
            <w:tcBorders>
              <w:top w:val="single" w:sz="4" w:space="0" w:color="auto"/>
              <w:left w:val="nil"/>
              <w:bottom w:val="single" w:sz="4" w:space="0" w:color="auto"/>
              <w:right w:val="single" w:sz="4" w:space="0" w:color="auto"/>
            </w:tcBorders>
            <w:vAlign w:val="bottom"/>
          </w:tcPr>
          <w:p w14:paraId="471B63E1" w14:textId="46127D5C" w:rsidR="00510048" w:rsidRPr="00510048" w:rsidRDefault="00510048" w:rsidP="00510048">
            <w:pPr>
              <w:pStyle w:val="5TextocomnIIGG"/>
              <w:spacing w:after="120"/>
              <w:jc w:val="right"/>
              <w:rPr>
                <w:sz w:val="22"/>
                <w:szCs w:val="22"/>
              </w:rPr>
            </w:pPr>
            <w:r w:rsidRPr="00510048">
              <w:rPr>
                <w:sz w:val="22"/>
                <w:szCs w:val="22"/>
              </w:rPr>
              <w:t>129</w:t>
            </w:r>
          </w:p>
        </w:tc>
        <w:tc>
          <w:tcPr>
            <w:tcW w:w="562" w:type="pct"/>
            <w:tcBorders>
              <w:top w:val="single" w:sz="4" w:space="0" w:color="auto"/>
              <w:left w:val="nil"/>
              <w:bottom w:val="single" w:sz="4" w:space="0" w:color="auto"/>
              <w:right w:val="single" w:sz="4" w:space="0" w:color="auto"/>
            </w:tcBorders>
            <w:vAlign w:val="bottom"/>
          </w:tcPr>
          <w:p w14:paraId="00D39984" w14:textId="4E5FFCD3" w:rsidR="00510048" w:rsidRPr="00510048" w:rsidRDefault="00510048" w:rsidP="00510048">
            <w:pPr>
              <w:pStyle w:val="5TextocomnIIGG"/>
              <w:spacing w:after="120"/>
              <w:jc w:val="right"/>
              <w:rPr>
                <w:sz w:val="22"/>
                <w:szCs w:val="22"/>
              </w:rPr>
            </w:pPr>
            <w:r w:rsidRPr="00510048">
              <w:rPr>
                <w:sz w:val="22"/>
                <w:szCs w:val="22"/>
              </w:rPr>
              <w:t>108</w:t>
            </w:r>
          </w:p>
        </w:tc>
        <w:tc>
          <w:tcPr>
            <w:tcW w:w="519" w:type="pct"/>
            <w:tcBorders>
              <w:top w:val="single" w:sz="4" w:space="0" w:color="auto"/>
              <w:left w:val="nil"/>
              <w:bottom w:val="single" w:sz="4" w:space="0" w:color="auto"/>
              <w:right w:val="single" w:sz="4" w:space="0" w:color="auto"/>
            </w:tcBorders>
            <w:vAlign w:val="bottom"/>
          </w:tcPr>
          <w:p w14:paraId="50B50A36" w14:textId="537312A7" w:rsidR="00510048" w:rsidRPr="00510048" w:rsidRDefault="00510048" w:rsidP="00510048">
            <w:pPr>
              <w:pStyle w:val="5TextocomnIIGG"/>
              <w:spacing w:after="120"/>
              <w:jc w:val="right"/>
              <w:rPr>
                <w:sz w:val="22"/>
                <w:szCs w:val="22"/>
              </w:rPr>
            </w:pPr>
            <w:r w:rsidRPr="00510048">
              <w:rPr>
                <w:sz w:val="22"/>
                <w:szCs w:val="22"/>
              </w:rPr>
              <w:t>35</w:t>
            </w:r>
          </w:p>
        </w:tc>
        <w:tc>
          <w:tcPr>
            <w:tcW w:w="604" w:type="pct"/>
            <w:tcBorders>
              <w:top w:val="single" w:sz="4" w:space="0" w:color="auto"/>
              <w:left w:val="nil"/>
              <w:bottom w:val="single" w:sz="4" w:space="0" w:color="auto"/>
              <w:right w:val="single" w:sz="4" w:space="0" w:color="auto"/>
            </w:tcBorders>
            <w:vAlign w:val="bottom"/>
          </w:tcPr>
          <w:p w14:paraId="4C55885E" w14:textId="009F6F02" w:rsidR="00510048" w:rsidRPr="00510048" w:rsidRDefault="00510048" w:rsidP="00510048">
            <w:pPr>
              <w:pStyle w:val="5TextocomnIIGG"/>
              <w:spacing w:after="120"/>
              <w:jc w:val="right"/>
              <w:rPr>
                <w:sz w:val="22"/>
                <w:szCs w:val="22"/>
              </w:rPr>
            </w:pPr>
            <w:r w:rsidRPr="00510048">
              <w:rPr>
                <w:sz w:val="22"/>
                <w:szCs w:val="22"/>
              </w:rPr>
              <w:t> ---</w:t>
            </w:r>
          </w:p>
        </w:tc>
        <w:tc>
          <w:tcPr>
            <w:tcW w:w="561" w:type="pct"/>
            <w:tcBorders>
              <w:top w:val="single" w:sz="4" w:space="0" w:color="auto"/>
              <w:left w:val="nil"/>
              <w:bottom w:val="single" w:sz="4" w:space="0" w:color="auto"/>
              <w:right w:val="single" w:sz="4" w:space="0" w:color="auto"/>
            </w:tcBorders>
            <w:vAlign w:val="bottom"/>
          </w:tcPr>
          <w:p w14:paraId="085D5FC9" w14:textId="7F724723" w:rsidR="00510048" w:rsidRPr="00510048" w:rsidRDefault="00510048" w:rsidP="00510048">
            <w:pPr>
              <w:pStyle w:val="5TextocomnIIGG"/>
              <w:spacing w:after="120"/>
              <w:jc w:val="right"/>
              <w:rPr>
                <w:sz w:val="22"/>
                <w:szCs w:val="22"/>
              </w:rPr>
            </w:pPr>
            <w:r w:rsidRPr="00510048">
              <w:rPr>
                <w:sz w:val="22"/>
                <w:szCs w:val="22"/>
              </w:rPr>
              <w:t>-19,9</w:t>
            </w:r>
          </w:p>
        </w:tc>
        <w:tc>
          <w:tcPr>
            <w:tcW w:w="552" w:type="pct"/>
            <w:tcBorders>
              <w:top w:val="single" w:sz="4" w:space="0" w:color="auto"/>
              <w:left w:val="nil"/>
              <w:bottom w:val="single" w:sz="4" w:space="0" w:color="auto"/>
              <w:right w:val="single" w:sz="4" w:space="0" w:color="auto"/>
            </w:tcBorders>
            <w:vAlign w:val="bottom"/>
          </w:tcPr>
          <w:p w14:paraId="01304923" w14:textId="5E1FF862" w:rsidR="00510048" w:rsidRPr="00510048" w:rsidRDefault="00510048" w:rsidP="00510048">
            <w:pPr>
              <w:pStyle w:val="5TextocomnIIGG"/>
              <w:spacing w:after="120"/>
              <w:jc w:val="right"/>
              <w:rPr>
                <w:sz w:val="22"/>
                <w:szCs w:val="22"/>
              </w:rPr>
            </w:pPr>
            <w:r w:rsidRPr="00510048">
              <w:rPr>
                <w:sz w:val="22"/>
                <w:szCs w:val="22"/>
              </w:rPr>
              <w:t>-97,5</w:t>
            </w:r>
          </w:p>
        </w:tc>
      </w:tr>
      <w:tr w:rsidR="00510048" w:rsidRPr="00C540A0" w14:paraId="1AEE555B" w14:textId="77777777" w:rsidTr="00510048">
        <w:trPr>
          <w:jc w:val="center"/>
        </w:trPr>
        <w:tc>
          <w:tcPr>
            <w:tcW w:w="1070" w:type="pct"/>
          </w:tcPr>
          <w:p w14:paraId="20A09929" w14:textId="2324F68C" w:rsidR="00510048" w:rsidRPr="00C540A0" w:rsidRDefault="00510048" w:rsidP="00510048">
            <w:pPr>
              <w:pStyle w:val="5TextocomnIIGG"/>
              <w:spacing w:after="120"/>
            </w:pPr>
            <w:r w:rsidRPr="00F326F1">
              <w:rPr>
                <w:b/>
                <w:bCs/>
                <w:sz w:val="22"/>
                <w:szCs w:val="22"/>
              </w:rPr>
              <w:t>Total</w:t>
            </w:r>
          </w:p>
        </w:tc>
        <w:tc>
          <w:tcPr>
            <w:tcW w:w="571" w:type="pct"/>
            <w:tcBorders>
              <w:top w:val="single" w:sz="4" w:space="0" w:color="auto"/>
              <w:left w:val="nil"/>
              <w:bottom w:val="single" w:sz="4" w:space="0" w:color="auto"/>
              <w:right w:val="single" w:sz="4" w:space="0" w:color="auto"/>
            </w:tcBorders>
            <w:vAlign w:val="bottom"/>
          </w:tcPr>
          <w:p w14:paraId="4C206C3F" w14:textId="0B88B7EC" w:rsidR="00510048" w:rsidRPr="00510048" w:rsidRDefault="00510048" w:rsidP="00510048">
            <w:pPr>
              <w:pStyle w:val="5TextocomnIIGG"/>
              <w:spacing w:after="120"/>
              <w:jc w:val="right"/>
              <w:rPr>
                <w:sz w:val="22"/>
                <w:szCs w:val="22"/>
              </w:rPr>
            </w:pPr>
            <w:r w:rsidRPr="00510048">
              <w:rPr>
                <w:sz w:val="22"/>
                <w:szCs w:val="22"/>
              </w:rPr>
              <w:t>67</w:t>
            </w:r>
          </w:p>
        </w:tc>
        <w:tc>
          <w:tcPr>
            <w:tcW w:w="561" w:type="pct"/>
            <w:tcBorders>
              <w:top w:val="single" w:sz="4" w:space="0" w:color="auto"/>
              <w:left w:val="nil"/>
              <w:bottom w:val="single" w:sz="4" w:space="0" w:color="auto"/>
              <w:right w:val="single" w:sz="4" w:space="0" w:color="auto"/>
            </w:tcBorders>
            <w:vAlign w:val="bottom"/>
          </w:tcPr>
          <w:p w14:paraId="12E58920" w14:textId="170496ED" w:rsidR="00510048" w:rsidRPr="00510048" w:rsidRDefault="00510048" w:rsidP="00510048">
            <w:pPr>
              <w:pStyle w:val="5TextocomnIIGG"/>
              <w:spacing w:after="120"/>
              <w:jc w:val="right"/>
              <w:rPr>
                <w:sz w:val="22"/>
                <w:szCs w:val="22"/>
              </w:rPr>
            </w:pPr>
            <w:r w:rsidRPr="00510048">
              <w:rPr>
                <w:sz w:val="22"/>
                <w:szCs w:val="22"/>
              </w:rPr>
              <w:t>771</w:t>
            </w:r>
          </w:p>
        </w:tc>
        <w:tc>
          <w:tcPr>
            <w:tcW w:w="562" w:type="pct"/>
            <w:tcBorders>
              <w:top w:val="single" w:sz="4" w:space="0" w:color="auto"/>
              <w:left w:val="nil"/>
              <w:bottom w:val="single" w:sz="4" w:space="0" w:color="auto"/>
              <w:right w:val="single" w:sz="4" w:space="0" w:color="auto"/>
            </w:tcBorders>
            <w:vAlign w:val="bottom"/>
          </w:tcPr>
          <w:p w14:paraId="0ACA5B1B" w14:textId="261ED2CC" w:rsidR="00510048" w:rsidRPr="00510048" w:rsidRDefault="00510048" w:rsidP="00510048">
            <w:pPr>
              <w:pStyle w:val="5TextocomnIIGG"/>
              <w:spacing w:after="120"/>
              <w:jc w:val="right"/>
              <w:rPr>
                <w:sz w:val="22"/>
                <w:szCs w:val="22"/>
              </w:rPr>
            </w:pPr>
            <w:r w:rsidRPr="00510048">
              <w:rPr>
                <w:sz w:val="22"/>
                <w:szCs w:val="22"/>
              </w:rPr>
              <w:t>835</w:t>
            </w:r>
          </w:p>
        </w:tc>
        <w:tc>
          <w:tcPr>
            <w:tcW w:w="519" w:type="pct"/>
            <w:tcBorders>
              <w:top w:val="single" w:sz="4" w:space="0" w:color="auto"/>
              <w:left w:val="nil"/>
              <w:bottom w:val="single" w:sz="4" w:space="0" w:color="auto"/>
              <w:right w:val="single" w:sz="4" w:space="0" w:color="auto"/>
            </w:tcBorders>
            <w:vAlign w:val="bottom"/>
          </w:tcPr>
          <w:p w14:paraId="1015E36B" w14:textId="0789A7A4" w:rsidR="00510048" w:rsidRPr="00510048" w:rsidRDefault="00510048" w:rsidP="00510048">
            <w:pPr>
              <w:pStyle w:val="5TextocomnIIGG"/>
              <w:spacing w:after="120"/>
              <w:jc w:val="right"/>
              <w:rPr>
                <w:sz w:val="22"/>
                <w:szCs w:val="22"/>
              </w:rPr>
            </w:pPr>
            <w:r w:rsidRPr="00510048">
              <w:rPr>
                <w:sz w:val="22"/>
                <w:szCs w:val="22"/>
              </w:rPr>
              <w:t>228</w:t>
            </w:r>
          </w:p>
        </w:tc>
        <w:tc>
          <w:tcPr>
            <w:tcW w:w="604" w:type="pct"/>
            <w:tcBorders>
              <w:top w:val="single" w:sz="4" w:space="0" w:color="auto"/>
              <w:left w:val="nil"/>
              <w:bottom w:val="single" w:sz="4" w:space="0" w:color="auto"/>
              <w:right w:val="single" w:sz="4" w:space="0" w:color="auto"/>
            </w:tcBorders>
            <w:vAlign w:val="bottom"/>
          </w:tcPr>
          <w:p w14:paraId="32C233B9" w14:textId="46F0F5A6" w:rsidR="00510048" w:rsidRPr="00510048" w:rsidRDefault="00510048" w:rsidP="00510048">
            <w:pPr>
              <w:pStyle w:val="5TextocomnIIGG"/>
              <w:spacing w:after="120"/>
              <w:jc w:val="right"/>
              <w:rPr>
                <w:sz w:val="22"/>
                <w:szCs w:val="22"/>
              </w:rPr>
            </w:pPr>
            <w:r w:rsidRPr="00510048">
              <w:rPr>
                <w:sz w:val="22"/>
                <w:szCs w:val="22"/>
              </w:rPr>
              <w:t>232,5</w:t>
            </w:r>
          </w:p>
        </w:tc>
        <w:tc>
          <w:tcPr>
            <w:tcW w:w="561" w:type="pct"/>
            <w:tcBorders>
              <w:top w:val="single" w:sz="4" w:space="0" w:color="auto"/>
              <w:left w:val="nil"/>
              <w:bottom w:val="single" w:sz="4" w:space="0" w:color="auto"/>
              <w:right w:val="single" w:sz="4" w:space="0" w:color="auto"/>
            </w:tcBorders>
            <w:vAlign w:val="bottom"/>
          </w:tcPr>
          <w:p w14:paraId="5F470E5B" w14:textId="250CCE8D" w:rsidR="00510048" w:rsidRPr="00510048" w:rsidRDefault="00510048" w:rsidP="00510048">
            <w:pPr>
              <w:pStyle w:val="5TextocomnIIGG"/>
              <w:spacing w:after="120"/>
              <w:jc w:val="right"/>
              <w:rPr>
                <w:sz w:val="22"/>
                <w:szCs w:val="22"/>
              </w:rPr>
            </w:pPr>
            <w:r w:rsidRPr="00510048">
              <w:rPr>
                <w:sz w:val="22"/>
                <w:szCs w:val="22"/>
              </w:rPr>
              <w:t>8,9</w:t>
            </w:r>
          </w:p>
        </w:tc>
        <w:tc>
          <w:tcPr>
            <w:tcW w:w="552" w:type="pct"/>
            <w:tcBorders>
              <w:top w:val="single" w:sz="4" w:space="0" w:color="auto"/>
              <w:left w:val="nil"/>
              <w:bottom w:val="single" w:sz="4" w:space="0" w:color="auto"/>
              <w:right w:val="single" w:sz="4" w:space="0" w:color="auto"/>
            </w:tcBorders>
            <w:vAlign w:val="bottom"/>
          </w:tcPr>
          <w:p w14:paraId="43FEA435" w14:textId="775CCA9D" w:rsidR="00510048" w:rsidRPr="00510048" w:rsidRDefault="00510048" w:rsidP="00510048">
            <w:pPr>
              <w:pStyle w:val="5TextocomnIIGG"/>
              <w:spacing w:after="120"/>
              <w:jc w:val="right"/>
              <w:rPr>
                <w:sz w:val="22"/>
                <w:szCs w:val="22"/>
              </w:rPr>
            </w:pPr>
            <w:r w:rsidRPr="00510048">
              <w:rPr>
                <w:sz w:val="22"/>
                <w:szCs w:val="22"/>
              </w:rPr>
              <w:t>-112,3</w:t>
            </w:r>
          </w:p>
        </w:tc>
      </w:tr>
    </w:tbl>
    <w:p w14:paraId="27BE4B8B" w14:textId="4FC66F2B" w:rsidR="004E0C32" w:rsidRDefault="00510048" w:rsidP="004E0C32">
      <w:pPr>
        <w:pStyle w:val="8FigurasyTablasFuenteyoelaboracin"/>
        <w:spacing w:after="120"/>
      </w:pPr>
      <w:r w:rsidRPr="00510048">
        <w:t>Fuente: INDEC, CNPyV 1991 y CNPHyV, 2001, 2010 y 2022. Elaboración propia</w:t>
      </w:r>
    </w:p>
    <w:p w14:paraId="40F4B2B2" w14:textId="6672E8A7" w:rsidR="00510048" w:rsidRDefault="0071453A" w:rsidP="0071453A">
      <w:pPr>
        <w:pStyle w:val="5TextocomnIIGG"/>
        <w:spacing w:after="120"/>
        <w:ind w:firstLine="567"/>
      </w:pPr>
      <w:r w:rsidRPr="0071453A">
        <w:t>Respecto al primer punto, a diferencia del comportamiento que pueden llegar a tener destinos turísticos asociados con la modalidad de turismo urbano, el sudeste bonaerense, dependiente del turismo de sol y playa, se caracteriza por poseer una marcada estacionalidad turística, con cierre de establecimientos hacia el invierno y reanudación de los servicios hacia el verano. Esta dinámica se trasluce al observar en la Tabla 4 que los valores correspondientes a los censos ejecutados en un mes otoñal como mayo son generalmente menores a los resultados de los censos llevados a cabo en los meses primaverales de octubre y noviembre.</w:t>
      </w:r>
    </w:p>
    <w:p w14:paraId="5F9AC782" w14:textId="4C1BFC48" w:rsidR="0071453A" w:rsidRDefault="0071453A" w:rsidP="0071453A">
      <w:pPr>
        <w:pStyle w:val="5TextocomnIIGG"/>
        <w:spacing w:after="120"/>
        <w:ind w:firstLine="567"/>
      </w:pPr>
      <w:r w:rsidRPr="0071453A">
        <w:t>En relación al segundo punto, el hecho de que en los censos de derecho solo se contabilicen las viviendas colectivas que contienen al menos una persona como huésped, interno o paciente habitual, es decir, que reside allí la mayor parte de la semana (cuatro días o más), descartando de esta manera al resto de las viviendas colectivas que sí se incluyeron entre los resultados definitivos de los censos anteriores, afecta definitivamente el análisis comparativo de esta variable en el sentido longitudinal. A pesar de que el INDEC exponga argumentos que justifican la comparabilidad entre los resultados del censo 2022 y sus antecesores</w:t>
      </w:r>
      <w:r w:rsidR="00296B64">
        <w:rPr>
          <w:rStyle w:val="Refdenotaalpie"/>
        </w:rPr>
        <w:footnoteReference w:id="6"/>
      </w:r>
      <w:r w:rsidRPr="0071453A">
        <w:t>, en el caso específico de esta unidad de cuenta se hace evidente el perjuicio sobre un objetivo de carácter comparativo. Además, otra particularidad que reviste el último censo, y que influye especialmente sobre esta variable, concierne al impacto de la pandemia y a la recuperación del sector hotelero y parahotelero, aun durante el transcurso del 2022. A modo de ejemplo, medios de orden nacional informaban durante 2021 que, en Mar del Plata, más de 200 hoteles habían bajado sus persianas a causa de la crisis sanitaria</w:t>
      </w:r>
      <w:r w:rsidR="00296B64">
        <w:rPr>
          <w:rStyle w:val="Refdenotaalpie"/>
        </w:rPr>
        <w:footnoteReference w:id="7"/>
      </w:r>
      <w:r w:rsidRPr="0071453A">
        <w:t>.</w:t>
      </w:r>
    </w:p>
    <w:p w14:paraId="2263663B" w14:textId="50CF7B20" w:rsidR="00296B64" w:rsidRDefault="00296B64" w:rsidP="0071453A">
      <w:pPr>
        <w:pStyle w:val="5TextocomnIIGG"/>
        <w:spacing w:after="120"/>
        <w:ind w:firstLine="567"/>
      </w:pPr>
      <w:r w:rsidRPr="00296B64">
        <w:t xml:space="preserve">A la luz de estas observaciones, los ritmos de crecimiento que se añaden en la Tabla 4 devienen en datos de formalidad y cuyo análisis pierde sentido. Como estrategia alternativa para resolver estos problemas de los CNPHyV e identificar cambios y continuidades a través de un indicador representativo de esta fuente, se incorpora en la Figura </w:t>
      </w:r>
      <w:r>
        <w:t>4</w:t>
      </w:r>
      <w:r w:rsidRPr="00296B64">
        <w:t xml:space="preserve"> la distribución espacial del porcentaje de alojamientos turísticos que capta cada partido sobre el total regional, seriada censo por censo. En este sentido, se observa que solamente Pinamar absorbe una proporción cada vez mayor de alojamientos, y que Ayacucho, General Juan Madariaga, General Pueyrredon, Lobería y San Cayetano tienen un comportamiento opuesto. Independientemente del mes y tipo de operativo censal, como continuidad resalta el rol dominante que mantiene </w:t>
      </w:r>
      <w:r w:rsidRPr="00296B64">
        <w:lastRenderedPageBreak/>
        <w:t>General Pueyrredon y como cambio se puede señalar la mayor participación que, poco a poco, ganan el resto de los partidos que conforman el sudeste bonaerense. Esto puede ser tomando en cuenta como evidencia empírica de que, durante la última década del siglo XX y las primeras del siglo XXI, la actividad turística continuó expandiéndose y consolidándose más allá de su epicentro urbano originario.</w:t>
      </w:r>
    </w:p>
    <w:p w14:paraId="013E2CEC" w14:textId="77777777" w:rsidR="00F90F49" w:rsidRDefault="00F90F49" w:rsidP="0071453A">
      <w:pPr>
        <w:pStyle w:val="5TextocomnIIGG"/>
        <w:spacing w:after="120"/>
        <w:ind w:firstLine="567"/>
      </w:pPr>
    </w:p>
    <w:p w14:paraId="5302D45B" w14:textId="3544E799" w:rsidR="003429BB" w:rsidRDefault="003429BB" w:rsidP="003429BB">
      <w:pPr>
        <w:pStyle w:val="7FigurasytablasencabezadoIIGG"/>
        <w:rPr>
          <w:b/>
          <w:bCs/>
        </w:rPr>
      </w:pPr>
      <w:r w:rsidRPr="00F90F49">
        <w:rPr>
          <w:b/>
          <w:bCs/>
        </w:rPr>
        <w:t>Figura 4. Partidos del sudeste de la Provincia de Buenos Aires: evolución espacial del porcentaje de viviendas colectivas censadas como alojamiento turístico sobre el total regional, 1991, 2001, 2010 y 2022</w:t>
      </w:r>
    </w:p>
    <w:p w14:paraId="133CAE7A" w14:textId="67B45055" w:rsidR="00AD746C" w:rsidRDefault="00AD746C" w:rsidP="003429BB">
      <w:pPr>
        <w:pStyle w:val="7FigurasytablasencabezadoIIGG"/>
        <w:rPr>
          <w:b/>
          <w:bCs/>
        </w:rPr>
      </w:pPr>
      <w:r w:rsidRPr="00AD746C">
        <w:rPr>
          <w:noProof/>
        </w:rPr>
        <w:drawing>
          <wp:inline distT="0" distB="0" distL="0" distR="0" wp14:anchorId="5D9359B3" wp14:editId="7880456A">
            <wp:extent cx="5759450" cy="4347845"/>
            <wp:effectExtent l="0" t="0" r="0" b="0"/>
            <wp:docPr id="2103877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47845"/>
                    </a:xfrm>
                    <a:prstGeom prst="rect">
                      <a:avLst/>
                    </a:prstGeom>
                    <a:noFill/>
                    <a:ln>
                      <a:noFill/>
                    </a:ln>
                  </pic:spPr>
                </pic:pic>
              </a:graphicData>
            </a:graphic>
          </wp:inline>
        </w:drawing>
      </w:r>
    </w:p>
    <w:p w14:paraId="55E97B93" w14:textId="66F102A7" w:rsidR="003429BB" w:rsidRDefault="003429BB" w:rsidP="003429BB">
      <w:pPr>
        <w:pStyle w:val="5TextocomnIIGG"/>
        <w:spacing w:after="120"/>
        <w:jc w:val="center"/>
      </w:pPr>
      <w:r w:rsidRPr="00026DAC">
        <w:t xml:space="preserve">Fuente: </w:t>
      </w:r>
      <w:r w:rsidRPr="00417073">
        <w:t>INDEC</w:t>
      </w:r>
      <w:r>
        <w:t xml:space="preserve">, CNPyV 1991 y </w:t>
      </w:r>
      <w:r w:rsidRPr="00417073">
        <w:t>CNPHyV, 2001, 2010 y 2022. Elaboración propi</w:t>
      </w:r>
      <w:r>
        <w:t>a</w:t>
      </w:r>
    </w:p>
    <w:p w14:paraId="41CCB99C" w14:textId="65913EB4" w:rsidR="004E0C32" w:rsidRDefault="003429BB" w:rsidP="003429BB">
      <w:pPr>
        <w:pStyle w:val="5TextocomnIIGG"/>
        <w:spacing w:after="120"/>
        <w:ind w:firstLine="567"/>
      </w:pPr>
      <w:r w:rsidRPr="003429BB">
        <w:t>En lo que respecta a los CNA, y al igual que en otros casos (Maldonado</w:t>
      </w:r>
      <w:r>
        <w:t xml:space="preserve">, </w:t>
      </w:r>
      <w:r w:rsidRPr="002615AF">
        <w:t>Bustamante, Galfioni, Lucero</w:t>
      </w:r>
      <w:r>
        <w:t xml:space="preserve"> y</w:t>
      </w:r>
      <w:r w:rsidRPr="002615AF">
        <w:t xml:space="preserve"> Picciani,</w:t>
      </w:r>
      <w:r w:rsidRPr="003429BB">
        <w:t xml:space="preserve"> 2024), la Tabla 5 revela que la cantidad de EAPs con prestación de servicios turístico-recreativos experimentó, a escala regional, una disminución significativa. A pesar de la exigua oferta, durante el período intercensal 2002-2018 la mayoría de los partidos muestra una marcada reducción, con valores que rondan entre 50 y 100%. Los únicos distritos con variación positiva fueron Lobería y San Cayetano, aunque se siguió tratando de valores absolutos mínimos. Junto a Tandil, estas tres jurisdicciones sustituyeron a otras en la función de otorgar alojamiento dentro de establecimientos agropecuarios. Tomando, nuevamente, el aporte que cada jurisdicción realiza al total de alojamientos de la región, los mapas de la Figura 5 exponen la redistribución espacial integral que sufrió este tipo de oferta, la cual, vale considerar, suele enfocarse en nichos específicos de la demanda o segmentos muy particulares de la población. Si se tiene en cuenta el auge en la actualidad del turismo alternativo basado en emprendimientos o iniciativas promocionadas comúnmente como sustentables, especiales, </w:t>
      </w:r>
      <w:r w:rsidRPr="003429BB">
        <w:lastRenderedPageBreak/>
        <w:t xml:space="preserve">personalizadas o exclusivas, los resultados que emanan del tratamiento de esta fuente </w:t>
      </w:r>
      <w:r>
        <w:t>estadística</w:t>
      </w:r>
      <w:r w:rsidRPr="003429BB">
        <w:t xml:space="preserve"> son en verdad llamativos. Posiblemente, factores como la menor necesidad de complementar los ingresos procedentes de las actividades agropecuarias, los altos costos de inversión que se requieren para poner en marcha y mantener proyectos de esta clase y el apoyo institucional influyeron sobre la situación retratada.</w:t>
      </w:r>
    </w:p>
    <w:p w14:paraId="6E35BDEC" w14:textId="77777777" w:rsidR="00F90F49" w:rsidRDefault="00F90F49" w:rsidP="003429BB">
      <w:pPr>
        <w:pStyle w:val="5TextocomnIIGG"/>
        <w:spacing w:after="120"/>
        <w:ind w:firstLine="567"/>
      </w:pPr>
    </w:p>
    <w:p w14:paraId="689E6104" w14:textId="16A0F3BB" w:rsidR="00AB4522" w:rsidRPr="00F90F49" w:rsidRDefault="00AB4522" w:rsidP="00AB4522">
      <w:pPr>
        <w:pStyle w:val="7FigurasytablasencabezadoIIGG"/>
        <w:rPr>
          <w:b/>
          <w:bCs/>
        </w:rPr>
      </w:pPr>
      <w:r w:rsidRPr="00F90F49">
        <w:rPr>
          <w:b/>
          <w:bCs/>
        </w:rPr>
        <w:t>Tabla 5. Partidos del sudeste de la Provincia de Buenos Aires: EAPs con turismo y recreación y EAPs con inclusión de hospedaje, total y variación porcentual, 2002 y 2018</w:t>
      </w:r>
    </w:p>
    <w:tbl>
      <w:tblPr>
        <w:tblStyle w:val="Tablaconcuadrcula"/>
        <w:tblW w:w="5000" w:type="pct"/>
        <w:jc w:val="center"/>
        <w:tblLook w:val="04A0" w:firstRow="1" w:lastRow="0" w:firstColumn="1" w:lastColumn="0" w:noHBand="0" w:noVBand="1"/>
      </w:tblPr>
      <w:tblGrid>
        <w:gridCol w:w="1760"/>
        <w:gridCol w:w="1296"/>
        <w:gridCol w:w="1137"/>
        <w:gridCol w:w="1296"/>
        <w:gridCol w:w="1138"/>
        <w:gridCol w:w="1296"/>
        <w:gridCol w:w="1137"/>
      </w:tblGrid>
      <w:tr w:rsidR="00AB4522" w:rsidRPr="00C540A0" w14:paraId="25214C3A" w14:textId="77777777" w:rsidTr="00DE587B">
        <w:trPr>
          <w:trHeight w:val="291"/>
          <w:jc w:val="center"/>
        </w:trPr>
        <w:tc>
          <w:tcPr>
            <w:tcW w:w="972" w:type="pct"/>
            <w:vMerge w:val="restart"/>
          </w:tcPr>
          <w:p w14:paraId="1B1CB410" w14:textId="0CD70F87" w:rsidR="00AB4522" w:rsidRPr="00D821B0" w:rsidRDefault="00AB4522" w:rsidP="00AB4522">
            <w:pPr>
              <w:pStyle w:val="5TextocomnIIGG"/>
              <w:spacing w:after="120"/>
              <w:jc w:val="center"/>
              <w:rPr>
                <w:b/>
              </w:rPr>
            </w:pPr>
            <w:r>
              <w:rPr>
                <w:b/>
              </w:rPr>
              <w:t>Partidos</w:t>
            </w:r>
          </w:p>
        </w:tc>
        <w:tc>
          <w:tcPr>
            <w:tcW w:w="1343" w:type="pct"/>
            <w:gridSpan w:val="2"/>
            <w:tcBorders>
              <w:top w:val="single" w:sz="4" w:space="0" w:color="auto"/>
              <w:left w:val="single" w:sz="4" w:space="0" w:color="auto"/>
              <w:bottom w:val="single" w:sz="4" w:space="0" w:color="auto"/>
              <w:right w:val="single" w:sz="4" w:space="0" w:color="auto"/>
            </w:tcBorders>
            <w:vAlign w:val="center"/>
          </w:tcPr>
          <w:p w14:paraId="75CEB02B" w14:textId="3A8D6534" w:rsidR="00AB4522" w:rsidRPr="004E0C32" w:rsidRDefault="00AB4522" w:rsidP="00AB4522">
            <w:pPr>
              <w:pStyle w:val="5TextocomnIIGG"/>
              <w:spacing w:after="120"/>
              <w:jc w:val="center"/>
              <w:rPr>
                <w:b/>
              </w:rPr>
            </w:pPr>
            <w:r w:rsidRPr="00AB4522">
              <w:rPr>
                <w:b/>
              </w:rPr>
              <w:t>2002</w:t>
            </w:r>
          </w:p>
        </w:tc>
        <w:tc>
          <w:tcPr>
            <w:tcW w:w="1343" w:type="pct"/>
            <w:gridSpan w:val="2"/>
            <w:tcBorders>
              <w:top w:val="single" w:sz="4" w:space="0" w:color="auto"/>
              <w:left w:val="single" w:sz="4" w:space="0" w:color="auto"/>
              <w:bottom w:val="single" w:sz="4" w:space="0" w:color="auto"/>
              <w:right w:val="single" w:sz="4" w:space="0" w:color="auto"/>
            </w:tcBorders>
            <w:vAlign w:val="center"/>
          </w:tcPr>
          <w:p w14:paraId="567170F1" w14:textId="5D705C2C" w:rsidR="00AB4522" w:rsidRPr="00AB4522" w:rsidRDefault="00AB4522" w:rsidP="00AB4522">
            <w:pPr>
              <w:pStyle w:val="5TextocomnIIGG"/>
              <w:spacing w:after="120"/>
              <w:jc w:val="center"/>
              <w:rPr>
                <w:b/>
              </w:rPr>
            </w:pPr>
            <w:r w:rsidRPr="00AB4522">
              <w:rPr>
                <w:b/>
              </w:rPr>
              <w:t>2018</w:t>
            </w:r>
          </w:p>
        </w:tc>
        <w:tc>
          <w:tcPr>
            <w:tcW w:w="1343" w:type="pct"/>
            <w:gridSpan w:val="2"/>
            <w:tcBorders>
              <w:top w:val="single" w:sz="4" w:space="0" w:color="auto"/>
              <w:left w:val="single" w:sz="4" w:space="0" w:color="auto"/>
              <w:bottom w:val="single" w:sz="4" w:space="0" w:color="auto"/>
            </w:tcBorders>
            <w:vAlign w:val="center"/>
          </w:tcPr>
          <w:p w14:paraId="4A1F65D6" w14:textId="5E9C3788" w:rsidR="00AB4522" w:rsidRPr="00510048" w:rsidRDefault="00AB4522" w:rsidP="00AB4522">
            <w:pPr>
              <w:pStyle w:val="5TextocomnIIGG"/>
              <w:spacing w:after="120"/>
              <w:jc w:val="center"/>
              <w:rPr>
                <w:b/>
              </w:rPr>
            </w:pPr>
            <w:r w:rsidRPr="00AB4522">
              <w:rPr>
                <w:b/>
              </w:rPr>
              <w:t>Variación</w:t>
            </w:r>
            <w:r>
              <w:rPr>
                <w:b/>
              </w:rPr>
              <w:t xml:space="preserve"> </w:t>
            </w:r>
            <w:r w:rsidRPr="00AB4522">
              <w:rPr>
                <w:b/>
              </w:rPr>
              <w:t>(%)</w:t>
            </w:r>
          </w:p>
        </w:tc>
      </w:tr>
      <w:tr w:rsidR="00AB4522" w:rsidRPr="00C540A0" w14:paraId="30CA331A" w14:textId="77777777" w:rsidTr="00DE587B">
        <w:trPr>
          <w:trHeight w:val="291"/>
          <w:jc w:val="center"/>
        </w:trPr>
        <w:tc>
          <w:tcPr>
            <w:tcW w:w="972" w:type="pct"/>
            <w:vMerge/>
          </w:tcPr>
          <w:p w14:paraId="617E7342" w14:textId="77777777" w:rsidR="00AB4522" w:rsidRPr="00D821B0" w:rsidRDefault="00AB4522" w:rsidP="00AB4522">
            <w:pPr>
              <w:pStyle w:val="5TextocomnIIGG"/>
              <w:spacing w:after="120"/>
              <w:jc w:val="center"/>
              <w:rPr>
                <w:b/>
              </w:rPr>
            </w:pPr>
          </w:p>
        </w:tc>
        <w:tc>
          <w:tcPr>
            <w:tcW w:w="715" w:type="pct"/>
            <w:tcBorders>
              <w:top w:val="single" w:sz="4" w:space="0" w:color="auto"/>
              <w:left w:val="nil"/>
              <w:bottom w:val="single" w:sz="4" w:space="0" w:color="auto"/>
              <w:right w:val="single" w:sz="4" w:space="0" w:color="auto"/>
            </w:tcBorders>
            <w:vAlign w:val="center"/>
          </w:tcPr>
          <w:p w14:paraId="4B189586" w14:textId="32514764" w:rsidR="00AB4522" w:rsidRPr="004E0C32" w:rsidRDefault="00AB4522" w:rsidP="00AB4522">
            <w:pPr>
              <w:pStyle w:val="5TextocomnIIGG"/>
              <w:spacing w:after="120"/>
              <w:jc w:val="center"/>
              <w:rPr>
                <w:b/>
              </w:rPr>
            </w:pPr>
            <w:r w:rsidRPr="00AB4522">
              <w:rPr>
                <w:b/>
              </w:rPr>
              <w:t xml:space="preserve">EAPs con turismo y recreación </w:t>
            </w:r>
          </w:p>
        </w:tc>
        <w:tc>
          <w:tcPr>
            <w:tcW w:w="627" w:type="pct"/>
            <w:tcBorders>
              <w:top w:val="single" w:sz="4" w:space="0" w:color="auto"/>
              <w:left w:val="nil"/>
              <w:bottom w:val="single" w:sz="4" w:space="0" w:color="auto"/>
              <w:right w:val="single" w:sz="4" w:space="0" w:color="auto"/>
            </w:tcBorders>
            <w:vAlign w:val="center"/>
          </w:tcPr>
          <w:p w14:paraId="092D1AC3" w14:textId="732C8883" w:rsidR="00AB4522" w:rsidRPr="004E0C32" w:rsidRDefault="00AB4522" w:rsidP="00AB4522">
            <w:pPr>
              <w:pStyle w:val="5TextocomnIIGG"/>
              <w:spacing w:after="120"/>
              <w:jc w:val="center"/>
              <w:rPr>
                <w:b/>
              </w:rPr>
            </w:pPr>
            <w:r w:rsidRPr="00AB4522">
              <w:rPr>
                <w:b/>
              </w:rPr>
              <w:t>EAPs con hospeda-je</w:t>
            </w:r>
          </w:p>
        </w:tc>
        <w:tc>
          <w:tcPr>
            <w:tcW w:w="715" w:type="pct"/>
            <w:tcBorders>
              <w:top w:val="single" w:sz="4" w:space="0" w:color="auto"/>
              <w:left w:val="nil"/>
              <w:bottom w:val="single" w:sz="4" w:space="0" w:color="auto"/>
              <w:right w:val="single" w:sz="4" w:space="0" w:color="auto"/>
            </w:tcBorders>
            <w:vAlign w:val="center"/>
          </w:tcPr>
          <w:p w14:paraId="22685F97" w14:textId="0E7E0AD8" w:rsidR="00AB4522" w:rsidRPr="004E0C32" w:rsidRDefault="00AB4522" w:rsidP="00AB4522">
            <w:pPr>
              <w:pStyle w:val="5TextocomnIIGG"/>
              <w:spacing w:after="120"/>
              <w:jc w:val="center"/>
              <w:rPr>
                <w:b/>
              </w:rPr>
            </w:pPr>
            <w:r w:rsidRPr="00AB4522">
              <w:rPr>
                <w:b/>
              </w:rPr>
              <w:t xml:space="preserve">EAPs con turismo y recreación </w:t>
            </w:r>
          </w:p>
        </w:tc>
        <w:tc>
          <w:tcPr>
            <w:tcW w:w="627" w:type="pct"/>
            <w:tcBorders>
              <w:top w:val="single" w:sz="4" w:space="0" w:color="auto"/>
              <w:left w:val="nil"/>
              <w:bottom w:val="single" w:sz="4" w:space="0" w:color="auto"/>
              <w:right w:val="single" w:sz="4" w:space="0" w:color="auto"/>
            </w:tcBorders>
            <w:vAlign w:val="center"/>
          </w:tcPr>
          <w:p w14:paraId="1927F8E7" w14:textId="1472C0AF" w:rsidR="00AB4522" w:rsidRPr="00AB4522" w:rsidRDefault="00AB4522" w:rsidP="00AB4522">
            <w:pPr>
              <w:pStyle w:val="5TextocomnIIGG"/>
              <w:spacing w:after="120"/>
              <w:jc w:val="center"/>
              <w:rPr>
                <w:b/>
              </w:rPr>
            </w:pPr>
            <w:r w:rsidRPr="00AB4522">
              <w:rPr>
                <w:b/>
              </w:rPr>
              <w:t>EAPs con hospeda-je</w:t>
            </w:r>
          </w:p>
        </w:tc>
        <w:tc>
          <w:tcPr>
            <w:tcW w:w="715" w:type="pct"/>
            <w:tcBorders>
              <w:top w:val="single" w:sz="4" w:space="0" w:color="auto"/>
              <w:left w:val="nil"/>
              <w:bottom w:val="single" w:sz="4" w:space="0" w:color="auto"/>
              <w:right w:val="single" w:sz="4" w:space="0" w:color="auto"/>
            </w:tcBorders>
            <w:vAlign w:val="center"/>
          </w:tcPr>
          <w:p w14:paraId="2D846F9D" w14:textId="1156C69B" w:rsidR="00AB4522" w:rsidRPr="00510048" w:rsidRDefault="00AB4522" w:rsidP="00AB4522">
            <w:pPr>
              <w:pStyle w:val="5TextocomnIIGG"/>
              <w:spacing w:after="120"/>
              <w:jc w:val="center"/>
              <w:rPr>
                <w:b/>
              </w:rPr>
            </w:pPr>
            <w:r w:rsidRPr="00AB4522">
              <w:rPr>
                <w:b/>
              </w:rPr>
              <w:t>EAPs con turismo y recreación</w:t>
            </w:r>
          </w:p>
        </w:tc>
        <w:tc>
          <w:tcPr>
            <w:tcW w:w="627" w:type="pct"/>
            <w:tcBorders>
              <w:top w:val="single" w:sz="4" w:space="0" w:color="auto"/>
              <w:left w:val="nil"/>
              <w:bottom w:val="single" w:sz="4" w:space="0" w:color="auto"/>
            </w:tcBorders>
            <w:vAlign w:val="center"/>
          </w:tcPr>
          <w:p w14:paraId="4CBAAEA1" w14:textId="490DD14B" w:rsidR="00AB4522" w:rsidRPr="00510048" w:rsidRDefault="00AB4522" w:rsidP="00AB4522">
            <w:pPr>
              <w:pStyle w:val="5TextocomnIIGG"/>
              <w:spacing w:after="120"/>
              <w:jc w:val="center"/>
              <w:rPr>
                <w:b/>
              </w:rPr>
            </w:pPr>
            <w:r w:rsidRPr="00AB4522">
              <w:rPr>
                <w:b/>
              </w:rPr>
              <w:t>EAPs con hospeda-je</w:t>
            </w:r>
          </w:p>
        </w:tc>
      </w:tr>
      <w:tr w:rsidR="00DE587B" w:rsidRPr="00C540A0" w14:paraId="626C0E06" w14:textId="77777777" w:rsidTr="00DE587B">
        <w:trPr>
          <w:jc w:val="center"/>
        </w:trPr>
        <w:tc>
          <w:tcPr>
            <w:tcW w:w="972" w:type="pct"/>
          </w:tcPr>
          <w:p w14:paraId="36AE302F" w14:textId="77777777" w:rsidR="00DE587B" w:rsidRPr="00C540A0" w:rsidRDefault="00DE587B" w:rsidP="00DE587B">
            <w:pPr>
              <w:pStyle w:val="5TextocomnIIGG"/>
              <w:spacing w:after="120"/>
            </w:pPr>
            <w:r w:rsidRPr="00F326F1">
              <w:rPr>
                <w:sz w:val="22"/>
                <w:szCs w:val="22"/>
              </w:rPr>
              <w:t>Ayacucho</w:t>
            </w:r>
          </w:p>
        </w:tc>
        <w:tc>
          <w:tcPr>
            <w:tcW w:w="715" w:type="pct"/>
            <w:tcBorders>
              <w:top w:val="single" w:sz="4" w:space="0" w:color="auto"/>
              <w:left w:val="single" w:sz="4" w:space="0" w:color="auto"/>
              <w:right w:val="single" w:sz="4" w:space="0" w:color="auto"/>
            </w:tcBorders>
            <w:vAlign w:val="bottom"/>
          </w:tcPr>
          <w:p w14:paraId="537B3DD6" w14:textId="43113B48"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single" w:sz="4" w:space="0" w:color="auto"/>
              <w:left w:val="single" w:sz="4" w:space="0" w:color="auto"/>
              <w:right w:val="single" w:sz="4" w:space="0" w:color="auto"/>
            </w:tcBorders>
            <w:vAlign w:val="bottom"/>
          </w:tcPr>
          <w:p w14:paraId="3A000E83" w14:textId="071C0A4F"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single" w:sz="4" w:space="0" w:color="auto"/>
              <w:left w:val="single" w:sz="4" w:space="0" w:color="auto"/>
              <w:right w:val="single" w:sz="4" w:space="0" w:color="auto"/>
            </w:tcBorders>
            <w:vAlign w:val="bottom"/>
          </w:tcPr>
          <w:p w14:paraId="2F399447" w14:textId="59C4214F"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single" w:sz="4" w:space="0" w:color="auto"/>
              <w:left w:val="single" w:sz="4" w:space="0" w:color="auto"/>
              <w:right w:val="single" w:sz="4" w:space="0" w:color="auto"/>
            </w:tcBorders>
            <w:vAlign w:val="bottom"/>
          </w:tcPr>
          <w:p w14:paraId="4EFA35B8" w14:textId="543EBEC5"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single" w:sz="4" w:space="0" w:color="auto"/>
              <w:left w:val="single" w:sz="4" w:space="0" w:color="auto"/>
              <w:right w:val="single" w:sz="4" w:space="0" w:color="auto"/>
            </w:tcBorders>
            <w:vAlign w:val="bottom"/>
          </w:tcPr>
          <w:p w14:paraId="6FEBAA15" w14:textId="06297B10" w:rsidR="00DE587B" w:rsidRPr="00510048" w:rsidRDefault="00DE587B" w:rsidP="00DE587B">
            <w:pPr>
              <w:pStyle w:val="5TextocomnIIGG"/>
              <w:spacing w:after="120"/>
              <w:jc w:val="right"/>
              <w:rPr>
                <w:sz w:val="22"/>
                <w:szCs w:val="22"/>
              </w:rPr>
            </w:pPr>
            <w:r w:rsidRPr="00DE587B">
              <w:rPr>
                <w:sz w:val="22"/>
                <w:szCs w:val="22"/>
              </w:rPr>
              <w:t> ---</w:t>
            </w:r>
          </w:p>
        </w:tc>
        <w:tc>
          <w:tcPr>
            <w:tcW w:w="627" w:type="pct"/>
            <w:tcBorders>
              <w:top w:val="single" w:sz="4" w:space="0" w:color="auto"/>
              <w:left w:val="single" w:sz="4" w:space="0" w:color="auto"/>
            </w:tcBorders>
            <w:vAlign w:val="bottom"/>
          </w:tcPr>
          <w:p w14:paraId="3EE8EA74" w14:textId="0062D315"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2B0DA729" w14:textId="77777777" w:rsidTr="00DE587B">
        <w:trPr>
          <w:jc w:val="center"/>
        </w:trPr>
        <w:tc>
          <w:tcPr>
            <w:tcW w:w="972" w:type="pct"/>
          </w:tcPr>
          <w:p w14:paraId="6662F5A3" w14:textId="77777777" w:rsidR="00DE587B" w:rsidRPr="00C540A0" w:rsidRDefault="00DE587B" w:rsidP="00DE587B">
            <w:pPr>
              <w:pStyle w:val="5TextocomnIIGG"/>
              <w:spacing w:after="120"/>
            </w:pPr>
            <w:r w:rsidRPr="00F326F1">
              <w:rPr>
                <w:sz w:val="22"/>
                <w:szCs w:val="22"/>
              </w:rPr>
              <w:t>Balcarce</w:t>
            </w:r>
          </w:p>
        </w:tc>
        <w:tc>
          <w:tcPr>
            <w:tcW w:w="715" w:type="pct"/>
            <w:tcBorders>
              <w:left w:val="single" w:sz="4" w:space="0" w:color="auto"/>
              <w:right w:val="single" w:sz="4" w:space="0" w:color="auto"/>
            </w:tcBorders>
            <w:vAlign w:val="bottom"/>
          </w:tcPr>
          <w:p w14:paraId="7D7658E9" w14:textId="6A487DEE"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left w:val="single" w:sz="4" w:space="0" w:color="auto"/>
              <w:right w:val="single" w:sz="4" w:space="0" w:color="auto"/>
            </w:tcBorders>
            <w:vAlign w:val="bottom"/>
          </w:tcPr>
          <w:p w14:paraId="403DD5A9" w14:textId="7A14013B" w:rsidR="00DE587B" w:rsidRPr="00510048" w:rsidRDefault="00DE587B" w:rsidP="00DE587B">
            <w:pPr>
              <w:pStyle w:val="5TextocomnIIGG"/>
              <w:spacing w:after="120"/>
              <w:jc w:val="right"/>
              <w:rPr>
                <w:sz w:val="22"/>
                <w:szCs w:val="22"/>
              </w:rPr>
            </w:pPr>
            <w:r w:rsidRPr="00DE587B">
              <w:rPr>
                <w:sz w:val="22"/>
                <w:szCs w:val="22"/>
              </w:rPr>
              <w:t>1</w:t>
            </w:r>
          </w:p>
        </w:tc>
        <w:tc>
          <w:tcPr>
            <w:tcW w:w="715" w:type="pct"/>
            <w:tcBorders>
              <w:left w:val="single" w:sz="4" w:space="0" w:color="auto"/>
              <w:right w:val="single" w:sz="4" w:space="0" w:color="auto"/>
            </w:tcBorders>
            <w:vAlign w:val="bottom"/>
          </w:tcPr>
          <w:p w14:paraId="1F3A8758" w14:textId="6C8020A1"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left w:val="single" w:sz="4" w:space="0" w:color="auto"/>
              <w:right w:val="single" w:sz="4" w:space="0" w:color="auto"/>
            </w:tcBorders>
            <w:vAlign w:val="bottom"/>
          </w:tcPr>
          <w:p w14:paraId="2366F15E" w14:textId="0A70A56C"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left w:val="single" w:sz="4" w:space="0" w:color="auto"/>
              <w:right w:val="single" w:sz="4" w:space="0" w:color="auto"/>
            </w:tcBorders>
            <w:vAlign w:val="bottom"/>
          </w:tcPr>
          <w:p w14:paraId="3F46780B" w14:textId="1E86C720" w:rsidR="00DE587B" w:rsidRPr="00510048" w:rsidRDefault="00DE587B" w:rsidP="00DE587B">
            <w:pPr>
              <w:pStyle w:val="5TextocomnIIGG"/>
              <w:spacing w:after="120"/>
              <w:jc w:val="right"/>
              <w:rPr>
                <w:sz w:val="22"/>
                <w:szCs w:val="22"/>
              </w:rPr>
            </w:pPr>
            <w:r w:rsidRPr="00DE587B">
              <w:rPr>
                <w:sz w:val="22"/>
                <w:szCs w:val="22"/>
              </w:rPr>
              <w:t>0,0</w:t>
            </w:r>
          </w:p>
        </w:tc>
        <w:tc>
          <w:tcPr>
            <w:tcW w:w="627" w:type="pct"/>
            <w:tcBorders>
              <w:left w:val="single" w:sz="4" w:space="0" w:color="auto"/>
            </w:tcBorders>
            <w:vAlign w:val="bottom"/>
          </w:tcPr>
          <w:p w14:paraId="0D78101F" w14:textId="3391D484" w:rsidR="00DE587B" w:rsidRPr="00510048" w:rsidRDefault="00DE587B" w:rsidP="00DE587B">
            <w:pPr>
              <w:pStyle w:val="5TextocomnIIGG"/>
              <w:spacing w:after="120"/>
              <w:jc w:val="right"/>
              <w:rPr>
                <w:sz w:val="22"/>
                <w:szCs w:val="22"/>
              </w:rPr>
            </w:pPr>
            <w:r w:rsidRPr="00DE587B">
              <w:rPr>
                <w:sz w:val="22"/>
                <w:szCs w:val="22"/>
              </w:rPr>
              <w:t>-100,0</w:t>
            </w:r>
          </w:p>
        </w:tc>
      </w:tr>
      <w:tr w:rsidR="00DE587B" w:rsidRPr="00C540A0" w14:paraId="67C4C6D6" w14:textId="77777777" w:rsidTr="00DE587B">
        <w:trPr>
          <w:jc w:val="center"/>
        </w:trPr>
        <w:tc>
          <w:tcPr>
            <w:tcW w:w="972" w:type="pct"/>
          </w:tcPr>
          <w:p w14:paraId="45D29DE5" w14:textId="77777777" w:rsidR="00DE587B" w:rsidRPr="00C540A0" w:rsidRDefault="00DE587B" w:rsidP="00DE587B">
            <w:pPr>
              <w:pStyle w:val="5TextocomnIIGG"/>
              <w:spacing w:after="120"/>
            </w:pPr>
            <w:r w:rsidRPr="00F326F1">
              <w:rPr>
                <w:sz w:val="22"/>
                <w:szCs w:val="22"/>
              </w:rPr>
              <w:t>Gral. Alvarado</w:t>
            </w:r>
          </w:p>
        </w:tc>
        <w:tc>
          <w:tcPr>
            <w:tcW w:w="715" w:type="pct"/>
            <w:tcBorders>
              <w:top w:val="nil"/>
              <w:left w:val="single" w:sz="4" w:space="0" w:color="auto"/>
              <w:right w:val="single" w:sz="4" w:space="0" w:color="auto"/>
            </w:tcBorders>
            <w:vAlign w:val="bottom"/>
          </w:tcPr>
          <w:p w14:paraId="3C003767" w14:textId="7C92A723"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top w:val="nil"/>
              <w:left w:val="single" w:sz="4" w:space="0" w:color="auto"/>
              <w:right w:val="single" w:sz="4" w:space="0" w:color="auto"/>
            </w:tcBorders>
            <w:vAlign w:val="bottom"/>
          </w:tcPr>
          <w:p w14:paraId="6F5A42C2" w14:textId="2122EC18"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74BFEC3B" w14:textId="53C80A4B"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01D69909" w14:textId="3C3FB437"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20B99CA7" w14:textId="72F17B11" w:rsidR="00DE587B" w:rsidRPr="00510048" w:rsidRDefault="00DE587B" w:rsidP="00DE587B">
            <w:pPr>
              <w:pStyle w:val="5TextocomnIIGG"/>
              <w:spacing w:after="120"/>
              <w:jc w:val="right"/>
              <w:rPr>
                <w:sz w:val="22"/>
                <w:szCs w:val="22"/>
              </w:rPr>
            </w:pPr>
            <w:r w:rsidRPr="00DE587B">
              <w:rPr>
                <w:sz w:val="22"/>
                <w:szCs w:val="22"/>
              </w:rPr>
              <w:t>-100,0</w:t>
            </w:r>
          </w:p>
        </w:tc>
        <w:tc>
          <w:tcPr>
            <w:tcW w:w="627" w:type="pct"/>
            <w:tcBorders>
              <w:top w:val="nil"/>
              <w:left w:val="single" w:sz="4" w:space="0" w:color="auto"/>
            </w:tcBorders>
            <w:vAlign w:val="bottom"/>
          </w:tcPr>
          <w:p w14:paraId="0BBB76DC" w14:textId="350B3A41"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61B4949C" w14:textId="77777777" w:rsidTr="00DE587B">
        <w:trPr>
          <w:jc w:val="center"/>
        </w:trPr>
        <w:tc>
          <w:tcPr>
            <w:tcW w:w="972" w:type="pct"/>
          </w:tcPr>
          <w:p w14:paraId="030CFBFA" w14:textId="644C4FB7" w:rsidR="00DE587B" w:rsidRPr="00C540A0" w:rsidRDefault="00DE587B" w:rsidP="00DE587B">
            <w:pPr>
              <w:pStyle w:val="5TextocomnIIGG"/>
              <w:spacing w:after="120"/>
            </w:pPr>
            <w:r w:rsidRPr="00F326F1">
              <w:rPr>
                <w:sz w:val="22"/>
                <w:szCs w:val="22"/>
              </w:rPr>
              <w:t>Gral.</w:t>
            </w:r>
            <w:r>
              <w:rPr>
                <w:sz w:val="22"/>
                <w:szCs w:val="22"/>
              </w:rPr>
              <w:t xml:space="preserve"> </w:t>
            </w:r>
            <w:r w:rsidRPr="00F326F1">
              <w:rPr>
                <w:sz w:val="22"/>
                <w:szCs w:val="22"/>
              </w:rPr>
              <w:t>Madariaga</w:t>
            </w:r>
          </w:p>
        </w:tc>
        <w:tc>
          <w:tcPr>
            <w:tcW w:w="715" w:type="pct"/>
            <w:tcBorders>
              <w:top w:val="nil"/>
              <w:left w:val="single" w:sz="4" w:space="0" w:color="auto"/>
              <w:right w:val="single" w:sz="4" w:space="0" w:color="auto"/>
            </w:tcBorders>
            <w:vAlign w:val="bottom"/>
          </w:tcPr>
          <w:p w14:paraId="242B5F71" w14:textId="0AC6ABDB" w:rsidR="00DE587B" w:rsidRPr="00510048" w:rsidRDefault="00DE587B" w:rsidP="00DE587B">
            <w:pPr>
              <w:pStyle w:val="5TextocomnIIGG"/>
              <w:spacing w:after="120"/>
              <w:jc w:val="right"/>
              <w:rPr>
                <w:sz w:val="22"/>
                <w:szCs w:val="22"/>
              </w:rPr>
            </w:pPr>
            <w:r w:rsidRPr="00DE587B">
              <w:rPr>
                <w:sz w:val="22"/>
                <w:szCs w:val="22"/>
              </w:rPr>
              <w:t>7</w:t>
            </w:r>
          </w:p>
        </w:tc>
        <w:tc>
          <w:tcPr>
            <w:tcW w:w="627" w:type="pct"/>
            <w:tcBorders>
              <w:top w:val="nil"/>
              <w:left w:val="single" w:sz="4" w:space="0" w:color="auto"/>
              <w:right w:val="single" w:sz="4" w:space="0" w:color="auto"/>
            </w:tcBorders>
            <w:vAlign w:val="bottom"/>
          </w:tcPr>
          <w:p w14:paraId="2EF93FAE" w14:textId="02BB94AE" w:rsidR="00DE587B" w:rsidRPr="00510048" w:rsidRDefault="00DE587B" w:rsidP="00DE587B">
            <w:pPr>
              <w:pStyle w:val="5TextocomnIIGG"/>
              <w:spacing w:after="120"/>
              <w:jc w:val="right"/>
              <w:rPr>
                <w:sz w:val="22"/>
                <w:szCs w:val="22"/>
              </w:rPr>
            </w:pPr>
            <w:r w:rsidRPr="00DE587B">
              <w:rPr>
                <w:sz w:val="22"/>
                <w:szCs w:val="22"/>
              </w:rPr>
              <w:t>1</w:t>
            </w:r>
          </w:p>
        </w:tc>
        <w:tc>
          <w:tcPr>
            <w:tcW w:w="715" w:type="pct"/>
            <w:tcBorders>
              <w:top w:val="nil"/>
              <w:left w:val="single" w:sz="4" w:space="0" w:color="auto"/>
              <w:right w:val="single" w:sz="4" w:space="0" w:color="auto"/>
            </w:tcBorders>
            <w:vAlign w:val="bottom"/>
          </w:tcPr>
          <w:p w14:paraId="2B0CC796" w14:textId="71437973"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24518303" w14:textId="4497315B"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661BC26F" w14:textId="774D5549" w:rsidR="00DE587B" w:rsidRPr="00510048" w:rsidRDefault="00DE587B" w:rsidP="00DE587B">
            <w:pPr>
              <w:pStyle w:val="5TextocomnIIGG"/>
              <w:spacing w:after="120"/>
              <w:jc w:val="right"/>
              <w:rPr>
                <w:sz w:val="22"/>
                <w:szCs w:val="22"/>
              </w:rPr>
            </w:pPr>
            <w:r w:rsidRPr="00DE587B">
              <w:rPr>
                <w:sz w:val="22"/>
                <w:szCs w:val="22"/>
              </w:rPr>
              <w:t>-100,0</w:t>
            </w:r>
          </w:p>
        </w:tc>
        <w:tc>
          <w:tcPr>
            <w:tcW w:w="627" w:type="pct"/>
            <w:tcBorders>
              <w:top w:val="nil"/>
              <w:left w:val="single" w:sz="4" w:space="0" w:color="auto"/>
            </w:tcBorders>
            <w:vAlign w:val="bottom"/>
          </w:tcPr>
          <w:p w14:paraId="51FF0CF1" w14:textId="6CCDBA91" w:rsidR="00DE587B" w:rsidRPr="00510048" w:rsidRDefault="00DE587B" w:rsidP="00DE587B">
            <w:pPr>
              <w:pStyle w:val="5TextocomnIIGG"/>
              <w:spacing w:after="120"/>
              <w:jc w:val="right"/>
              <w:rPr>
                <w:sz w:val="22"/>
                <w:szCs w:val="22"/>
              </w:rPr>
            </w:pPr>
            <w:r w:rsidRPr="00DE587B">
              <w:rPr>
                <w:sz w:val="22"/>
                <w:szCs w:val="22"/>
              </w:rPr>
              <w:t>-100,0</w:t>
            </w:r>
          </w:p>
        </w:tc>
      </w:tr>
      <w:tr w:rsidR="00DE587B" w:rsidRPr="00C540A0" w14:paraId="09284D3E" w14:textId="77777777" w:rsidTr="00DE587B">
        <w:trPr>
          <w:jc w:val="center"/>
        </w:trPr>
        <w:tc>
          <w:tcPr>
            <w:tcW w:w="972" w:type="pct"/>
          </w:tcPr>
          <w:p w14:paraId="67B6180F" w14:textId="77777777" w:rsidR="00DE587B" w:rsidRPr="00C540A0" w:rsidRDefault="00DE587B" w:rsidP="00DE587B">
            <w:pPr>
              <w:pStyle w:val="5TextocomnIIGG"/>
              <w:spacing w:after="120"/>
            </w:pPr>
            <w:r w:rsidRPr="00F326F1">
              <w:rPr>
                <w:sz w:val="22"/>
                <w:szCs w:val="22"/>
              </w:rPr>
              <w:t>Gral. Pueyrred</w:t>
            </w:r>
            <w:r>
              <w:rPr>
                <w:sz w:val="22"/>
                <w:szCs w:val="22"/>
              </w:rPr>
              <w:t>o</w:t>
            </w:r>
            <w:r w:rsidRPr="00F326F1">
              <w:rPr>
                <w:sz w:val="22"/>
                <w:szCs w:val="22"/>
              </w:rPr>
              <w:t>n</w:t>
            </w:r>
          </w:p>
        </w:tc>
        <w:tc>
          <w:tcPr>
            <w:tcW w:w="715" w:type="pct"/>
            <w:tcBorders>
              <w:top w:val="nil"/>
              <w:left w:val="single" w:sz="4" w:space="0" w:color="auto"/>
              <w:right w:val="single" w:sz="4" w:space="0" w:color="auto"/>
            </w:tcBorders>
            <w:vAlign w:val="bottom"/>
          </w:tcPr>
          <w:p w14:paraId="4FC5ED29" w14:textId="2B7B3FFE" w:rsidR="00DE587B" w:rsidRPr="00510048" w:rsidRDefault="00DE587B" w:rsidP="00DE587B">
            <w:pPr>
              <w:pStyle w:val="5TextocomnIIGG"/>
              <w:spacing w:after="120"/>
              <w:jc w:val="right"/>
              <w:rPr>
                <w:sz w:val="22"/>
                <w:szCs w:val="22"/>
              </w:rPr>
            </w:pPr>
            <w:r w:rsidRPr="00DE587B">
              <w:rPr>
                <w:sz w:val="22"/>
                <w:szCs w:val="22"/>
              </w:rPr>
              <w:t>8</w:t>
            </w:r>
          </w:p>
        </w:tc>
        <w:tc>
          <w:tcPr>
            <w:tcW w:w="627" w:type="pct"/>
            <w:tcBorders>
              <w:top w:val="nil"/>
              <w:left w:val="single" w:sz="4" w:space="0" w:color="auto"/>
              <w:right w:val="single" w:sz="4" w:space="0" w:color="auto"/>
            </w:tcBorders>
            <w:vAlign w:val="bottom"/>
          </w:tcPr>
          <w:p w14:paraId="77282571" w14:textId="3252BBBB" w:rsidR="00DE587B" w:rsidRPr="00510048" w:rsidRDefault="00DE587B" w:rsidP="00DE587B">
            <w:pPr>
              <w:pStyle w:val="5TextocomnIIGG"/>
              <w:spacing w:after="120"/>
              <w:jc w:val="right"/>
              <w:rPr>
                <w:sz w:val="22"/>
                <w:szCs w:val="22"/>
              </w:rPr>
            </w:pPr>
            <w:r w:rsidRPr="00DE587B">
              <w:rPr>
                <w:sz w:val="22"/>
                <w:szCs w:val="22"/>
              </w:rPr>
              <w:t>3</w:t>
            </w:r>
          </w:p>
        </w:tc>
        <w:tc>
          <w:tcPr>
            <w:tcW w:w="715" w:type="pct"/>
            <w:tcBorders>
              <w:top w:val="nil"/>
              <w:left w:val="single" w:sz="4" w:space="0" w:color="auto"/>
              <w:right w:val="single" w:sz="4" w:space="0" w:color="auto"/>
            </w:tcBorders>
            <w:vAlign w:val="bottom"/>
          </w:tcPr>
          <w:p w14:paraId="5A31614D" w14:textId="2AF8C136" w:rsidR="00DE587B" w:rsidRPr="00510048" w:rsidRDefault="00DE587B" w:rsidP="00DE587B">
            <w:pPr>
              <w:pStyle w:val="5TextocomnIIGG"/>
              <w:spacing w:after="120"/>
              <w:jc w:val="right"/>
              <w:rPr>
                <w:sz w:val="22"/>
                <w:szCs w:val="22"/>
              </w:rPr>
            </w:pPr>
            <w:r w:rsidRPr="00DE587B">
              <w:rPr>
                <w:sz w:val="22"/>
                <w:szCs w:val="22"/>
              </w:rPr>
              <w:t>4</w:t>
            </w:r>
          </w:p>
        </w:tc>
        <w:tc>
          <w:tcPr>
            <w:tcW w:w="627" w:type="pct"/>
            <w:tcBorders>
              <w:top w:val="nil"/>
              <w:left w:val="single" w:sz="4" w:space="0" w:color="auto"/>
              <w:right w:val="single" w:sz="4" w:space="0" w:color="auto"/>
            </w:tcBorders>
            <w:vAlign w:val="bottom"/>
          </w:tcPr>
          <w:p w14:paraId="336EAD8D" w14:textId="24190B03"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3804C740" w14:textId="6FC8361F" w:rsidR="00DE587B" w:rsidRPr="00510048" w:rsidRDefault="00DE587B" w:rsidP="00DE587B">
            <w:pPr>
              <w:pStyle w:val="5TextocomnIIGG"/>
              <w:spacing w:after="120"/>
              <w:jc w:val="right"/>
              <w:rPr>
                <w:sz w:val="22"/>
                <w:szCs w:val="22"/>
              </w:rPr>
            </w:pPr>
            <w:r w:rsidRPr="00DE587B">
              <w:rPr>
                <w:sz w:val="22"/>
                <w:szCs w:val="22"/>
              </w:rPr>
              <w:t>-50,0</w:t>
            </w:r>
          </w:p>
        </w:tc>
        <w:tc>
          <w:tcPr>
            <w:tcW w:w="627" w:type="pct"/>
            <w:tcBorders>
              <w:top w:val="nil"/>
              <w:left w:val="single" w:sz="4" w:space="0" w:color="auto"/>
            </w:tcBorders>
            <w:vAlign w:val="bottom"/>
          </w:tcPr>
          <w:p w14:paraId="2A5CB19A" w14:textId="6ED140C4" w:rsidR="00DE587B" w:rsidRPr="00510048" w:rsidRDefault="00DE587B" w:rsidP="00DE587B">
            <w:pPr>
              <w:pStyle w:val="5TextocomnIIGG"/>
              <w:spacing w:after="120"/>
              <w:jc w:val="right"/>
              <w:rPr>
                <w:sz w:val="22"/>
                <w:szCs w:val="22"/>
              </w:rPr>
            </w:pPr>
            <w:r w:rsidRPr="00DE587B">
              <w:rPr>
                <w:sz w:val="22"/>
                <w:szCs w:val="22"/>
              </w:rPr>
              <w:t>-100,0</w:t>
            </w:r>
          </w:p>
        </w:tc>
      </w:tr>
      <w:tr w:rsidR="00DE587B" w:rsidRPr="00C540A0" w14:paraId="5DE8CF41" w14:textId="77777777" w:rsidTr="00DE587B">
        <w:trPr>
          <w:jc w:val="center"/>
        </w:trPr>
        <w:tc>
          <w:tcPr>
            <w:tcW w:w="972" w:type="pct"/>
          </w:tcPr>
          <w:p w14:paraId="6A2803A9" w14:textId="77777777" w:rsidR="00DE587B" w:rsidRPr="00C540A0" w:rsidRDefault="00DE587B" w:rsidP="00DE587B">
            <w:pPr>
              <w:pStyle w:val="5TextocomnIIGG"/>
              <w:spacing w:after="120"/>
            </w:pPr>
            <w:r w:rsidRPr="00F326F1">
              <w:rPr>
                <w:sz w:val="22"/>
                <w:szCs w:val="22"/>
              </w:rPr>
              <w:t>Lobería</w:t>
            </w:r>
          </w:p>
        </w:tc>
        <w:tc>
          <w:tcPr>
            <w:tcW w:w="715" w:type="pct"/>
            <w:tcBorders>
              <w:top w:val="nil"/>
              <w:left w:val="single" w:sz="4" w:space="0" w:color="auto"/>
              <w:right w:val="single" w:sz="4" w:space="0" w:color="auto"/>
            </w:tcBorders>
            <w:vAlign w:val="bottom"/>
          </w:tcPr>
          <w:p w14:paraId="1C2156D1" w14:textId="6CAE82A1"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top w:val="nil"/>
              <w:left w:val="single" w:sz="4" w:space="0" w:color="auto"/>
              <w:right w:val="single" w:sz="4" w:space="0" w:color="auto"/>
            </w:tcBorders>
            <w:vAlign w:val="bottom"/>
          </w:tcPr>
          <w:p w14:paraId="460C6365" w14:textId="7DD65C30"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644E00DE" w14:textId="239B8777" w:rsidR="00DE587B" w:rsidRPr="00510048" w:rsidRDefault="00DE587B" w:rsidP="00DE587B">
            <w:pPr>
              <w:pStyle w:val="5TextocomnIIGG"/>
              <w:spacing w:after="120"/>
              <w:jc w:val="right"/>
              <w:rPr>
                <w:sz w:val="22"/>
                <w:szCs w:val="22"/>
              </w:rPr>
            </w:pPr>
            <w:r w:rsidRPr="00DE587B">
              <w:rPr>
                <w:sz w:val="22"/>
                <w:szCs w:val="22"/>
              </w:rPr>
              <w:t>2</w:t>
            </w:r>
          </w:p>
        </w:tc>
        <w:tc>
          <w:tcPr>
            <w:tcW w:w="627" w:type="pct"/>
            <w:tcBorders>
              <w:top w:val="nil"/>
              <w:left w:val="single" w:sz="4" w:space="0" w:color="auto"/>
              <w:right w:val="single" w:sz="4" w:space="0" w:color="auto"/>
            </w:tcBorders>
            <w:vAlign w:val="bottom"/>
          </w:tcPr>
          <w:p w14:paraId="1F84230F" w14:textId="20A8949C" w:rsidR="00DE587B" w:rsidRPr="00510048" w:rsidRDefault="00DE587B" w:rsidP="00DE587B">
            <w:pPr>
              <w:pStyle w:val="5TextocomnIIGG"/>
              <w:spacing w:after="120"/>
              <w:jc w:val="right"/>
              <w:rPr>
                <w:sz w:val="22"/>
                <w:szCs w:val="22"/>
              </w:rPr>
            </w:pPr>
            <w:r w:rsidRPr="00DE587B">
              <w:rPr>
                <w:sz w:val="22"/>
                <w:szCs w:val="22"/>
              </w:rPr>
              <w:t>2</w:t>
            </w:r>
          </w:p>
        </w:tc>
        <w:tc>
          <w:tcPr>
            <w:tcW w:w="715" w:type="pct"/>
            <w:tcBorders>
              <w:top w:val="nil"/>
              <w:left w:val="single" w:sz="4" w:space="0" w:color="auto"/>
              <w:right w:val="single" w:sz="4" w:space="0" w:color="auto"/>
            </w:tcBorders>
            <w:vAlign w:val="bottom"/>
          </w:tcPr>
          <w:p w14:paraId="2B41CB32" w14:textId="7E59D6DF" w:rsidR="00DE587B" w:rsidRPr="00510048" w:rsidRDefault="00DE587B" w:rsidP="00DE587B">
            <w:pPr>
              <w:pStyle w:val="5TextocomnIIGG"/>
              <w:spacing w:after="120"/>
              <w:jc w:val="right"/>
              <w:rPr>
                <w:sz w:val="22"/>
                <w:szCs w:val="22"/>
              </w:rPr>
            </w:pPr>
            <w:r w:rsidRPr="00DE587B">
              <w:rPr>
                <w:sz w:val="22"/>
                <w:szCs w:val="22"/>
              </w:rPr>
              <w:t>100,0</w:t>
            </w:r>
          </w:p>
        </w:tc>
        <w:tc>
          <w:tcPr>
            <w:tcW w:w="627" w:type="pct"/>
            <w:tcBorders>
              <w:top w:val="nil"/>
              <w:left w:val="single" w:sz="4" w:space="0" w:color="auto"/>
            </w:tcBorders>
            <w:vAlign w:val="bottom"/>
          </w:tcPr>
          <w:p w14:paraId="161D015A" w14:textId="57951DAD"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1787FCAE" w14:textId="77777777" w:rsidTr="00DE587B">
        <w:trPr>
          <w:jc w:val="center"/>
        </w:trPr>
        <w:tc>
          <w:tcPr>
            <w:tcW w:w="972" w:type="pct"/>
          </w:tcPr>
          <w:p w14:paraId="4763EC05" w14:textId="77777777" w:rsidR="00DE587B" w:rsidRPr="00C540A0" w:rsidRDefault="00DE587B" w:rsidP="00DE587B">
            <w:pPr>
              <w:pStyle w:val="5TextocomnIIGG"/>
              <w:spacing w:after="120"/>
            </w:pPr>
            <w:r w:rsidRPr="00F326F1">
              <w:rPr>
                <w:sz w:val="22"/>
                <w:szCs w:val="22"/>
              </w:rPr>
              <w:t>Maipú</w:t>
            </w:r>
          </w:p>
        </w:tc>
        <w:tc>
          <w:tcPr>
            <w:tcW w:w="715" w:type="pct"/>
            <w:tcBorders>
              <w:top w:val="nil"/>
              <w:left w:val="single" w:sz="4" w:space="0" w:color="auto"/>
              <w:right w:val="single" w:sz="4" w:space="0" w:color="auto"/>
            </w:tcBorders>
            <w:vAlign w:val="bottom"/>
          </w:tcPr>
          <w:p w14:paraId="5F625BDF" w14:textId="0EA048A6"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5B6B74F8" w14:textId="360FB0C4"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44732AB5" w14:textId="12FD2C58"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113A28B7" w14:textId="159AD6FB"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7F38A87A" w14:textId="703618B2" w:rsidR="00DE587B" w:rsidRPr="00510048" w:rsidRDefault="00DE587B" w:rsidP="00DE587B">
            <w:pPr>
              <w:pStyle w:val="5TextocomnIIGG"/>
              <w:spacing w:after="120"/>
              <w:jc w:val="right"/>
              <w:rPr>
                <w:sz w:val="22"/>
                <w:szCs w:val="22"/>
              </w:rPr>
            </w:pPr>
            <w:r w:rsidRPr="00DE587B">
              <w:rPr>
                <w:sz w:val="22"/>
                <w:szCs w:val="22"/>
              </w:rPr>
              <w:t> ---</w:t>
            </w:r>
          </w:p>
        </w:tc>
        <w:tc>
          <w:tcPr>
            <w:tcW w:w="627" w:type="pct"/>
            <w:tcBorders>
              <w:top w:val="nil"/>
              <w:left w:val="single" w:sz="4" w:space="0" w:color="auto"/>
            </w:tcBorders>
            <w:vAlign w:val="bottom"/>
          </w:tcPr>
          <w:p w14:paraId="3BA452C5" w14:textId="665E69BC"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584FE140" w14:textId="77777777" w:rsidTr="00DE587B">
        <w:trPr>
          <w:jc w:val="center"/>
        </w:trPr>
        <w:tc>
          <w:tcPr>
            <w:tcW w:w="972" w:type="pct"/>
          </w:tcPr>
          <w:p w14:paraId="56F54E31" w14:textId="77777777" w:rsidR="00DE587B" w:rsidRPr="00C540A0" w:rsidRDefault="00DE587B" w:rsidP="00DE587B">
            <w:pPr>
              <w:pStyle w:val="5TextocomnIIGG"/>
              <w:spacing w:after="120"/>
            </w:pPr>
            <w:r w:rsidRPr="00F326F1">
              <w:rPr>
                <w:sz w:val="22"/>
                <w:szCs w:val="22"/>
              </w:rPr>
              <w:t>Mar Chiquita</w:t>
            </w:r>
          </w:p>
        </w:tc>
        <w:tc>
          <w:tcPr>
            <w:tcW w:w="715" w:type="pct"/>
            <w:tcBorders>
              <w:top w:val="nil"/>
              <w:left w:val="single" w:sz="4" w:space="0" w:color="auto"/>
              <w:right w:val="single" w:sz="4" w:space="0" w:color="auto"/>
            </w:tcBorders>
            <w:vAlign w:val="bottom"/>
          </w:tcPr>
          <w:p w14:paraId="1BC5835F" w14:textId="4F0B41EA" w:rsidR="00DE587B" w:rsidRPr="00510048" w:rsidRDefault="00DE587B" w:rsidP="00DE587B">
            <w:pPr>
              <w:pStyle w:val="5TextocomnIIGG"/>
              <w:spacing w:after="120"/>
              <w:jc w:val="right"/>
              <w:rPr>
                <w:sz w:val="22"/>
                <w:szCs w:val="22"/>
              </w:rPr>
            </w:pPr>
            <w:r w:rsidRPr="00DE587B">
              <w:rPr>
                <w:sz w:val="22"/>
                <w:szCs w:val="22"/>
              </w:rPr>
              <w:t>5</w:t>
            </w:r>
          </w:p>
        </w:tc>
        <w:tc>
          <w:tcPr>
            <w:tcW w:w="627" w:type="pct"/>
            <w:tcBorders>
              <w:top w:val="nil"/>
              <w:left w:val="single" w:sz="4" w:space="0" w:color="auto"/>
              <w:right w:val="single" w:sz="4" w:space="0" w:color="auto"/>
            </w:tcBorders>
            <w:vAlign w:val="bottom"/>
          </w:tcPr>
          <w:p w14:paraId="034D97A0" w14:textId="7DEC8811" w:rsidR="00DE587B" w:rsidRPr="00510048" w:rsidRDefault="00DE587B" w:rsidP="00DE587B">
            <w:pPr>
              <w:pStyle w:val="5TextocomnIIGG"/>
              <w:spacing w:after="120"/>
              <w:jc w:val="right"/>
              <w:rPr>
                <w:sz w:val="22"/>
                <w:szCs w:val="22"/>
              </w:rPr>
            </w:pPr>
            <w:r w:rsidRPr="00DE587B">
              <w:rPr>
                <w:sz w:val="22"/>
                <w:szCs w:val="22"/>
              </w:rPr>
              <w:t>3</w:t>
            </w:r>
          </w:p>
        </w:tc>
        <w:tc>
          <w:tcPr>
            <w:tcW w:w="715" w:type="pct"/>
            <w:tcBorders>
              <w:top w:val="nil"/>
              <w:left w:val="single" w:sz="4" w:space="0" w:color="auto"/>
              <w:right w:val="single" w:sz="4" w:space="0" w:color="auto"/>
            </w:tcBorders>
            <w:vAlign w:val="bottom"/>
          </w:tcPr>
          <w:p w14:paraId="52BE8CDF" w14:textId="762D011D"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top w:val="nil"/>
              <w:left w:val="single" w:sz="4" w:space="0" w:color="auto"/>
              <w:right w:val="single" w:sz="4" w:space="0" w:color="auto"/>
            </w:tcBorders>
            <w:vAlign w:val="bottom"/>
          </w:tcPr>
          <w:p w14:paraId="732F263F" w14:textId="3790A900"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72DB2A8E" w14:textId="43B03B64" w:rsidR="00DE587B" w:rsidRPr="00510048" w:rsidRDefault="00DE587B" w:rsidP="00DE587B">
            <w:pPr>
              <w:pStyle w:val="5TextocomnIIGG"/>
              <w:spacing w:after="120"/>
              <w:jc w:val="right"/>
              <w:rPr>
                <w:sz w:val="22"/>
                <w:szCs w:val="22"/>
              </w:rPr>
            </w:pPr>
            <w:r w:rsidRPr="00DE587B">
              <w:rPr>
                <w:sz w:val="22"/>
                <w:szCs w:val="22"/>
              </w:rPr>
              <w:t>-80,0</w:t>
            </w:r>
          </w:p>
        </w:tc>
        <w:tc>
          <w:tcPr>
            <w:tcW w:w="627" w:type="pct"/>
            <w:tcBorders>
              <w:top w:val="nil"/>
              <w:left w:val="single" w:sz="4" w:space="0" w:color="auto"/>
            </w:tcBorders>
            <w:vAlign w:val="bottom"/>
          </w:tcPr>
          <w:p w14:paraId="5CFC8A89" w14:textId="5AE355BA" w:rsidR="00DE587B" w:rsidRPr="00510048" w:rsidRDefault="00DE587B" w:rsidP="00DE587B">
            <w:pPr>
              <w:pStyle w:val="5TextocomnIIGG"/>
              <w:spacing w:after="120"/>
              <w:jc w:val="right"/>
              <w:rPr>
                <w:sz w:val="22"/>
                <w:szCs w:val="22"/>
              </w:rPr>
            </w:pPr>
            <w:r w:rsidRPr="00DE587B">
              <w:rPr>
                <w:sz w:val="22"/>
                <w:szCs w:val="22"/>
              </w:rPr>
              <w:t>-100,0</w:t>
            </w:r>
          </w:p>
        </w:tc>
      </w:tr>
      <w:tr w:rsidR="00DE587B" w:rsidRPr="00C540A0" w14:paraId="404D64A2" w14:textId="77777777" w:rsidTr="00DE587B">
        <w:trPr>
          <w:jc w:val="center"/>
        </w:trPr>
        <w:tc>
          <w:tcPr>
            <w:tcW w:w="972" w:type="pct"/>
          </w:tcPr>
          <w:p w14:paraId="0B814878" w14:textId="77777777" w:rsidR="00DE587B" w:rsidRPr="00C540A0" w:rsidRDefault="00DE587B" w:rsidP="00DE587B">
            <w:pPr>
              <w:pStyle w:val="5TextocomnIIGG"/>
              <w:spacing w:after="120"/>
            </w:pPr>
            <w:r w:rsidRPr="00F326F1">
              <w:rPr>
                <w:sz w:val="22"/>
                <w:szCs w:val="22"/>
              </w:rPr>
              <w:t>Necochea</w:t>
            </w:r>
          </w:p>
        </w:tc>
        <w:tc>
          <w:tcPr>
            <w:tcW w:w="715" w:type="pct"/>
            <w:tcBorders>
              <w:top w:val="nil"/>
              <w:left w:val="single" w:sz="4" w:space="0" w:color="auto"/>
              <w:right w:val="single" w:sz="4" w:space="0" w:color="auto"/>
            </w:tcBorders>
            <w:vAlign w:val="bottom"/>
          </w:tcPr>
          <w:p w14:paraId="79C5CC80" w14:textId="5E5C97B6" w:rsidR="00DE587B" w:rsidRPr="00510048" w:rsidRDefault="00DE587B" w:rsidP="00DE587B">
            <w:pPr>
              <w:pStyle w:val="5TextocomnIIGG"/>
              <w:spacing w:after="120"/>
              <w:jc w:val="right"/>
              <w:rPr>
                <w:sz w:val="22"/>
                <w:szCs w:val="22"/>
              </w:rPr>
            </w:pPr>
            <w:r w:rsidRPr="00DE587B">
              <w:rPr>
                <w:sz w:val="22"/>
                <w:szCs w:val="22"/>
              </w:rPr>
              <w:t>4</w:t>
            </w:r>
          </w:p>
        </w:tc>
        <w:tc>
          <w:tcPr>
            <w:tcW w:w="627" w:type="pct"/>
            <w:tcBorders>
              <w:top w:val="nil"/>
              <w:left w:val="single" w:sz="4" w:space="0" w:color="auto"/>
              <w:right w:val="single" w:sz="4" w:space="0" w:color="auto"/>
            </w:tcBorders>
            <w:vAlign w:val="bottom"/>
          </w:tcPr>
          <w:p w14:paraId="34435172" w14:textId="21350479" w:rsidR="00DE587B" w:rsidRPr="00510048" w:rsidRDefault="00DE587B" w:rsidP="00DE587B">
            <w:pPr>
              <w:pStyle w:val="5TextocomnIIGG"/>
              <w:spacing w:after="120"/>
              <w:jc w:val="right"/>
              <w:rPr>
                <w:sz w:val="22"/>
                <w:szCs w:val="22"/>
              </w:rPr>
            </w:pPr>
            <w:r w:rsidRPr="00DE587B">
              <w:rPr>
                <w:sz w:val="22"/>
                <w:szCs w:val="22"/>
              </w:rPr>
              <w:t>1</w:t>
            </w:r>
          </w:p>
        </w:tc>
        <w:tc>
          <w:tcPr>
            <w:tcW w:w="715" w:type="pct"/>
            <w:tcBorders>
              <w:top w:val="nil"/>
              <w:left w:val="single" w:sz="4" w:space="0" w:color="auto"/>
              <w:right w:val="single" w:sz="4" w:space="0" w:color="auto"/>
            </w:tcBorders>
            <w:vAlign w:val="bottom"/>
          </w:tcPr>
          <w:p w14:paraId="15986180" w14:textId="09F96A41"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11E1323C" w14:textId="406E005A"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0750ED42" w14:textId="57105423" w:rsidR="00DE587B" w:rsidRPr="00510048" w:rsidRDefault="00DE587B" w:rsidP="00DE587B">
            <w:pPr>
              <w:pStyle w:val="5TextocomnIIGG"/>
              <w:spacing w:after="120"/>
              <w:jc w:val="right"/>
              <w:rPr>
                <w:sz w:val="22"/>
                <w:szCs w:val="22"/>
              </w:rPr>
            </w:pPr>
            <w:r w:rsidRPr="00DE587B">
              <w:rPr>
                <w:sz w:val="22"/>
                <w:szCs w:val="22"/>
              </w:rPr>
              <w:t>-100,0</w:t>
            </w:r>
          </w:p>
        </w:tc>
        <w:tc>
          <w:tcPr>
            <w:tcW w:w="627" w:type="pct"/>
            <w:tcBorders>
              <w:top w:val="nil"/>
              <w:left w:val="single" w:sz="4" w:space="0" w:color="auto"/>
            </w:tcBorders>
            <w:vAlign w:val="bottom"/>
          </w:tcPr>
          <w:p w14:paraId="46AABF10" w14:textId="28789B95" w:rsidR="00DE587B" w:rsidRPr="00510048" w:rsidRDefault="00DE587B" w:rsidP="00DE587B">
            <w:pPr>
              <w:pStyle w:val="5TextocomnIIGG"/>
              <w:spacing w:after="120"/>
              <w:jc w:val="right"/>
              <w:rPr>
                <w:sz w:val="22"/>
                <w:szCs w:val="22"/>
              </w:rPr>
            </w:pPr>
            <w:r w:rsidRPr="00DE587B">
              <w:rPr>
                <w:sz w:val="22"/>
                <w:szCs w:val="22"/>
              </w:rPr>
              <w:t>-100,0</w:t>
            </w:r>
          </w:p>
        </w:tc>
      </w:tr>
      <w:tr w:rsidR="00DE587B" w:rsidRPr="00C540A0" w14:paraId="51CEE14B" w14:textId="77777777" w:rsidTr="00DE587B">
        <w:trPr>
          <w:jc w:val="center"/>
        </w:trPr>
        <w:tc>
          <w:tcPr>
            <w:tcW w:w="972" w:type="pct"/>
          </w:tcPr>
          <w:p w14:paraId="741A6567" w14:textId="77777777" w:rsidR="00DE587B" w:rsidRPr="00C540A0" w:rsidRDefault="00DE587B" w:rsidP="00DE587B">
            <w:pPr>
              <w:pStyle w:val="5TextocomnIIGG"/>
              <w:spacing w:after="120"/>
            </w:pPr>
            <w:r w:rsidRPr="00F326F1">
              <w:rPr>
                <w:sz w:val="22"/>
                <w:szCs w:val="22"/>
              </w:rPr>
              <w:t>Pinamar</w:t>
            </w:r>
          </w:p>
        </w:tc>
        <w:tc>
          <w:tcPr>
            <w:tcW w:w="715" w:type="pct"/>
            <w:tcBorders>
              <w:top w:val="nil"/>
              <w:left w:val="single" w:sz="4" w:space="0" w:color="auto"/>
              <w:right w:val="single" w:sz="4" w:space="0" w:color="auto"/>
            </w:tcBorders>
            <w:vAlign w:val="bottom"/>
          </w:tcPr>
          <w:p w14:paraId="33B1165B" w14:textId="35F566F1"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2BB3774D" w14:textId="227AEDCA"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1EF4A170" w14:textId="610127BC"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right w:val="single" w:sz="4" w:space="0" w:color="auto"/>
            </w:tcBorders>
            <w:vAlign w:val="bottom"/>
          </w:tcPr>
          <w:p w14:paraId="29E1FEB6" w14:textId="045E50D6"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5DF5485C" w14:textId="314FC6AF" w:rsidR="00DE587B" w:rsidRPr="00510048" w:rsidRDefault="00DE587B" w:rsidP="00DE587B">
            <w:pPr>
              <w:pStyle w:val="5TextocomnIIGG"/>
              <w:spacing w:after="120"/>
              <w:jc w:val="right"/>
              <w:rPr>
                <w:sz w:val="22"/>
                <w:szCs w:val="22"/>
              </w:rPr>
            </w:pPr>
            <w:r w:rsidRPr="00DE587B">
              <w:rPr>
                <w:sz w:val="22"/>
                <w:szCs w:val="22"/>
              </w:rPr>
              <w:t> ---</w:t>
            </w:r>
          </w:p>
        </w:tc>
        <w:tc>
          <w:tcPr>
            <w:tcW w:w="627" w:type="pct"/>
            <w:tcBorders>
              <w:top w:val="nil"/>
              <w:left w:val="single" w:sz="4" w:space="0" w:color="auto"/>
            </w:tcBorders>
            <w:vAlign w:val="bottom"/>
          </w:tcPr>
          <w:p w14:paraId="25E5CCC3" w14:textId="5C85F01A"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1896EBEB" w14:textId="77777777" w:rsidTr="00DE587B">
        <w:trPr>
          <w:jc w:val="center"/>
        </w:trPr>
        <w:tc>
          <w:tcPr>
            <w:tcW w:w="972" w:type="pct"/>
          </w:tcPr>
          <w:p w14:paraId="08A5D00B" w14:textId="77777777" w:rsidR="00DE587B" w:rsidRPr="00C540A0" w:rsidRDefault="00DE587B" w:rsidP="00DE587B">
            <w:pPr>
              <w:pStyle w:val="5TextocomnIIGG"/>
              <w:spacing w:after="120"/>
            </w:pPr>
            <w:r w:rsidRPr="00F326F1">
              <w:rPr>
                <w:sz w:val="22"/>
                <w:szCs w:val="22"/>
              </w:rPr>
              <w:t>San Cayetano</w:t>
            </w:r>
          </w:p>
        </w:tc>
        <w:tc>
          <w:tcPr>
            <w:tcW w:w="715" w:type="pct"/>
            <w:tcBorders>
              <w:top w:val="nil"/>
              <w:left w:val="single" w:sz="4" w:space="0" w:color="auto"/>
              <w:right w:val="single" w:sz="4" w:space="0" w:color="auto"/>
            </w:tcBorders>
            <w:vAlign w:val="bottom"/>
          </w:tcPr>
          <w:p w14:paraId="5C2AE8A5" w14:textId="19590F0E"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top w:val="nil"/>
              <w:left w:val="single" w:sz="4" w:space="0" w:color="auto"/>
              <w:right w:val="single" w:sz="4" w:space="0" w:color="auto"/>
            </w:tcBorders>
            <w:vAlign w:val="bottom"/>
          </w:tcPr>
          <w:p w14:paraId="752BFA0C" w14:textId="08A35E5C"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3324A515" w14:textId="7E67B3D4" w:rsidR="00DE587B" w:rsidRPr="00510048" w:rsidRDefault="00DE587B" w:rsidP="00DE587B">
            <w:pPr>
              <w:pStyle w:val="5TextocomnIIGG"/>
              <w:spacing w:after="120"/>
              <w:jc w:val="right"/>
              <w:rPr>
                <w:sz w:val="22"/>
                <w:szCs w:val="22"/>
              </w:rPr>
            </w:pPr>
            <w:r w:rsidRPr="00DE587B">
              <w:rPr>
                <w:sz w:val="22"/>
                <w:szCs w:val="22"/>
              </w:rPr>
              <w:t>2</w:t>
            </w:r>
          </w:p>
        </w:tc>
        <w:tc>
          <w:tcPr>
            <w:tcW w:w="627" w:type="pct"/>
            <w:tcBorders>
              <w:top w:val="nil"/>
              <w:left w:val="single" w:sz="4" w:space="0" w:color="auto"/>
              <w:right w:val="single" w:sz="4" w:space="0" w:color="auto"/>
            </w:tcBorders>
            <w:vAlign w:val="bottom"/>
          </w:tcPr>
          <w:p w14:paraId="1FDDE0E3" w14:textId="6B6AC5FF" w:rsidR="00DE587B" w:rsidRPr="00510048" w:rsidRDefault="00DE587B" w:rsidP="00DE587B">
            <w:pPr>
              <w:pStyle w:val="5TextocomnIIGG"/>
              <w:spacing w:after="120"/>
              <w:jc w:val="right"/>
              <w:rPr>
                <w:sz w:val="22"/>
                <w:szCs w:val="22"/>
              </w:rPr>
            </w:pPr>
            <w:r w:rsidRPr="00DE587B">
              <w:rPr>
                <w:sz w:val="22"/>
                <w:szCs w:val="22"/>
              </w:rPr>
              <w:t>1</w:t>
            </w:r>
          </w:p>
        </w:tc>
        <w:tc>
          <w:tcPr>
            <w:tcW w:w="715" w:type="pct"/>
            <w:tcBorders>
              <w:top w:val="nil"/>
              <w:left w:val="single" w:sz="4" w:space="0" w:color="auto"/>
              <w:right w:val="single" w:sz="4" w:space="0" w:color="auto"/>
            </w:tcBorders>
            <w:vAlign w:val="bottom"/>
          </w:tcPr>
          <w:p w14:paraId="1E09182B" w14:textId="7A3ABCBF" w:rsidR="00DE587B" w:rsidRPr="00510048" w:rsidRDefault="00DE587B" w:rsidP="00DE587B">
            <w:pPr>
              <w:pStyle w:val="5TextocomnIIGG"/>
              <w:spacing w:after="120"/>
              <w:jc w:val="right"/>
              <w:rPr>
                <w:sz w:val="22"/>
                <w:szCs w:val="22"/>
              </w:rPr>
            </w:pPr>
            <w:r w:rsidRPr="00DE587B">
              <w:rPr>
                <w:sz w:val="22"/>
                <w:szCs w:val="22"/>
              </w:rPr>
              <w:t>100,0</w:t>
            </w:r>
          </w:p>
        </w:tc>
        <w:tc>
          <w:tcPr>
            <w:tcW w:w="627" w:type="pct"/>
            <w:tcBorders>
              <w:top w:val="nil"/>
              <w:left w:val="single" w:sz="4" w:space="0" w:color="auto"/>
            </w:tcBorders>
            <w:vAlign w:val="bottom"/>
          </w:tcPr>
          <w:p w14:paraId="5DF0E9D5" w14:textId="3A67E7FE"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50ECF901" w14:textId="77777777" w:rsidTr="00DE587B">
        <w:trPr>
          <w:jc w:val="center"/>
        </w:trPr>
        <w:tc>
          <w:tcPr>
            <w:tcW w:w="972" w:type="pct"/>
          </w:tcPr>
          <w:p w14:paraId="70E557A2" w14:textId="77777777" w:rsidR="00DE587B" w:rsidRPr="00C540A0" w:rsidRDefault="00DE587B" w:rsidP="00DE587B">
            <w:pPr>
              <w:pStyle w:val="5TextocomnIIGG"/>
              <w:spacing w:after="120"/>
            </w:pPr>
            <w:r w:rsidRPr="00F326F1">
              <w:rPr>
                <w:sz w:val="22"/>
                <w:szCs w:val="22"/>
              </w:rPr>
              <w:t>Tandil</w:t>
            </w:r>
          </w:p>
        </w:tc>
        <w:tc>
          <w:tcPr>
            <w:tcW w:w="715" w:type="pct"/>
            <w:tcBorders>
              <w:top w:val="nil"/>
              <w:left w:val="single" w:sz="4" w:space="0" w:color="auto"/>
              <w:right w:val="single" w:sz="4" w:space="0" w:color="auto"/>
            </w:tcBorders>
            <w:vAlign w:val="bottom"/>
          </w:tcPr>
          <w:p w14:paraId="295FC3B6" w14:textId="3F3BD7CF" w:rsidR="00DE587B" w:rsidRPr="00510048" w:rsidRDefault="00DE587B" w:rsidP="00DE587B">
            <w:pPr>
              <w:pStyle w:val="5TextocomnIIGG"/>
              <w:spacing w:after="120"/>
              <w:jc w:val="right"/>
              <w:rPr>
                <w:sz w:val="22"/>
                <w:szCs w:val="22"/>
              </w:rPr>
            </w:pPr>
            <w:r w:rsidRPr="00DE587B">
              <w:rPr>
                <w:sz w:val="22"/>
                <w:szCs w:val="22"/>
              </w:rPr>
              <w:t>3</w:t>
            </w:r>
          </w:p>
        </w:tc>
        <w:tc>
          <w:tcPr>
            <w:tcW w:w="627" w:type="pct"/>
            <w:tcBorders>
              <w:top w:val="nil"/>
              <w:left w:val="single" w:sz="4" w:space="0" w:color="auto"/>
              <w:right w:val="single" w:sz="4" w:space="0" w:color="auto"/>
            </w:tcBorders>
            <w:vAlign w:val="bottom"/>
          </w:tcPr>
          <w:p w14:paraId="59E3D949" w14:textId="75D3068C"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right w:val="single" w:sz="4" w:space="0" w:color="auto"/>
            </w:tcBorders>
            <w:vAlign w:val="bottom"/>
          </w:tcPr>
          <w:p w14:paraId="151399E4" w14:textId="3BAF2DB5" w:rsidR="00DE587B" w:rsidRPr="00510048" w:rsidRDefault="00DE587B" w:rsidP="00DE587B">
            <w:pPr>
              <w:pStyle w:val="5TextocomnIIGG"/>
              <w:spacing w:after="120"/>
              <w:jc w:val="right"/>
              <w:rPr>
                <w:sz w:val="22"/>
                <w:szCs w:val="22"/>
              </w:rPr>
            </w:pPr>
            <w:r w:rsidRPr="00DE587B">
              <w:rPr>
                <w:sz w:val="22"/>
                <w:szCs w:val="22"/>
              </w:rPr>
              <w:t>3</w:t>
            </w:r>
          </w:p>
        </w:tc>
        <w:tc>
          <w:tcPr>
            <w:tcW w:w="627" w:type="pct"/>
            <w:tcBorders>
              <w:top w:val="nil"/>
              <w:left w:val="single" w:sz="4" w:space="0" w:color="auto"/>
              <w:right w:val="single" w:sz="4" w:space="0" w:color="auto"/>
            </w:tcBorders>
            <w:vAlign w:val="bottom"/>
          </w:tcPr>
          <w:p w14:paraId="2C038789" w14:textId="4A79548A" w:rsidR="00DE587B" w:rsidRPr="00510048" w:rsidRDefault="00DE587B" w:rsidP="00DE587B">
            <w:pPr>
              <w:pStyle w:val="5TextocomnIIGG"/>
              <w:spacing w:after="120"/>
              <w:jc w:val="right"/>
              <w:rPr>
                <w:sz w:val="22"/>
                <w:szCs w:val="22"/>
              </w:rPr>
            </w:pPr>
            <w:r w:rsidRPr="00DE587B">
              <w:rPr>
                <w:sz w:val="22"/>
                <w:szCs w:val="22"/>
              </w:rPr>
              <w:t>1</w:t>
            </w:r>
          </w:p>
        </w:tc>
        <w:tc>
          <w:tcPr>
            <w:tcW w:w="715" w:type="pct"/>
            <w:tcBorders>
              <w:top w:val="nil"/>
              <w:left w:val="single" w:sz="4" w:space="0" w:color="auto"/>
              <w:right w:val="single" w:sz="4" w:space="0" w:color="auto"/>
            </w:tcBorders>
            <w:vAlign w:val="bottom"/>
          </w:tcPr>
          <w:p w14:paraId="1E736618" w14:textId="2BAD1F88" w:rsidR="00DE587B" w:rsidRPr="00510048" w:rsidRDefault="00DE587B" w:rsidP="00DE587B">
            <w:pPr>
              <w:pStyle w:val="5TextocomnIIGG"/>
              <w:spacing w:after="120"/>
              <w:jc w:val="right"/>
              <w:rPr>
                <w:sz w:val="22"/>
                <w:szCs w:val="22"/>
              </w:rPr>
            </w:pPr>
            <w:r w:rsidRPr="00DE587B">
              <w:rPr>
                <w:sz w:val="22"/>
                <w:szCs w:val="22"/>
              </w:rPr>
              <w:t>0,0</w:t>
            </w:r>
          </w:p>
        </w:tc>
        <w:tc>
          <w:tcPr>
            <w:tcW w:w="627" w:type="pct"/>
            <w:tcBorders>
              <w:top w:val="nil"/>
              <w:left w:val="single" w:sz="4" w:space="0" w:color="auto"/>
            </w:tcBorders>
            <w:vAlign w:val="bottom"/>
          </w:tcPr>
          <w:p w14:paraId="4C205998" w14:textId="2B9F5F60"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1D0DE80B" w14:textId="77777777" w:rsidTr="00DE587B">
        <w:trPr>
          <w:jc w:val="center"/>
        </w:trPr>
        <w:tc>
          <w:tcPr>
            <w:tcW w:w="972" w:type="pct"/>
          </w:tcPr>
          <w:p w14:paraId="2E198CF5" w14:textId="77777777" w:rsidR="00DE587B" w:rsidRPr="00C540A0" w:rsidRDefault="00DE587B" w:rsidP="00DE587B">
            <w:pPr>
              <w:pStyle w:val="5TextocomnIIGG"/>
              <w:spacing w:after="120"/>
            </w:pPr>
            <w:r w:rsidRPr="00F326F1">
              <w:rPr>
                <w:sz w:val="22"/>
                <w:szCs w:val="22"/>
              </w:rPr>
              <w:t>Villa Gesell</w:t>
            </w:r>
          </w:p>
        </w:tc>
        <w:tc>
          <w:tcPr>
            <w:tcW w:w="715" w:type="pct"/>
            <w:tcBorders>
              <w:top w:val="nil"/>
              <w:left w:val="single" w:sz="4" w:space="0" w:color="auto"/>
              <w:bottom w:val="single" w:sz="4" w:space="0" w:color="auto"/>
              <w:right w:val="single" w:sz="4" w:space="0" w:color="auto"/>
            </w:tcBorders>
            <w:vAlign w:val="bottom"/>
          </w:tcPr>
          <w:p w14:paraId="25415491" w14:textId="1C1ABDD8" w:rsidR="00DE587B" w:rsidRPr="00510048" w:rsidRDefault="00DE587B" w:rsidP="00DE587B">
            <w:pPr>
              <w:pStyle w:val="5TextocomnIIGG"/>
              <w:spacing w:after="120"/>
              <w:jc w:val="right"/>
              <w:rPr>
                <w:sz w:val="22"/>
                <w:szCs w:val="22"/>
              </w:rPr>
            </w:pPr>
            <w:r w:rsidRPr="00DE587B">
              <w:rPr>
                <w:sz w:val="22"/>
                <w:szCs w:val="22"/>
              </w:rPr>
              <w:t>1</w:t>
            </w:r>
          </w:p>
        </w:tc>
        <w:tc>
          <w:tcPr>
            <w:tcW w:w="627" w:type="pct"/>
            <w:tcBorders>
              <w:top w:val="nil"/>
              <w:left w:val="single" w:sz="4" w:space="0" w:color="auto"/>
              <w:bottom w:val="single" w:sz="4" w:space="0" w:color="auto"/>
              <w:right w:val="single" w:sz="4" w:space="0" w:color="auto"/>
            </w:tcBorders>
            <w:vAlign w:val="bottom"/>
          </w:tcPr>
          <w:p w14:paraId="5656160B" w14:textId="48F1C463"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bottom w:val="single" w:sz="4" w:space="0" w:color="auto"/>
              <w:right w:val="single" w:sz="4" w:space="0" w:color="auto"/>
            </w:tcBorders>
            <w:vAlign w:val="bottom"/>
          </w:tcPr>
          <w:p w14:paraId="3F9875E5" w14:textId="7E07D74A" w:rsidR="00DE587B" w:rsidRPr="00510048" w:rsidRDefault="00DE587B" w:rsidP="00DE587B">
            <w:pPr>
              <w:pStyle w:val="5TextocomnIIGG"/>
              <w:spacing w:after="120"/>
              <w:jc w:val="right"/>
              <w:rPr>
                <w:sz w:val="22"/>
                <w:szCs w:val="22"/>
              </w:rPr>
            </w:pPr>
            <w:r w:rsidRPr="00DE587B">
              <w:rPr>
                <w:sz w:val="22"/>
                <w:szCs w:val="22"/>
              </w:rPr>
              <w:t>0</w:t>
            </w:r>
          </w:p>
        </w:tc>
        <w:tc>
          <w:tcPr>
            <w:tcW w:w="627" w:type="pct"/>
            <w:tcBorders>
              <w:top w:val="nil"/>
              <w:left w:val="single" w:sz="4" w:space="0" w:color="auto"/>
              <w:bottom w:val="single" w:sz="4" w:space="0" w:color="auto"/>
              <w:right w:val="single" w:sz="4" w:space="0" w:color="auto"/>
            </w:tcBorders>
            <w:vAlign w:val="bottom"/>
          </w:tcPr>
          <w:p w14:paraId="56EF9A1F" w14:textId="0DDB1D1C" w:rsidR="00DE587B" w:rsidRPr="00510048" w:rsidRDefault="00DE587B" w:rsidP="00DE587B">
            <w:pPr>
              <w:pStyle w:val="5TextocomnIIGG"/>
              <w:spacing w:after="120"/>
              <w:jc w:val="right"/>
              <w:rPr>
                <w:sz w:val="22"/>
                <w:szCs w:val="22"/>
              </w:rPr>
            </w:pPr>
            <w:r w:rsidRPr="00DE587B">
              <w:rPr>
                <w:sz w:val="22"/>
                <w:szCs w:val="22"/>
              </w:rPr>
              <w:t>0</w:t>
            </w:r>
          </w:p>
        </w:tc>
        <w:tc>
          <w:tcPr>
            <w:tcW w:w="715" w:type="pct"/>
            <w:tcBorders>
              <w:top w:val="nil"/>
              <w:left w:val="single" w:sz="4" w:space="0" w:color="auto"/>
              <w:bottom w:val="single" w:sz="4" w:space="0" w:color="auto"/>
              <w:right w:val="single" w:sz="4" w:space="0" w:color="auto"/>
            </w:tcBorders>
            <w:vAlign w:val="bottom"/>
          </w:tcPr>
          <w:p w14:paraId="40F87F7D" w14:textId="29F86BF4" w:rsidR="00DE587B" w:rsidRPr="00510048" w:rsidRDefault="00DE587B" w:rsidP="00DE587B">
            <w:pPr>
              <w:pStyle w:val="5TextocomnIIGG"/>
              <w:spacing w:after="120"/>
              <w:jc w:val="right"/>
              <w:rPr>
                <w:sz w:val="22"/>
                <w:szCs w:val="22"/>
              </w:rPr>
            </w:pPr>
            <w:r w:rsidRPr="00DE587B">
              <w:rPr>
                <w:sz w:val="22"/>
                <w:szCs w:val="22"/>
              </w:rPr>
              <w:t>-100,0</w:t>
            </w:r>
          </w:p>
        </w:tc>
        <w:tc>
          <w:tcPr>
            <w:tcW w:w="627" w:type="pct"/>
            <w:tcBorders>
              <w:top w:val="nil"/>
              <w:left w:val="single" w:sz="4" w:space="0" w:color="auto"/>
              <w:bottom w:val="single" w:sz="4" w:space="0" w:color="auto"/>
            </w:tcBorders>
            <w:vAlign w:val="bottom"/>
          </w:tcPr>
          <w:p w14:paraId="183FAB4A" w14:textId="3A522CA2" w:rsidR="00DE587B" w:rsidRPr="00510048" w:rsidRDefault="00DE587B" w:rsidP="00DE587B">
            <w:pPr>
              <w:pStyle w:val="5TextocomnIIGG"/>
              <w:spacing w:after="120"/>
              <w:jc w:val="right"/>
              <w:rPr>
                <w:sz w:val="22"/>
                <w:szCs w:val="22"/>
              </w:rPr>
            </w:pPr>
            <w:r w:rsidRPr="00DE587B">
              <w:rPr>
                <w:sz w:val="22"/>
                <w:szCs w:val="22"/>
              </w:rPr>
              <w:t> ---</w:t>
            </w:r>
          </w:p>
        </w:tc>
      </w:tr>
      <w:tr w:rsidR="00DE587B" w:rsidRPr="00C540A0" w14:paraId="1A9E00B7" w14:textId="77777777" w:rsidTr="00DE587B">
        <w:trPr>
          <w:jc w:val="center"/>
        </w:trPr>
        <w:tc>
          <w:tcPr>
            <w:tcW w:w="972" w:type="pct"/>
          </w:tcPr>
          <w:p w14:paraId="398BA1C6" w14:textId="77777777" w:rsidR="00DE587B" w:rsidRPr="00C540A0" w:rsidRDefault="00DE587B" w:rsidP="00DE587B">
            <w:pPr>
              <w:pStyle w:val="5TextocomnIIGG"/>
              <w:spacing w:after="120"/>
            </w:pPr>
            <w:r w:rsidRPr="00F326F1">
              <w:rPr>
                <w:b/>
                <w:bCs/>
                <w:sz w:val="22"/>
                <w:szCs w:val="22"/>
              </w:rPr>
              <w:t>Total</w:t>
            </w:r>
          </w:p>
        </w:tc>
        <w:tc>
          <w:tcPr>
            <w:tcW w:w="715" w:type="pct"/>
            <w:tcBorders>
              <w:top w:val="single" w:sz="4" w:space="0" w:color="auto"/>
              <w:left w:val="single" w:sz="4" w:space="0" w:color="auto"/>
              <w:bottom w:val="single" w:sz="4" w:space="0" w:color="auto"/>
              <w:right w:val="single" w:sz="4" w:space="0" w:color="auto"/>
            </w:tcBorders>
            <w:vAlign w:val="bottom"/>
          </w:tcPr>
          <w:p w14:paraId="3CC9F01D" w14:textId="7D871724" w:rsidR="00DE587B" w:rsidRPr="00510048" w:rsidRDefault="00DE587B" w:rsidP="00DE587B">
            <w:pPr>
              <w:pStyle w:val="5TextocomnIIGG"/>
              <w:spacing w:after="120"/>
              <w:jc w:val="right"/>
              <w:rPr>
                <w:sz w:val="22"/>
                <w:szCs w:val="22"/>
              </w:rPr>
            </w:pPr>
            <w:r w:rsidRPr="00DE587B">
              <w:rPr>
                <w:sz w:val="22"/>
                <w:szCs w:val="22"/>
              </w:rPr>
              <w:t>32</w:t>
            </w:r>
          </w:p>
        </w:tc>
        <w:tc>
          <w:tcPr>
            <w:tcW w:w="627" w:type="pct"/>
            <w:tcBorders>
              <w:top w:val="single" w:sz="4" w:space="0" w:color="auto"/>
              <w:left w:val="single" w:sz="4" w:space="0" w:color="auto"/>
              <w:bottom w:val="single" w:sz="4" w:space="0" w:color="auto"/>
              <w:right w:val="single" w:sz="4" w:space="0" w:color="auto"/>
            </w:tcBorders>
            <w:vAlign w:val="bottom"/>
          </w:tcPr>
          <w:p w14:paraId="2A0D5171" w14:textId="428FCD8B" w:rsidR="00DE587B" w:rsidRPr="00510048" w:rsidRDefault="00DE587B" w:rsidP="00DE587B">
            <w:pPr>
              <w:pStyle w:val="5TextocomnIIGG"/>
              <w:spacing w:after="120"/>
              <w:jc w:val="right"/>
              <w:rPr>
                <w:sz w:val="22"/>
                <w:szCs w:val="22"/>
              </w:rPr>
            </w:pPr>
            <w:r w:rsidRPr="00DE587B">
              <w:rPr>
                <w:sz w:val="22"/>
                <w:szCs w:val="22"/>
              </w:rPr>
              <w:t>9</w:t>
            </w:r>
          </w:p>
        </w:tc>
        <w:tc>
          <w:tcPr>
            <w:tcW w:w="715" w:type="pct"/>
            <w:tcBorders>
              <w:top w:val="single" w:sz="4" w:space="0" w:color="auto"/>
              <w:left w:val="single" w:sz="4" w:space="0" w:color="auto"/>
              <w:bottom w:val="single" w:sz="4" w:space="0" w:color="auto"/>
              <w:right w:val="single" w:sz="4" w:space="0" w:color="auto"/>
            </w:tcBorders>
            <w:vAlign w:val="bottom"/>
          </w:tcPr>
          <w:p w14:paraId="5BFA2BC6" w14:textId="21CD24F1" w:rsidR="00DE587B" w:rsidRPr="00510048" w:rsidRDefault="00DE587B" w:rsidP="00DE587B">
            <w:pPr>
              <w:pStyle w:val="5TextocomnIIGG"/>
              <w:spacing w:after="120"/>
              <w:jc w:val="right"/>
              <w:rPr>
                <w:sz w:val="22"/>
                <w:szCs w:val="22"/>
              </w:rPr>
            </w:pPr>
            <w:r w:rsidRPr="00DE587B">
              <w:rPr>
                <w:sz w:val="22"/>
                <w:szCs w:val="22"/>
              </w:rPr>
              <w:t>13</w:t>
            </w:r>
          </w:p>
        </w:tc>
        <w:tc>
          <w:tcPr>
            <w:tcW w:w="627" w:type="pct"/>
            <w:tcBorders>
              <w:top w:val="single" w:sz="4" w:space="0" w:color="auto"/>
              <w:left w:val="single" w:sz="4" w:space="0" w:color="auto"/>
              <w:bottom w:val="single" w:sz="4" w:space="0" w:color="auto"/>
              <w:right w:val="single" w:sz="4" w:space="0" w:color="auto"/>
            </w:tcBorders>
            <w:vAlign w:val="bottom"/>
          </w:tcPr>
          <w:p w14:paraId="276E2EF6" w14:textId="560EE40D" w:rsidR="00DE587B" w:rsidRPr="00510048" w:rsidRDefault="00DE587B" w:rsidP="00DE587B">
            <w:pPr>
              <w:pStyle w:val="5TextocomnIIGG"/>
              <w:spacing w:after="120"/>
              <w:jc w:val="right"/>
              <w:rPr>
                <w:sz w:val="22"/>
                <w:szCs w:val="22"/>
              </w:rPr>
            </w:pPr>
            <w:r w:rsidRPr="00DE587B">
              <w:rPr>
                <w:sz w:val="22"/>
                <w:szCs w:val="22"/>
              </w:rPr>
              <w:t>4</w:t>
            </w:r>
          </w:p>
        </w:tc>
        <w:tc>
          <w:tcPr>
            <w:tcW w:w="715" w:type="pct"/>
            <w:tcBorders>
              <w:top w:val="single" w:sz="4" w:space="0" w:color="auto"/>
              <w:left w:val="single" w:sz="4" w:space="0" w:color="auto"/>
              <w:bottom w:val="single" w:sz="4" w:space="0" w:color="auto"/>
              <w:right w:val="single" w:sz="4" w:space="0" w:color="auto"/>
            </w:tcBorders>
            <w:vAlign w:val="bottom"/>
          </w:tcPr>
          <w:p w14:paraId="490C59A6" w14:textId="144FB0E6" w:rsidR="00DE587B" w:rsidRPr="00510048" w:rsidRDefault="00DE587B" w:rsidP="00DE587B">
            <w:pPr>
              <w:pStyle w:val="5TextocomnIIGG"/>
              <w:spacing w:after="120"/>
              <w:jc w:val="right"/>
              <w:rPr>
                <w:sz w:val="22"/>
                <w:szCs w:val="22"/>
              </w:rPr>
            </w:pPr>
            <w:r w:rsidRPr="00DE587B">
              <w:rPr>
                <w:sz w:val="22"/>
                <w:szCs w:val="22"/>
              </w:rPr>
              <w:t>-59,4</w:t>
            </w:r>
          </w:p>
        </w:tc>
        <w:tc>
          <w:tcPr>
            <w:tcW w:w="627" w:type="pct"/>
            <w:tcBorders>
              <w:top w:val="single" w:sz="4" w:space="0" w:color="auto"/>
              <w:left w:val="single" w:sz="4" w:space="0" w:color="auto"/>
              <w:bottom w:val="single" w:sz="4" w:space="0" w:color="auto"/>
            </w:tcBorders>
            <w:vAlign w:val="bottom"/>
          </w:tcPr>
          <w:p w14:paraId="79D81DAD" w14:textId="504229CA" w:rsidR="00DE587B" w:rsidRPr="00510048" w:rsidRDefault="00DE587B" w:rsidP="00DE587B">
            <w:pPr>
              <w:pStyle w:val="5TextocomnIIGG"/>
              <w:spacing w:after="120"/>
              <w:jc w:val="right"/>
              <w:rPr>
                <w:sz w:val="22"/>
                <w:szCs w:val="22"/>
              </w:rPr>
            </w:pPr>
            <w:r w:rsidRPr="00DE587B">
              <w:rPr>
                <w:sz w:val="22"/>
                <w:szCs w:val="22"/>
              </w:rPr>
              <w:t>-55,6</w:t>
            </w:r>
          </w:p>
        </w:tc>
      </w:tr>
    </w:tbl>
    <w:p w14:paraId="3A8E36BC" w14:textId="45CD471B" w:rsidR="00AB4522" w:rsidRDefault="00AB4522" w:rsidP="00AB4522">
      <w:pPr>
        <w:pStyle w:val="8FigurasyTablasFuenteyoelaboracin"/>
        <w:spacing w:after="120"/>
      </w:pPr>
      <w:r w:rsidRPr="00510048">
        <w:t>Fuente: INDEC, CN</w:t>
      </w:r>
      <w:r w:rsidR="00DE587B">
        <w:t>A 2002 y 2018</w:t>
      </w:r>
      <w:r w:rsidRPr="00510048">
        <w:t>. Elaboración propia</w:t>
      </w:r>
    </w:p>
    <w:p w14:paraId="5D9F0126" w14:textId="77777777" w:rsidR="00F90F49" w:rsidRDefault="00F90F49" w:rsidP="0040013F">
      <w:pPr>
        <w:pStyle w:val="7FigurasytablasencabezadoIIGG"/>
      </w:pPr>
    </w:p>
    <w:p w14:paraId="685574F3" w14:textId="77777777" w:rsidR="000000A1" w:rsidRDefault="000000A1" w:rsidP="0040013F">
      <w:pPr>
        <w:pStyle w:val="7FigurasytablasencabezadoIIGG"/>
      </w:pPr>
    </w:p>
    <w:p w14:paraId="5D600F50" w14:textId="77777777" w:rsidR="000000A1" w:rsidRDefault="000000A1" w:rsidP="0040013F">
      <w:pPr>
        <w:pStyle w:val="7FigurasytablasencabezadoIIGG"/>
      </w:pPr>
    </w:p>
    <w:p w14:paraId="139CA4DF" w14:textId="77777777" w:rsidR="000000A1" w:rsidRDefault="000000A1" w:rsidP="0040013F">
      <w:pPr>
        <w:pStyle w:val="7FigurasytablasencabezadoIIGG"/>
      </w:pPr>
    </w:p>
    <w:p w14:paraId="3C67BFEF" w14:textId="77777777" w:rsidR="000000A1" w:rsidRDefault="000000A1" w:rsidP="0040013F">
      <w:pPr>
        <w:pStyle w:val="7FigurasytablasencabezadoIIGG"/>
      </w:pPr>
    </w:p>
    <w:p w14:paraId="3A295435" w14:textId="77777777" w:rsidR="000000A1" w:rsidRDefault="000000A1" w:rsidP="0040013F">
      <w:pPr>
        <w:pStyle w:val="7FigurasytablasencabezadoIIGG"/>
      </w:pPr>
    </w:p>
    <w:p w14:paraId="61C1172E" w14:textId="77777777" w:rsidR="000000A1" w:rsidRDefault="000000A1" w:rsidP="0040013F">
      <w:pPr>
        <w:pStyle w:val="7FigurasytablasencabezadoIIGG"/>
      </w:pPr>
    </w:p>
    <w:p w14:paraId="5BE090CD" w14:textId="77777777" w:rsidR="000000A1" w:rsidRDefault="000000A1" w:rsidP="0040013F">
      <w:pPr>
        <w:pStyle w:val="7FigurasytablasencabezadoIIGG"/>
      </w:pPr>
    </w:p>
    <w:p w14:paraId="508759BB" w14:textId="77777777" w:rsidR="000000A1" w:rsidRDefault="000000A1" w:rsidP="0040013F">
      <w:pPr>
        <w:pStyle w:val="7FigurasytablasencabezadoIIGG"/>
      </w:pPr>
    </w:p>
    <w:p w14:paraId="1B1F7EB0" w14:textId="77777777" w:rsidR="000000A1" w:rsidRDefault="000000A1" w:rsidP="0040013F">
      <w:pPr>
        <w:pStyle w:val="7FigurasytablasencabezadoIIGG"/>
      </w:pPr>
    </w:p>
    <w:p w14:paraId="261963DF" w14:textId="1EC3EE70" w:rsidR="0040013F" w:rsidRPr="00F90F49" w:rsidRDefault="0040013F" w:rsidP="0040013F">
      <w:pPr>
        <w:pStyle w:val="7FigurasytablasencabezadoIIGG"/>
        <w:rPr>
          <w:b/>
          <w:bCs/>
        </w:rPr>
      </w:pPr>
      <w:r w:rsidRPr="00F90F49">
        <w:rPr>
          <w:b/>
          <w:bCs/>
        </w:rPr>
        <w:lastRenderedPageBreak/>
        <w:t>Figura 5. Partidos del sudeste de la Provincia de Buenos Aires: evolución espacial del porcentaje de EAPs con alojamiento sobre el total regional, 2002 y 2018</w:t>
      </w:r>
    </w:p>
    <w:p w14:paraId="36B154B0" w14:textId="323E5C21" w:rsidR="0040013F" w:rsidRDefault="00AD746C" w:rsidP="0040013F">
      <w:pPr>
        <w:pStyle w:val="7FigurasytablasencabezadoIIGG"/>
      </w:pPr>
      <w:r>
        <w:rPr>
          <w:noProof/>
        </w:rPr>
        <w:drawing>
          <wp:inline distT="0" distB="0" distL="0" distR="0" wp14:anchorId="13355568" wp14:editId="65C784CB">
            <wp:extent cx="3602990" cy="2548255"/>
            <wp:effectExtent l="0" t="0" r="0" b="4445"/>
            <wp:docPr id="13848594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32EA313E" w14:textId="4DAF90DE" w:rsidR="00AD746C" w:rsidRDefault="00AD746C" w:rsidP="0040013F">
      <w:pPr>
        <w:pStyle w:val="7FigurasytablasencabezadoIIGG"/>
      </w:pPr>
      <w:r>
        <w:rPr>
          <w:noProof/>
        </w:rPr>
        <w:drawing>
          <wp:inline distT="0" distB="0" distL="0" distR="0" wp14:anchorId="3A35AD22" wp14:editId="68778ED6">
            <wp:extent cx="3602990" cy="2548255"/>
            <wp:effectExtent l="0" t="0" r="0" b="4445"/>
            <wp:docPr id="20078761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2E4D8156" w14:textId="04307A9C" w:rsidR="0040013F" w:rsidRDefault="0040013F" w:rsidP="0040013F">
      <w:pPr>
        <w:pStyle w:val="5TextocomnIIGG"/>
        <w:spacing w:after="120"/>
        <w:jc w:val="center"/>
      </w:pPr>
      <w:r w:rsidRPr="00026DAC">
        <w:t xml:space="preserve">Fuente: </w:t>
      </w:r>
      <w:r w:rsidRPr="00417073">
        <w:t>INDEC</w:t>
      </w:r>
      <w:r>
        <w:t>, CNA 2002 y 2018</w:t>
      </w:r>
      <w:r w:rsidRPr="00417073">
        <w:t>. Elaboración propi</w:t>
      </w:r>
      <w:r>
        <w:t>a</w:t>
      </w:r>
    </w:p>
    <w:p w14:paraId="75326FAA" w14:textId="1F48EFDF" w:rsidR="0040013F" w:rsidRDefault="0040013F" w:rsidP="0040013F">
      <w:pPr>
        <w:pStyle w:val="5TextocomnIIGG"/>
        <w:spacing w:after="120"/>
        <w:ind w:firstLine="567"/>
      </w:pPr>
      <w:r w:rsidRPr="0040013F">
        <w:t xml:space="preserve">A diferencia de lo expuesto por los CNA, las Figuras 6 y 7, basadas en los datos de la EOH, muestran la vigencia de un patrón de distribución del alojamiento, tanto espacial como temporal. Dado que la incorporación de Tandil a la EOH se produjo en 2006, el lapso de tiempo que, en esta oportunidad, se impone en el área de estudio es de 19 años (2006-2024). Particularmente, el primero de estos elementos permite apreciar el impacto que ocasionaron la pandemia de Covid-19 y las consecuentes medidas de prevención, distanciamiento y aislamiento social adoptadas durante 2020 sobre el sector hotelero y parahotelero radicado en las ciudades de Mar del Plata, Villa Gesell, Pinamar y Tandil. Como en los casos de Villa Gesell y Pinamar se obtuvieron promedios anuales de establecimientos para el período de postpandemia superiores a años prepandémicos, se sugiere que la superación de la crisis sanitaria fue más rápida allí que en las otras dos ciudades, las cuales superan los 100 mil habitantes. Por su parte, el segundo elemento refleja, por un lado, cómo la estacionalidad es más notoria en los destinos de sol y playa que en Tandil y, por otro, cómo conforme transcurren distintos períodos los promedios de establecimientos que participan del relevamiento suelen ser menores. Aquí es importante tener en cuenta que, por lo general, el turismo serviciado se presenta como una opción menos económica que el turismo residenciado, y que esta última </w:t>
      </w:r>
      <w:r w:rsidRPr="0040013F">
        <w:lastRenderedPageBreak/>
        <w:t>modalidad se encuentra influenciada por el auge contemporáneo de las plataformas de alquiler turístico.</w:t>
      </w:r>
    </w:p>
    <w:p w14:paraId="7A6F2AC8" w14:textId="77777777" w:rsidR="00F90F49" w:rsidRDefault="00F90F49" w:rsidP="002E5C49">
      <w:pPr>
        <w:pStyle w:val="7FigurasytablasencabezadoIIGG"/>
      </w:pPr>
      <w:bookmarkStart w:id="5" w:name="_Hlk193358741"/>
    </w:p>
    <w:p w14:paraId="02247CBD" w14:textId="4B12C064" w:rsidR="002E5C49" w:rsidRPr="00F90F49" w:rsidRDefault="002E5C49" w:rsidP="002E5C49">
      <w:pPr>
        <w:pStyle w:val="7FigurasytablasencabezadoIIGG"/>
        <w:rPr>
          <w:b/>
          <w:bCs/>
        </w:rPr>
      </w:pPr>
      <w:r w:rsidRPr="00F90F49">
        <w:rPr>
          <w:b/>
          <w:bCs/>
        </w:rPr>
        <w:t>Figura 6. Promedio anual de alojamientos que participaron de la EOH en Mar del Plata, Pinamar, Tandil y Villa Gesell entre 2006 y 2024</w:t>
      </w:r>
      <w:bookmarkEnd w:id="5"/>
      <w:r w:rsidRPr="00F90F49">
        <w:rPr>
          <w:rStyle w:val="Refdenotaalpie"/>
          <w:b/>
          <w:bCs/>
        </w:rPr>
        <w:footnoteReference w:id="8"/>
      </w:r>
    </w:p>
    <w:p w14:paraId="1D74F239" w14:textId="66A04993" w:rsidR="002E5C49" w:rsidRDefault="00AD746C" w:rsidP="002E5C49">
      <w:pPr>
        <w:pStyle w:val="7FigurasytablasencabezadoIIGG"/>
      </w:pPr>
      <w:r>
        <w:rPr>
          <w:noProof/>
        </w:rPr>
        <w:drawing>
          <wp:inline distT="0" distB="0" distL="0" distR="0" wp14:anchorId="5EB55431" wp14:editId="76001984">
            <wp:extent cx="4358640" cy="2774950"/>
            <wp:effectExtent l="0" t="0" r="3810" b="6350"/>
            <wp:docPr id="14545954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8640" cy="2774950"/>
                    </a:xfrm>
                    <a:prstGeom prst="rect">
                      <a:avLst/>
                    </a:prstGeom>
                    <a:noFill/>
                  </pic:spPr>
                </pic:pic>
              </a:graphicData>
            </a:graphic>
          </wp:inline>
        </w:drawing>
      </w:r>
    </w:p>
    <w:p w14:paraId="0D62CC2B" w14:textId="5088D2C4" w:rsidR="002E5C49" w:rsidRDefault="002E5C49" w:rsidP="002E5C49">
      <w:pPr>
        <w:pStyle w:val="5TextocomnIIGG"/>
        <w:spacing w:after="120"/>
        <w:jc w:val="center"/>
      </w:pPr>
      <w:r w:rsidRPr="00026DAC">
        <w:t xml:space="preserve">Fuente: </w:t>
      </w:r>
      <w:r w:rsidRPr="00417073">
        <w:t>INDEC</w:t>
      </w:r>
      <w:r>
        <w:t>, EOH 2006 a 2024</w:t>
      </w:r>
      <w:r w:rsidRPr="00417073">
        <w:t>. Elaboración propi</w:t>
      </w:r>
      <w:r>
        <w:t>a</w:t>
      </w:r>
    </w:p>
    <w:p w14:paraId="6B88EDDA" w14:textId="77777777" w:rsidR="00F90F49" w:rsidRDefault="00F90F49" w:rsidP="002E5C49">
      <w:pPr>
        <w:pStyle w:val="7FigurasytablasencabezadoIIGG"/>
      </w:pPr>
    </w:p>
    <w:p w14:paraId="4498F0D0" w14:textId="3B9C056D" w:rsidR="002E5C49" w:rsidRPr="00F90F49" w:rsidRDefault="002E5C49" w:rsidP="002E5C49">
      <w:pPr>
        <w:pStyle w:val="7FigurasytablasencabezadoIIGG"/>
        <w:rPr>
          <w:b/>
          <w:bCs/>
        </w:rPr>
      </w:pPr>
      <w:r w:rsidRPr="00F90F49">
        <w:rPr>
          <w:b/>
          <w:bCs/>
        </w:rPr>
        <w:t>Figura 7. Promedio mensual de alojamientos que participaron de la EOH en Mar del Plata, Pinamar, Tandil y Villa Gesell por períodos entre 2006 y 2024</w:t>
      </w:r>
    </w:p>
    <w:p w14:paraId="14140806" w14:textId="308C7753" w:rsidR="002E5C49" w:rsidRDefault="00AD746C" w:rsidP="002E5C49">
      <w:pPr>
        <w:pStyle w:val="7FigurasytablasencabezadoIIGG"/>
      </w:pPr>
      <w:r>
        <w:rPr>
          <w:noProof/>
        </w:rPr>
        <w:drawing>
          <wp:inline distT="0" distB="0" distL="0" distR="0" wp14:anchorId="11E5376A" wp14:editId="114EC1F2">
            <wp:extent cx="4726940" cy="2882900"/>
            <wp:effectExtent l="0" t="0" r="0" b="0"/>
            <wp:docPr id="7046764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6940" cy="2882900"/>
                    </a:xfrm>
                    <a:prstGeom prst="rect">
                      <a:avLst/>
                    </a:prstGeom>
                    <a:noFill/>
                  </pic:spPr>
                </pic:pic>
              </a:graphicData>
            </a:graphic>
          </wp:inline>
        </w:drawing>
      </w:r>
    </w:p>
    <w:p w14:paraId="0AD7C63B" w14:textId="77777777" w:rsidR="002E5C49" w:rsidRDefault="002E5C49" w:rsidP="002E5C49">
      <w:pPr>
        <w:pStyle w:val="5TextocomnIIGG"/>
        <w:spacing w:after="120"/>
        <w:jc w:val="center"/>
      </w:pPr>
      <w:r w:rsidRPr="00026DAC">
        <w:t xml:space="preserve">Fuente: </w:t>
      </w:r>
      <w:r w:rsidRPr="00417073">
        <w:t>INDEC</w:t>
      </w:r>
      <w:r>
        <w:t>, EOH 2006 a 2024</w:t>
      </w:r>
      <w:r w:rsidRPr="00417073">
        <w:t>. Elaboración propi</w:t>
      </w:r>
      <w:r>
        <w:t>a</w:t>
      </w:r>
    </w:p>
    <w:p w14:paraId="3814699D" w14:textId="6617C535" w:rsidR="002E5C49" w:rsidRDefault="002E5C49" w:rsidP="0040013F">
      <w:pPr>
        <w:pStyle w:val="5TextocomnIIGG"/>
        <w:spacing w:after="120"/>
        <w:ind w:firstLine="567"/>
      </w:pPr>
      <w:r w:rsidRPr="002E5C49">
        <w:lastRenderedPageBreak/>
        <w:t xml:space="preserve">Finalmente, los datos del PUNA generan la posibilidad de enriquecer y complejizar el conocimiento sobre la estructura territorial del alojamiento en el sudeste bonaerense a partir del análisis de su distribución y evolución espacial, debido a la contemplación de un conjunto de unidades espaciales considerablemente mayor al de la EOH. En el caso de esta región, para el período 2014-2024 la fuente divulgó datos sobre 37 localizaciones. Mientras que en algunos casos se revelan valores constantes, representados en la Figura 8 con variación igual a 0%, en otros casos el número de establecimientos aumentó (variaciones positivas) o disminuyó (variaciones negativas) en dicho lapso de tiempo. Entre los puntos más sobresalientes se encuentran localidades vecinas a Mar del Plata como Chapadmalal y Sierra de los Padres. Respecto al primero de estos lugares, en otra investigación se profundizó sobre las transformaciones, disputas y tensiones que viene atravesando, producto del importante crecimiento demográfico observado especialmente desde 2010 y del aumento de las inversiones en servicios. Esto se asocia con su popularización y posicionamiento en el mapa turístico nacional a partir de la pandemia, la cual acentuó la búsqueda y demanda de destinos turísticos más pequeños y dispersos en términos socio-habitacionales (Gordziejczuk </w:t>
      </w:r>
      <w:r w:rsidR="00EF4534" w:rsidRPr="00EF4534">
        <w:rPr>
          <w:i/>
          <w:iCs/>
        </w:rPr>
        <w:t>et al.</w:t>
      </w:r>
      <w:r w:rsidR="00EF4534">
        <w:t>,</w:t>
      </w:r>
      <w:r w:rsidRPr="002E5C49">
        <w:t xml:space="preserve"> 2024).  </w:t>
      </w:r>
    </w:p>
    <w:p w14:paraId="27E65445" w14:textId="77777777" w:rsidR="00F90F49" w:rsidRDefault="00F90F49" w:rsidP="00E37FA7">
      <w:pPr>
        <w:pStyle w:val="5TextocomnIIGG"/>
        <w:spacing w:after="120"/>
        <w:jc w:val="center"/>
      </w:pPr>
    </w:p>
    <w:p w14:paraId="0AE36E5F" w14:textId="0D9BAA70" w:rsidR="002E5C49" w:rsidRPr="00F90F49" w:rsidRDefault="002E5C49" w:rsidP="00E37FA7">
      <w:pPr>
        <w:pStyle w:val="5TextocomnIIGG"/>
        <w:spacing w:after="120"/>
        <w:jc w:val="center"/>
        <w:rPr>
          <w:b/>
          <w:bCs/>
        </w:rPr>
      </w:pPr>
      <w:r w:rsidRPr="00F90F49">
        <w:rPr>
          <w:b/>
          <w:bCs/>
        </w:rPr>
        <w:t>Figura 8. Sudeste de la Provincia de Buenos Aires: variación porcentual del total de alojamientos (hoteleros y parahoteleros) por localidad entre 2014-2024</w:t>
      </w:r>
    </w:p>
    <w:p w14:paraId="52B5F07A" w14:textId="1573294C" w:rsidR="002E5C49" w:rsidRDefault="002E5C49" w:rsidP="00E37FA7">
      <w:pPr>
        <w:pStyle w:val="5TextocomnIIGG"/>
        <w:jc w:val="center"/>
      </w:pPr>
    </w:p>
    <w:p w14:paraId="06193A99" w14:textId="6A561CA4" w:rsidR="00E37FA7" w:rsidRDefault="00A84AD6" w:rsidP="00E37FA7">
      <w:pPr>
        <w:pStyle w:val="5TextocomnIIGG"/>
        <w:jc w:val="center"/>
      </w:pPr>
      <w:r>
        <w:rPr>
          <w:noProof/>
        </w:rPr>
        <w:drawing>
          <wp:inline distT="0" distB="0" distL="0" distR="0" wp14:anchorId="72B8BCBD" wp14:editId="6B6A5BF1">
            <wp:extent cx="3602990" cy="2548255"/>
            <wp:effectExtent l="0" t="0" r="0" b="4445"/>
            <wp:docPr id="2606827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7E643EEA" w14:textId="624991A0" w:rsidR="00A84AD6" w:rsidRDefault="00A84AD6" w:rsidP="00E37FA7">
      <w:pPr>
        <w:pStyle w:val="5TextocomnIIGG"/>
        <w:jc w:val="center"/>
      </w:pPr>
      <w:r>
        <w:rPr>
          <w:noProof/>
        </w:rPr>
        <w:drawing>
          <wp:inline distT="0" distB="0" distL="0" distR="0" wp14:anchorId="50DDCD61" wp14:editId="7CAF0B18">
            <wp:extent cx="3602990" cy="2548255"/>
            <wp:effectExtent l="0" t="0" r="0" b="4445"/>
            <wp:docPr id="8131822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1CC2323A" w14:textId="77777777" w:rsidR="00A84AD6" w:rsidRDefault="00A84AD6" w:rsidP="00E37FA7">
      <w:pPr>
        <w:pStyle w:val="5TextocomnIIGG"/>
        <w:jc w:val="center"/>
      </w:pPr>
    </w:p>
    <w:p w14:paraId="648EEF93" w14:textId="78A574D9" w:rsidR="00A84AD6" w:rsidRDefault="00A84AD6" w:rsidP="00E37FA7">
      <w:pPr>
        <w:pStyle w:val="5TextocomnIIGG"/>
        <w:jc w:val="center"/>
      </w:pPr>
      <w:r>
        <w:rPr>
          <w:noProof/>
        </w:rPr>
        <w:lastRenderedPageBreak/>
        <w:drawing>
          <wp:inline distT="0" distB="0" distL="0" distR="0" wp14:anchorId="263498C8" wp14:editId="1F2F6795">
            <wp:extent cx="3602990" cy="2548255"/>
            <wp:effectExtent l="0" t="0" r="0" b="4445"/>
            <wp:docPr id="13219662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990" cy="2548255"/>
                    </a:xfrm>
                    <a:prstGeom prst="rect">
                      <a:avLst/>
                    </a:prstGeom>
                    <a:noFill/>
                  </pic:spPr>
                </pic:pic>
              </a:graphicData>
            </a:graphic>
          </wp:inline>
        </w:drawing>
      </w:r>
    </w:p>
    <w:p w14:paraId="003E066E" w14:textId="7C96CAE2" w:rsidR="00E37FA7" w:rsidRDefault="00E37FA7" w:rsidP="00E37FA7">
      <w:pPr>
        <w:pStyle w:val="5TextocomnIIGG"/>
        <w:jc w:val="center"/>
      </w:pPr>
    </w:p>
    <w:p w14:paraId="3E5FE028" w14:textId="3F882875" w:rsidR="00E37FA7" w:rsidRDefault="00E37FA7" w:rsidP="00E37FA7">
      <w:pPr>
        <w:pStyle w:val="5TextocomnIIGG"/>
        <w:spacing w:after="120"/>
        <w:jc w:val="center"/>
      </w:pPr>
      <w:r w:rsidRPr="00E37FA7">
        <w:t xml:space="preserve">Fuente: </w:t>
      </w:r>
      <w:r>
        <w:t>PUNA, 2014 a 2024 (</w:t>
      </w:r>
      <w:hyperlink r:id="rId23" w:history="1">
        <w:r w:rsidRPr="00090913">
          <w:rPr>
            <w:rStyle w:val="Hipervnculo"/>
          </w:rPr>
          <w:t>https://tableros.yvera.tur.ar/puna/</w:t>
        </w:r>
      </w:hyperlink>
      <w:r>
        <w:t>)</w:t>
      </w:r>
      <w:r w:rsidRPr="00E37FA7">
        <w:t>. Elaboración propia</w:t>
      </w:r>
    </w:p>
    <w:p w14:paraId="45C2EC80" w14:textId="661C4D50" w:rsidR="00E37FA7" w:rsidRDefault="00E37FA7" w:rsidP="00E37FA7">
      <w:pPr>
        <w:pStyle w:val="5TextocomnIIGG"/>
        <w:spacing w:after="120"/>
        <w:ind w:firstLine="567"/>
      </w:pPr>
      <w:r w:rsidRPr="00E37FA7">
        <w:t>Al observar la dinámica particular de los establecimientos hoteleros, se revela que no todas las localidades poseen este tipo de alojamiento. Al ser, históricamente, la forma más tradicional de hospedaje, se encuentran radicados en los asentamientos balnearios de mayor trayectoria y ciudades cabecera de partido. Por el contrario, los establecimientos parahoteleros se distribuyen entre la totalidad de unidades espaciales que derivan de esta fuente, destacándose, por ejemplo, el peso de categorías como cabañas, bungalows y hosterías, tanto en localidades interiores (Tandil, Balcarce; Villa Laguna La Brava) como costeras (Arenas Verdes; Mar de Cobo). Vale aclarar que cada categoría de establecimiento hotelero y parahotelero podría ser representada individualmente para así ahondar aún más en el conocimiento sobre las diferencias que reviste esta dimensión del turismo, pero dicha labor demanda una extensión superior a la admitida para este trabajo.</w:t>
      </w:r>
    </w:p>
    <w:p w14:paraId="41F41C47" w14:textId="77777777" w:rsidR="00026DAC" w:rsidRPr="00026DAC" w:rsidRDefault="00026DAC" w:rsidP="002E47F3">
      <w:pPr>
        <w:pStyle w:val="5TextocomnIIGG"/>
        <w:spacing w:after="120"/>
      </w:pPr>
    </w:p>
    <w:p w14:paraId="4CEDA00A" w14:textId="26743D34" w:rsidR="00026DAC" w:rsidRPr="00026DAC" w:rsidRDefault="00BC7410" w:rsidP="002E47F3">
      <w:pPr>
        <w:pStyle w:val="4TtulosepgrafesIIGG"/>
        <w:spacing w:after="120"/>
      </w:pPr>
      <w:r>
        <w:t>4</w:t>
      </w:r>
      <w:r w:rsidR="00026DAC" w:rsidRPr="00026DAC">
        <w:t>. Conclusiones</w:t>
      </w:r>
    </w:p>
    <w:p w14:paraId="1FC4B8CE" w14:textId="1AC6F082" w:rsidR="00BC7410" w:rsidRPr="00BC7410" w:rsidRDefault="00BC7410" w:rsidP="00BC7410">
      <w:pPr>
        <w:pStyle w:val="5TextocomnIIGG"/>
        <w:spacing w:after="120"/>
        <w:ind w:firstLine="567"/>
      </w:pPr>
      <w:r w:rsidRPr="00BC7410">
        <w:t xml:space="preserve">El propósito de este trabajo fue analizar la distribución y evolución espacial del alojamiento en el sudeste de la Provincia de Buenos Aires. Las fuentes utilizadas retratan una región con heterogeneidad interna, compuesta por partidos, localidades y radios censales que, en materia de alojamiento, transitan rumbos diferentes. Si bien la decisión de trabajar con el máximo nivel de desagregación espacial que ofrece cada fuente obstaculiza presentar en esta instancia una tabla o mapa síntesis; en términos generales, se reforzó mediante evidencia empírica la preeminencia de Mar del Plata y, por añadidura, del Partido de General Pueyrredon, tanto en cantidad como en tipos de establecimientos. Sin embargo, algunos indicadores revelaron la adquisición de mayor participación relativa de otros espacios y, en uno de los casos, la redistribución espacial integral del alojamiento, aspectos que representan signos distintivos de una región turísticamente inquieta. Pese a esta dinámica, la dependencia hacia el turismo que poseen muchas de las localidades costeras y la estacionalidad de los flujos masivos son una combinación que contribuye a que la turistificación no alcance aquí niveles de mediatización, regulación y conflictividad social comparables, por ejemplo, con Europa occidental, aunque investigaciones ya demuestren que se manifiestan algunos focos de tensión en lugares como Chapadmalal (Gordziejczuk </w:t>
      </w:r>
      <w:r w:rsidR="00EF4534" w:rsidRPr="00EF4534">
        <w:rPr>
          <w:i/>
          <w:iCs/>
        </w:rPr>
        <w:t>et al.</w:t>
      </w:r>
      <w:r w:rsidRPr="00BC7410">
        <w:t xml:space="preserve">, 2024). </w:t>
      </w:r>
    </w:p>
    <w:p w14:paraId="58F28BBA" w14:textId="40589994" w:rsidR="00BC7410" w:rsidRPr="00BC7410" w:rsidRDefault="00BC7410" w:rsidP="00BC7410">
      <w:pPr>
        <w:pStyle w:val="5TextocomnIIGG"/>
        <w:spacing w:after="120"/>
        <w:ind w:firstLine="567"/>
      </w:pPr>
      <w:r w:rsidRPr="00BC7410">
        <w:t xml:space="preserve">Paralelamente, otro aporte del trabajo fue la agrupación de las fuentes y su clasificación según modalidad de alojamiento. En este sentido, se destaca que los datos procedentes de </w:t>
      </w:r>
      <w:r w:rsidRPr="00BC7410">
        <w:lastRenderedPageBreak/>
        <w:t>fuentes oficiales están disponibles tanto para las divisiones político-administrativas del territorio (por ejemplo, los partidos) como para otro tipo de unidades espaciales que responden a fines estadísticos (como los radios censales). Se identificaron más fuentes sobre el turismo serviciado que sobre el turismo residenciado. No obstante, es importante aclarar que, si bien al CNA se lo incluyó como parte del turismo serviciado, el alojamiento en EAP también podría responder al formato de turismo residenciado. Finalmente, el trabajo en detalle con fuentes censales permitió, en primer lugar, advertir respecto a una situación de subregistro y, en segundo lugar, señalar que los cambios en la metodología y l</w:t>
      </w:r>
      <w:r>
        <w:t>a estación</w:t>
      </w:r>
      <w:r w:rsidRPr="00BC7410">
        <w:t xml:space="preserve"> de relevamiento atentan contra el análisis de la evolución espacial del alojamiento turístico. </w:t>
      </w:r>
    </w:p>
    <w:p w14:paraId="6BE7570D" w14:textId="6231E83D" w:rsidR="00BC7410" w:rsidRPr="00BC7410" w:rsidRDefault="00BC7410" w:rsidP="00BC7410">
      <w:pPr>
        <w:pStyle w:val="5TextocomnIIGG"/>
        <w:spacing w:after="120"/>
        <w:ind w:firstLine="567"/>
      </w:pPr>
      <w:r w:rsidRPr="00BC7410">
        <w:t xml:space="preserve">Uno de los siguientes pasos en la investigación debe ser superar el universo de fuentes estatales y explorar sobre la distribución y evolución espacial del alojamiento a partir de la información disponible en plataformas digitales como Booking y Airbnb, entre otras posibles. </w:t>
      </w:r>
      <w:r>
        <w:t>La</w:t>
      </w:r>
      <w:r w:rsidRPr="00BC7410">
        <w:t xml:space="preserve"> decisión metodológica</w:t>
      </w:r>
      <w:r>
        <w:t xml:space="preserve"> de trabajar con fuentes estadísticas oficiales</w:t>
      </w:r>
      <w:r w:rsidRPr="00BC7410">
        <w:t xml:space="preserve"> no niega que gran parte del servicio de alojamiento no es registrado por el Estado por llevarse a cabo en el sector informal de la economía, </w:t>
      </w:r>
      <w:r>
        <w:t>aun</w:t>
      </w:r>
      <w:r w:rsidRPr="00BC7410">
        <w:t>que a su vez esto repercute en que se trate de información difícilmente accesible.</w:t>
      </w:r>
      <w:r>
        <w:t xml:space="preserve"> Respecto a esta discusión, </w:t>
      </w:r>
      <w:r w:rsidRPr="00BC7410">
        <w:t>Lerena Rongvaux declaró que “es necesario relevar la emergencia de Airbnb en otras ciudades argentinas más allá de Buenos Aires, especialmente en aquellas donde, debido a la competencia con el alquiler turístico, la tensión entre alquileres de corto y largo plazo es patente” (2022</w:t>
      </w:r>
      <w:r>
        <w:t xml:space="preserve">, p. </w:t>
      </w:r>
      <w:r w:rsidRPr="00BC7410">
        <w:t>11). En el caso del sudeste bonaerense dicha tensión se aprecia, por ejemplo, en ciudades donde, en determinados momentos del año, coinciden la demanda de alquiler turístico y universitario. Por su parte, Calle Vaquero resaltó que, si bien en este tipo de investigaciones se recurre a fuentes estadísticas convencionales, “crece el uso de técnicas de minería de datos para extraer información de plataformas como TripAdvisor, Booking y Airbnb” (2019</w:t>
      </w:r>
      <w:r>
        <w:t xml:space="preserve">, p. </w:t>
      </w:r>
      <w:r w:rsidRPr="00BC7410">
        <w:t xml:space="preserve">8). </w:t>
      </w:r>
    </w:p>
    <w:p w14:paraId="250390ED" w14:textId="345D3447" w:rsidR="00BC7410" w:rsidRPr="00BC7410" w:rsidRDefault="00BC7410" w:rsidP="00BC7410">
      <w:pPr>
        <w:pStyle w:val="5TextocomnIIGG"/>
        <w:spacing w:after="120"/>
        <w:ind w:firstLine="567"/>
      </w:pPr>
      <w:r w:rsidRPr="00BC7410">
        <w:t>Otro camino posible puede ser indagar sobre la existencia de fuentes estadísticas oficiales, pero de orden provincial y local</w:t>
      </w:r>
      <w:r>
        <w:t>. Así se podría</w:t>
      </w:r>
      <w:r w:rsidRPr="00BC7410">
        <w:t xml:space="preserve"> analiza</w:t>
      </w:r>
      <w:r>
        <w:t>r</w:t>
      </w:r>
      <w:r w:rsidRPr="00BC7410">
        <w:t xml:space="preserve"> su correspondencia o no con la información obtenida a partir de este ejercicio. </w:t>
      </w:r>
    </w:p>
    <w:p w14:paraId="31D3DF76" w14:textId="35252C62" w:rsidR="00BC7410" w:rsidRPr="00BC7410" w:rsidRDefault="00BC7410" w:rsidP="00BC7410">
      <w:pPr>
        <w:pStyle w:val="5TextocomnIIGG"/>
        <w:spacing w:after="120"/>
        <w:ind w:firstLine="567"/>
      </w:pPr>
      <w:r w:rsidRPr="00BC7410">
        <w:t>Por último, la profundización sobre otras dimensiones de</w:t>
      </w:r>
      <w:r>
        <w:t xml:space="preserve"> la </w:t>
      </w:r>
      <w:r w:rsidRPr="00BC7410">
        <w:t xml:space="preserve">turistificación también se posiciona como una posible futura línea de investigación, para la cual autores como García de Fuentes </w:t>
      </w:r>
      <w:r w:rsidRPr="00BC7410">
        <w:rPr>
          <w:i/>
          <w:iCs/>
        </w:rPr>
        <w:t>et al.</w:t>
      </w:r>
      <w:r w:rsidRPr="00BC7410">
        <w:t xml:space="preserve"> (2019) y Fernández-Arroyo (2020) sugieren considerar aspectos como la migración de trabajadores, la expansión territorial de grupos económicos, la ampliación de las vialidades, la promoción de nuevos atractivos turísticos y los procesos de municipalización. En este caso, sería esencial la búsqueda y recopilación de nuevas fuentes georreferenciadas, como así también su homologación con las matrices de datos de alojamientos, para avanzar hacia la medición de la turistificación por medio de índices multidimensionales, cartografía temática y de síntesis. Cualquiera sea el camino, es clara la relevancia de complementar el análisis cuantitativo con el cualitativo, incluyendo a partir de la fusión entre trabajo de oficina y trabajo de campo una mirada crítica y rigurosa sobre los alcances y las limitaciones de las fuentes empleadas. Así se podría contribuir no solo al mundo académico, sino también a los ámbitos de la planificación turística y regional.</w:t>
      </w:r>
    </w:p>
    <w:p w14:paraId="58EF83F5" w14:textId="77777777" w:rsidR="00B54D98" w:rsidRPr="00026DAC" w:rsidRDefault="00B54D98" w:rsidP="002E47F3">
      <w:pPr>
        <w:pStyle w:val="5TextocomnIIGG"/>
        <w:spacing w:after="120"/>
      </w:pPr>
    </w:p>
    <w:p w14:paraId="77A62571" w14:textId="56D2E05B" w:rsidR="00026DAC" w:rsidRPr="00026DAC" w:rsidRDefault="00026DAC" w:rsidP="002E47F3">
      <w:pPr>
        <w:pStyle w:val="4TtulosepgrafesIIGG"/>
        <w:spacing w:after="120"/>
      </w:pPr>
      <w:r w:rsidRPr="00026DAC">
        <w:t>Agradecimientos</w:t>
      </w:r>
    </w:p>
    <w:p w14:paraId="3BF75F48" w14:textId="24E59A5E" w:rsidR="00026DAC" w:rsidRPr="00E10D61" w:rsidRDefault="005032F0" w:rsidP="002E47F3">
      <w:pPr>
        <w:pStyle w:val="5TextocomnIIGG"/>
        <w:spacing w:after="120"/>
      </w:pPr>
      <w:r w:rsidRPr="005032F0">
        <w:t>A Patricia Lucero, Claudia Mikkelsen y Agustín Parracone por su</w:t>
      </w:r>
      <w:r>
        <w:t xml:space="preserve"> apoyo </w:t>
      </w:r>
      <w:r w:rsidRPr="005032F0">
        <w:t xml:space="preserve">durante la redacción. </w:t>
      </w:r>
      <w:r>
        <w:t xml:space="preserve"> </w:t>
      </w:r>
    </w:p>
    <w:p w14:paraId="5DE54402" w14:textId="77777777" w:rsidR="00E37FA7" w:rsidRDefault="00E37FA7" w:rsidP="002E47F3">
      <w:pPr>
        <w:pStyle w:val="4TtulosepgrafesIIGG"/>
        <w:spacing w:after="120"/>
      </w:pPr>
    </w:p>
    <w:p w14:paraId="640E6ED5" w14:textId="77777777" w:rsidR="00284405" w:rsidRDefault="00284405" w:rsidP="00FA7172">
      <w:pPr>
        <w:pStyle w:val="4TtulosepgrafesIIGG"/>
        <w:spacing w:after="120"/>
      </w:pPr>
    </w:p>
    <w:p w14:paraId="6832643D" w14:textId="77777777" w:rsidR="00284405" w:rsidRDefault="00284405" w:rsidP="00FA7172">
      <w:pPr>
        <w:pStyle w:val="4TtulosepgrafesIIGG"/>
        <w:spacing w:after="120"/>
      </w:pPr>
    </w:p>
    <w:p w14:paraId="571C84E9" w14:textId="77777777" w:rsidR="00284405" w:rsidRDefault="00284405" w:rsidP="00FA7172">
      <w:pPr>
        <w:pStyle w:val="4TtulosepgrafesIIGG"/>
        <w:spacing w:after="120"/>
      </w:pPr>
    </w:p>
    <w:p w14:paraId="3768EC7C" w14:textId="703C5F2F" w:rsidR="00FA7172" w:rsidRDefault="00026DAC" w:rsidP="00FA7172">
      <w:pPr>
        <w:pStyle w:val="4TtulosepgrafesIIGG"/>
        <w:spacing w:after="120"/>
      </w:pPr>
      <w:r w:rsidRPr="00026DAC">
        <w:lastRenderedPageBreak/>
        <w:t>Referencias</w:t>
      </w:r>
    </w:p>
    <w:p w14:paraId="439EBE16" w14:textId="77777777" w:rsidR="00C36F5C" w:rsidRDefault="00C36F5C" w:rsidP="007C7010">
      <w:pPr>
        <w:pStyle w:val="5TextocomnIIGG"/>
        <w:spacing w:after="120"/>
      </w:pPr>
      <w:r w:rsidRPr="007C7010">
        <w:t xml:space="preserve">Aledo, A. y Nogués-Pedregal, A. (2019). Turismo residencial internacional. En E. Cañada e I. Murray (Eds.), </w:t>
      </w:r>
      <w:r w:rsidRPr="0036529F">
        <w:rPr>
          <w:i/>
          <w:iCs/>
        </w:rPr>
        <w:t>Turistificación global. Perspectivas críticas en turismo</w:t>
      </w:r>
      <w:r w:rsidRPr="007C7010">
        <w:t xml:space="preserve"> (pp. 113-144). Barcelona: Icaria.</w:t>
      </w:r>
    </w:p>
    <w:p w14:paraId="3BEF1EA5" w14:textId="77777777" w:rsidR="00C36F5C" w:rsidRDefault="00C36F5C" w:rsidP="00E11C63">
      <w:pPr>
        <w:pStyle w:val="5TextocomnIIGG"/>
        <w:spacing w:after="120"/>
      </w:pPr>
      <w:r w:rsidRPr="00F82268">
        <w:t xml:space="preserve">Almirón, A., </w:t>
      </w:r>
      <w:bookmarkStart w:id="6" w:name="_Hlk193049958"/>
      <w:r w:rsidRPr="00F82268">
        <w:t>Bertoncello, R., Kuper, D.</w:t>
      </w:r>
      <w:r>
        <w:t xml:space="preserve"> y</w:t>
      </w:r>
      <w:r w:rsidRPr="00F82268">
        <w:t xml:space="preserve"> Ramírez</w:t>
      </w:r>
      <w:bookmarkEnd w:id="6"/>
      <w:r w:rsidRPr="00F82268">
        <w:t xml:space="preserve">, L. (2008). El turismo como impulsor del desarrollo en Argentina. Una revisión de los estudios sobre la temática. </w:t>
      </w:r>
      <w:r w:rsidRPr="00F82268">
        <w:rPr>
          <w:i/>
          <w:iCs/>
        </w:rPr>
        <w:t>Aportes y Transferencias, 12</w:t>
      </w:r>
      <w:r w:rsidRPr="00F82268">
        <w:t>(1), 57-86.</w:t>
      </w:r>
    </w:p>
    <w:p w14:paraId="5F7772CF" w14:textId="77777777" w:rsidR="00C36F5C" w:rsidRDefault="00C36F5C" w:rsidP="00E11C63">
      <w:pPr>
        <w:pStyle w:val="5TextocomnIIGG"/>
        <w:spacing w:after="120"/>
      </w:pPr>
      <w:r w:rsidRPr="00F82268">
        <w:t>Ares, S., Mikkelsen, C.</w:t>
      </w:r>
      <w:r>
        <w:t xml:space="preserve"> y</w:t>
      </w:r>
      <w:r w:rsidRPr="00F82268">
        <w:t xml:space="preserve"> Lucero, P. (2020). Región, regionalizaciones y delimitación del sudeste de la Provincia de Buenos Aires. </w:t>
      </w:r>
      <w:r w:rsidRPr="00F82268">
        <w:rPr>
          <w:i/>
          <w:iCs/>
        </w:rPr>
        <w:t>Caminos Geográficos, 1</w:t>
      </w:r>
      <w:r w:rsidRPr="00F82268">
        <w:t xml:space="preserve">, 25-48. </w:t>
      </w:r>
      <w:r>
        <w:t xml:space="preserve">Recuperado de </w:t>
      </w:r>
      <w:hyperlink r:id="rId24" w:history="1">
        <w:r w:rsidRPr="00575885">
          <w:rPr>
            <w:rStyle w:val="Hipervnculo"/>
          </w:rPr>
          <w:t>https://gespyt.wixsite.com/gespyt/caminos-geogr%C3%A1ficos</w:t>
        </w:r>
      </w:hyperlink>
    </w:p>
    <w:p w14:paraId="047C6B5C" w14:textId="77777777" w:rsidR="00C36F5C" w:rsidRDefault="00C36F5C" w:rsidP="007C7010">
      <w:pPr>
        <w:pStyle w:val="5TextocomnIIGG"/>
        <w:spacing w:after="120"/>
      </w:pPr>
      <w:r w:rsidRPr="007C7010">
        <w:t xml:space="preserve">Ares, S., Mikkelsen, C. y Rodríguez, C. (2022). Dinámica de la población en contextos de ruralidad. Sobre las otras ruralidades. En M. Irianni (Dir.), </w:t>
      </w:r>
      <w:r w:rsidRPr="0036529F">
        <w:rPr>
          <w:i/>
          <w:iCs/>
        </w:rPr>
        <w:t>Atlas Histórico y Geográfico de la Argentina. Tomo 3, Población</w:t>
      </w:r>
      <w:r w:rsidRPr="007C7010">
        <w:t xml:space="preserve"> (pp. 345-382). Recuperado de </w:t>
      </w:r>
      <w:hyperlink r:id="rId25" w:history="1">
        <w:r w:rsidRPr="00820671">
          <w:rPr>
            <w:rStyle w:val="Hipervnculo"/>
          </w:rPr>
          <w:t>https://www.fch.unicen.edu.ar/atlashyg/Atlas%20poblaci%C3%B3n%20ebook.pdf</w:t>
        </w:r>
      </w:hyperlink>
    </w:p>
    <w:p w14:paraId="342F5B13" w14:textId="77777777" w:rsidR="00C36F5C" w:rsidRDefault="00C36F5C" w:rsidP="0036529F">
      <w:pPr>
        <w:pStyle w:val="5TextocomnIIGG"/>
        <w:spacing w:after="120"/>
      </w:pPr>
      <w:r w:rsidRPr="007C7010">
        <w:t xml:space="preserve">Bertoncello, R. (2006). Turismo, territorio y sociedad: el mapa turístico de la Argentina. En A. I. Geraiges de Lemos, M. Arroyo y M. L. Silveira (Orgs.), </w:t>
      </w:r>
      <w:r w:rsidRPr="0036529F">
        <w:rPr>
          <w:i/>
          <w:iCs/>
        </w:rPr>
        <w:t>América Latina: cidade, campo e turismo</w:t>
      </w:r>
      <w:r w:rsidRPr="007C7010">
        <w:t xml:space="preserve"> (pp. 317-335). São Paulo: CLACSO.</w:t>
      </w:r>
    </w:p>
    <w:p w14:paraId="17C5B9A7" w14:textId="77777777" w:rsidR="00C36F5C" w:rsidRDefault="00C36F5C" w:rsidP="0036529F">
      <w:pPr>
        <w:pStyle w:val="5TextocomnIIGG"/>
        <w:spacing w:after="120"/>
      </w:pPr>
      <w:r w:rsidRPr="007C7010">
        <w:t xml:space="preserve">Buzai, G. (2015). Conceptos fundamentales del análisis espacial que sustentan la investigación científica basada en geotecnologías. En M. Fuenzalida Díaz, G. Buzai, A. Moreno Jiménez y A. García de León, </w:t>
      </w:r>
      <w:r w:rsidRPr="0036529F">
        <w:rPr>
          <w:i/>
          <w:iCs/>
        </w:rPr>
        <w:t>Geografía, geotecnología y análisis espacial: tendencias, métodos y aplicaciones</w:t>
      </w:r>
      <w:r w:rsidRPr="007C7010">
        <w:t xml:space="preserve"> (pp. 56-72). Santiago de Chile: Triángulo.</w:t>
      </w:r>
    </w:p>
    <w:p w14:paraId="176FF5AA" w14:textId="77777777" w:rsidR="00C36F5C" w:rsidRDefault="00C36F5C" w:rsidP="00E11C63">
      <w:pPr>
        <w:pStyle w:val="5TextocomnIIGG"/>
        <w:spacing w:after="120"/>
      </w:pPr>
      <w:r w:rsidRPr="00F82268">
        <w:t xml:space="preserve">Calle Vaquero, M. de la. (2019). Turistificación de centros urbanos: clarificando el debate. </w:t>
      </w:r>
      <w:r w:rsidRPr="00F82268">
        <w:rPr>
          <w:i/>
          <w:iCs/>
        </w:rPr>
        <w:t>Boletín de la Asociación de Geógrafos Españoles, 83</w:t>
      </w:r>
      <w:r w:rsidRPr="00F82268">
        <w:t>, 1-40.</w:t>
      </w:r>
      <w:r>
        <w:t xml:space="preserve"> </w:t>
      </w:r>
      <w:hyperlink r:id="rId26" w:history="1">
        <w:r w:rsidRPr="00575885">
          <w:rPr>
            <w:rStyle w:val="Hipervnculo"/>
          </w:rPr>
          <w:t>https://doi.org/10.21138/bage.2829</w:t>
        </w:r>
      </w:hyperlink>
    </w:p>
    <w:p w14:paraId="3D3044DD" w14:textId="77777777" w:rsidR="00C36F5C" w:rsidRDefault="00C36F5C" w:rsidP="0036529F">
      <w:pPr>
        <w:pStyle w:val="5TextocomnIIGG"/>
        <w:spacing w:after="120"/>
      </w:pPr>
      <w:r w:rsidRPr="007C7010">
        <w:t xml:space="preserve">Cañada, E. y Murray, I. (2019). Introducción: perspectivas críticas en turismo. En E. Cañada e I. Murray (Eds.), </w:t>
      </w:r>
      <w:r w:rsidRPr="0036529F">
        <w:rPr>
          <w:i/>
          <w:iCs/>
        </w:rPr>
        <w:t>Turistificación global. Perspectivas críticas en turismo</w:t>
      </w:r>
      <w:r w:rsidRPr="007C7010">
        <w:t xml:space="preserve"> (pp. 7-34). Barcelona: Icaria.</w:t>
      </w:r>
    </w:p>
    <w:p w14:paraId="7FCE9E69" w14:textId="77777777" w:rsidR="00C36F5C" w:rsidRDefault="00C36F5C" w:rsidP="00E11C63">
      <w:pPr>
        <w:pStyle w:val="5TextocomnIIGG"/>
        <w:spacing w:after="120"/>
      </w:pPr>
      <w:r w:rsidRPr="00F82268">
        <w:t>Cortina, F., Martínez, A.</w:t>
      </w:r>
      <w:r>
        <w:t xml:space="preserve"> y</w:t>
      </w:r>
      <w:r w:rsidRPr="00F82268">
        <w:t xml:space="preserve"> Varela, B. (2002). Aproximación a la investigación del alojamiento privado de uso turístico. </w:t>
      </w:r>
      <w:r w:rsidRPr="00F82268">
        <w:rPr>
          <w:i/>
          <w:iCs/>
        </w:rPr>
        <w:t>Estudios Turísticos, 151</w:t>
      </w:r>
      <w:r w:rsidRPr="00F82268">
        <w:t>, 87-98.</w:t>
      </w:r>
    </w:p>
    <w:p w14:paraId="34A010F7" w14:textId="77777777" w:rsidR="00C36F5C" w:rsidRDefault="00C36F5C" w:rsidP="0036529F">
      <w:pPr>
        <w:pStyle w:val="5TextocomnIIGG"/>
        <w:spacing w:after="120"/>
      </w:pPr>
      <w:r w:rsidRPr="007C7010">
        <w:t xml:space="preserve">Díaz Hernández, R. y Domínguez Mújica, J. (2015). Segunda residencia, residencia secundaria. En L. López Trigal (Dir.), </w:t>
      </w:r>
      <w:r w:rsidRPr="0036529F">
        <w:rPr>
          <w:i/>
          <w:iCs/>
        </w:rPr>
        <w:t>Diccionario de Geografía aplicada y profesional: terminología de análisis, planificación y gestión del territorio</w:t>
      </w:r>
      <w:r w:rsidRPr="007C7010">
        <w:t xml:space="preserve"> (pp. 548-549). Recuperado de </w:t>
      </w:r>
      <w:hyperlink r:id="rId27" w:history="1">
        <w:r w:rsidRPr="00820671">
          <w:rPr>
            <w:rStyle w:val="Hipervnculo"/>
          </w:rPr>
          <w:t>https://www.uv.es/~javier/index_archivos/Diccionario_Geografia%20Aplicada.pdf</w:t>
        </w:r>
      </w:hyperlink>
    </w:p>
    <w:p w14:paraId="7BB7A014" w14:textId="77777777" w:rsidR="00C36F5C" w:rsidRDefault="00C36F5C" w:rsidP="00E11C63">
      <w:pPr>
        <w:pStyle w:val="5TextocomnIIGG"/>
        <w:spacing w:after="120"/>
      </w:pPr>
      <w:r w:rsidRPr="00F82268">
        <w:t>Díaz Parra, I.</w:t>
      </w:r>
      <w:r>
        <w:t xml:space="preserve"> y</w:t>
      </w:r>
      <w:r w:rsidRPr="00F82268">
        <w:t xml:space="preserve"> Sequera, J. (2021). Introducción al número especial Turistificación y transformación urbana. </w:t>
      </w:r>
      <w:r w:rsidRPr="00F82268">
        <w:rPr>
          <w:i/>
          <w:iCs/>
        </w:rPr>
        <w:t>Cuadernos Geográficos, 60</w:t>
      </w:r>
      <w:r w:rsidRPr="00F82268">
        <w:t xml:space="preserve">(1), 6-12. </w:t>
      </w:r>
      <w:hyperlink r:id="rId28" w:history="1">
        <w:r w:rsidRPr="00575885">
          <w:rPr>
            <w:rStyle w:val="Hipervnculo"/>
          </w:rPr>
          <w:t>https://doi.org/10.30827/cuadgeo.v60i1.14067</w:t>
        </w:r>
      </w:hyperlink>
      <w:r>
        <w:t xml:space="preserve">  </w:t>
      </w:r>
    </w:p>
    <w:p w14:paraId="4E8522FD" w14:textId="77777777" w:rsidR="00C36F5C" w:rsidRDefault="00C36F5C" w:rsidP="00E11C63">
      <w:pPr>
        <w:pStyle w:val="5TextocomnIIGG"/>
        <w:spacing w:after="120"/>
      </w:pPr>
      <w:r w:rsidRPr="00F82268">
        <w:t xml:space="preserve">Domínguez, J. A., </w:t>
      </w:r>
      <w:bookmarkStart w:id="7" w:name="_Hlk193050005"/>
      <w:r w:rsidRPr="00F82268">
        <w:t>Aledo, A.</w:t>
      </w:r>
      <w:r>
        <w:t xml:space="preserve"> y</w:t>
      </w:r>
      <w:r w:rsidRPr="00F82268">
        <w:t xml:space="preserve"> Roig Merino</w:t>
      </w:r>
      <w:bookmarkEnd w:id="7"/>
      <w:r w:rsidRPr="00F82268">
        <w:t xml:space="preserve">, B. (2016). Dificultades epistemológicas y técnicas en encuestas a población elusiva: el caso de los turistas residenciales. </w:t>
      </w:r>
      <w:r w:rsidRPr="00F82268">
        <w:rPr>
          <w:i/>
          <w:iCs/>
        </w:rPr>
        <w:t>Cuadernos de Turismo, 37</w:t>
      </w:r>
      <w:r w:rsidRPr="00F82268">
        <w:t xml:space="preserve">, 135-155. </w:t>
      </w:r>
      <w:hyperlink r:id="rId29" w:history="1">
        <w:r w:rsidRPr="00575885">
          <w:rPr>
            <w:rStyle w:val="Hipervnculo"/>
          </w:rPr>
          <w:t>https://doi.org/10.6018/turismo.37.256181</w:t>
        </w:r>
      </w:hyperlink>
      <w:r>
        <w:t xml:space="preserve"> </w:t>
      </w:r>
    </w:p>
    <w:p w14:paraId="649C2A56" w14:textId="77777777" w:rsidR="00C36F5C" w:rsidRDefault="00C36F5C" w:rsidP="00E11C63">
      <w:pPr>
        <w:pStyle w:val="5TextocomnIIGG"/>
        <w:spacing w:after="120"/>
      </w:pPr>
      <w:r w:rsidRPr="00F82268">
        <w:t>Egio Rubio, C. J.</w:t>
      </w:r>
      <w:r>
        <w:t xml:space="preserve"> y</w:t>
      </w:r>
      <w:r w:rsidRPr="00F82268">
        <w:t xml:space="preserve"> Fernández Toledo, P. (2020). Tratamiento en la prensa digital de un fenómeno geográfico: la turistificación. </w:t>
      </w:r>
      <w:r w:rsidRPr="00F82268">
        <w:rPr>
          <w:i/>
          <w:iCs/>
        </w:rPr>
        <w:t>Cuadernos de Turismo, 46</w:t>
      </w:r>
      <w:r w:rsidRPr="00F82268">
        <w:t xml:space="preserve">, 249-267. </w:t>
      </w:r>
      <w:hyperlink r:id="rId30" w:history="1">
        <w:r w:rsidRPr="00575885">
          <w:rPr>
            <w:rStyle w:val="Hipervnculo"/>
          </w:rPr>
          <w:t>https://doi.org/10.6018/turismo.451831</w:t>
        </w:r>
      </w:hyperlink>
      <w:r>
        <w:t xml:space="preserve"> </w:t>
      </w:r>
    </w:p>
    <w:p w14:paraId="56110AB2" w14:textId="77777777" w:rsidR="00C36F5C" w:rsidRDefault="00C36F5C" w:rsidP="0036529F">
      <w:pPr>
        <w:pStyle w:val="5TextocomnIIGG"/>
        <w:spacing w:after="120"/>
      </w:pPr>
      <w:r w:rsidRPr="007C7010">
        <w:t xml:space="preserve">Fernández-Arroyo, A. (2020). Aplicación de un índice de especialización funcional del turismo en la identificación de relaciones de desigualdad territorial. En G. X. Pons, A. Blanco-Romero, </w:t>
      </w:r>
      <w:r w:rsidRPr="007C7010">
        <w:lastRenderedPageBreak/>
        <w:t xml:space="preserve">R. Navalón-García, L. Troitiño-Torralba y M. Blázquez-Salom (Eds.), </w:t>
      </w:r>
      <w:r w:rsidRPr="0036529F">
        <w:rPr>
          <w:i/>
          <w:iCs/>
        </w:rPr>
        <w:t>Sostenibilidad Turística: overtourism vs undertourism</w:t>
      </w:r>
      <w:r w:rsidRPr="007C7010">
        <w:t xml:space="preserve"> (pp. 57-66). Palma: Societat d’Història Natural de les Balears.</w:t>
      </w:r>
    </w:p>
    <w:p w14:paraId="66D42641" w14:textId="77777777" w:rsidR="00C36F5C" w:rsidRDefault="00C36F5C" w:rsidP="00E11C63">
      <w:pPr>
        <w:pStyle w:val="5TextocomnIIGG"/>
        <w:spacing w:after="120"/>
      </w:pPr>
      <w:r w:rsidRPr="00F82268">
        <w:t>Ferrando, L., Sagua, M. C.</w:t>
      </w:r>
      <w:r>
        <w:t xml:space="preserve"> y</w:t>
      </w:r>
      <w:r w:rsidRPr="00F82268">
        <w:t xml:space="preserve"> Ares, S. E. (2022). ¿Cómo crece el Eje 11? Estudio de la reciente dinámica poblacional y habitacional en la franja costera de los Partidos de General Pueyrredon y Mar Chiquita (2001-2020). </w:t>
      </w:r>
      <w:r w:rsidRPr="00E11C63">
        <w:rPr>
          <w:i/>
          <w:iCs/>
        </w:rPr>
        <w:t>Caminos Geográficos, 3</w:t>
      </w:r>
      <w:r w:rsidRPr="00F82268">
        <w:t xml:space="preserve">, 27-51. </w:t>
      </w:r>
      <w:r>
        <w:t xml:space="preserve">Recuperado de </w:t>
      </w:r>
      <w:hyperlink r:id="rId31" w:history="1">
        <w:r w:rsidRPr="00575885">
          <w:rPr>
            <w:rStyle w:val="Hipervnculo"/>
          </w:rPr>
          <w:t>https://gespyt.wixsite.com/gespyt/caminos-geogr%C3%A1ficos</w:t>
        </w:r>
      </w:hyperlink>
    </w:p>
    <w:p w14:paraId="73CC7269" w14:textId="77777777" w:rsidR="00C36F5C" w:rsidRDefault="00C36F5C" w:rsidP="00E11C63">
      <w:pPr>
        <w:pStyle w:val="5TextocomnIIGG"/>
        <w:spacing w:after="120"/>
      </w:pPr>
      <w:r w:rsidRPr="00E11C63">
        <w:t>Freytag, T.</w:t>
      </w:r>
      <w:r>
        <w:t xml:space="preserve"> y</w:t>
      </w:r>
      <w:r w:rsidRPr="00E11C63">
        <w:t xml:space="preserve"> Bauder, M. (2018). Bottom-up touristification and urban transformations in Paris. </w:t>
      </w:r>
      <w:r w:rsidRPr="00E11C63">
        <w:rPr>
          <w:i/>
          <w:iCs/>
        </w:rPr>
        <w:t>Tourism Geographies, 20</w:t>
      </w:r>
      <w:r w:rsidRPr="00E11C63">
        <w:t xml:space="preserve">(3), 443-460. </w:t>
      </w:r>
      <w:hyperlink r:id="rId32" w:history="1">
        <w:r w:rsidRPr="00575885">
          <w:rPr>
            <w:rStyle w:val="Hipervnculo"/>
          </w:rPr>
          <w:t>https://doi.org/10.1080/14616688.2018.1454504</w:t>
        </w:r>
      </w:hyperlink>
      <w:r>
        <w:t xml:space="preserve"> </w:t>
      </w:r>
    </w:p>
    <w:p w14:paraId="05FA9A8E" w14:textId="1D4C4E6B" w:rsidR="00C36F5C" w:rsidRDefault="00C36F5C" w:rsidP="00E11C63">
      <w:pPr>
        <w:pStyle w:val="5TextocomnIIGG"/>
        <w:spacing w:after="120"/>
      </w:pPr>
      <w:r w:rsidRPr="00E11C63">
        <w:t xml:space="preserve">García, E. (2018). Turismo residencial: una aproximación a la dinámica turístico-inmobiliaria en la ciudad de Santa Rosa de Calamuchita, Córdoba (Argentina). </w:t>
      </w:r>
      <w:r w:rsidRPr="00E11C63">
        <w:rPr>
          <w:i/>
          <w:iCs/>
        </w:rPr>
        <w:t>El periplo sustentable, 34</w:t>
      </w:r>
      <w:r w:rsidRPr="00E11C63">
        <w:t xml:space="preserve">, 236-255. </w:t>
      </w:r>
      <w:r>
        <w:t xml:space="preserve">Recuperado de </w:t>
      </w:r>
      <w:hyperlink r:id="rId33" w:history="1">
        <w:r w:rsidRPr="00575885">
          <w:rPr>
            <w:rStyle w:val="Hipervnculo"/>
          </w:rPr>
          <w:t>http://www.scielo.org.mx/scielo.php?script=sci_arttext&amp;amp;pid=S1870-90362018000100236&amp;amp;lng=es&amp;amp;tlng=es</w:t>
        </w:r>
      </w:hyperlink>
      <w:r w:rsidRPr="00E11C63">
        <w:t>.</w:t>
      </w:r>
    </w:p>
    <w:p w14:paraId="054E2E71" w14:textId="77777777" w:rsidR="00C36F5C" w:rsidRDefault="00C36F5C" w:rsidP="0036529F">
      <w:pPr>
        <w:pStyle w:val="5TextocomnIIGG"/>
        <w:spacing w:after="120"/>
      </w:pPr>
      <w:r w:rsidRPr="007C7010">
        <w:t xml:space="preserve">García Andreu, H. (2005). Un acercamiento al concepto de turismo residencial. En M. Mazón y A. Aledo (Eds.), </w:t>
      </w:r>
      <w:r w:rsidRPr="0036529F">
        <w:rPr>
          <w:i/>
          <w:iCs/>
        </w:rPr>
        <w:t>Turismo residencial y cambio social: nuevas perspectivas teóricas y empíricas</w:t>
      </w:r>
      <w:r w:rsidRPr="007C7010">
        <w:t xml:space="preserve"> (pp. 55-70). Alicante: Aguaclara.</w:t>
      </w:r>
    </w:p>
    <w:p w14:paraId="2358681D" w14:textId="77777777" w:rsidR="00C36F5C" w:rsidRDefault="00C36F5C" w:rsidP="00E11C63">
      <w:pPr>
        <w:pStyle w:val="5TextocomnIIGG"/>
        <w:spacing w:after="120"/>
        <w:rPr>
          <w:rStyle w:val="Hipervnculo"/>
        </w:rPr>
      </w:pPr>
      <w:r w:rsidRPr="00E11C63">
        <w:t xml:space="preserve">García de Fuentes, A., </w:t>
      </w:r>
      <w:bookmarkStart w:id="8" w:name="_Hlk193049810"/>
      <w:r w:rsidRPr="00E11C63">
        <w:t>Jouault, S.</w:t>
      </w:r>
      <w:r>
        <w:t xml:space="preserve"> y</w:t>
      </w:r>
      <w:r w:rsidRPr="00E11C63">
        <w:t xml:space="preserve"> Romero</w:t>
      </w:r>
      <w:bookmarkEnd w:id="8"/>
      <w:r w:rsidRPr="00E11C63">
        <w:t xml:space="preserve">, D. (2019). Representaciones cartográficas de la turistificación de la península de Yucatán a medio siglo de la creación de Cancún. </w:t>
      </w:r>
      <w:r w:rsidRPr="00E11C63">
        <w:rPr>
          <w:i/>
          <w:iCs/>
        </w:rPr>
        <w:t>Investigaciones Geográficas, 100</w:t>
      </w:r>
      <w:r>
        <w:t>, 1-19.</w:t>
      </w:r>
      <w:r w:rsidRPr="00E11C63">
        <w:t xml:space="preserve"> </w:t>
      </w:r>
      <w:hyperlink r:id="rId34" w:history="1">
        <w:r w:rsidRPr="00E11C63">
          <w:rPr>
            <w:rStyle w:val="Hipervnculo"/>
          </w:rPr>
          <w:t>https://doi.org/10.14350/rig.60023</w:t>
        </w:r>
      </w:hyperlink>
    </w:p>
    <w:p w14:paraId="61C89272" w14:textId="2F13E005" w:rsidR="00C36F5C" w:rsidRDefault="00C36F5C" w:rsidP="00E11C63">
      <w:pPr>
        <w:pStyle w:val="5TextocomnIIGG"/>
        <w:spacing w:after="120"/>
      </w:pPr>
      <w:r w:rsidRPr="00EF4534">
        <w:t>Gordziejczuk, M., Ares, S. y López, M. (septiembre de 2024). Ruralidades y turistificación en el sudeste pampeano. Entre la armonía y el conflicto en el fenómeno “Chapa</w:t>
      </w:r>
      <w:r>
        <w:t xml:space="preserve">”. En C. </w:t>
      </w:r>
      <w:r w:rsidRPr="00B90104">
        <w:t>Steinhäuser, F</w:t>
      </w:r>
      <w:r>
        <w:t>.</w:t>
      </w:r>
      <w:r w:rsidRPr="00B90104">
        <w:t xml:space="preserve"> Martín</w:t>
      </w:r>
      <w:r>
        <w:t xml:space="preserve"> y </w:t>
      </w:r>
      <w:r w:rsidRPr="00B90104">
        <w:t>F</w:t>
      </w:r>
      <w:r>
        <w:t>.</w:t>
      </w:r>
      <w:r w:rsidRPr="00B90104">
        <w:t xml:space="preserve"> Ruiz Peyré</w:t>
      </w:r>
      <w:r>
        <w:t xml:space="preserve"> (Orgs.), </w:t>
      </w:r>
      <w:r w:rsidRPr="00EF4534">
        <w:rPr>
          <w:i/>
          <w:iCs/>
        </w:rPr>
        <w:t>31° Coloquio de la Comisión de Sustentabilidad de Sistemas Rurales de la Unión Geográfica Internacional</w:t>
      </w:r>
      <w:r w:rsidRPr="00B90104">
        <w:t xml:space="preserve">, </w:t>
      </w:r>
      <w:r w:rsidRPr="00EF4534">
        <w:t>Mendoza</w:t>
      </w:r>
      <w:r>
        <w:t xml:space="preserve"> (inédito).</w:t>
      </w:r>
    </w:p>
    <w:p w14:paraId="187CC321" w14:textId="42841FE6" w:rsidR="00C36F5C" w:rsidRDefault="00C36F5C" w:rsidP="00E11C63">
      <w:pPr>
        <w:pStyle w:val="5TextocomnIIGG"/>
        <w:spacing w:after="120"/>
      </w:pPr>
      <w:r w:rsidRPr="00E11C63">
        <w:t>Gordziejczuk, M.</w:t>
      </w:r>
      <w:r>
        <w:t xml:space="preserve"> y</w:t>
      </w:r>
      <w:r w:rsidRPr="00E11C63">
        <w:t xml:space="preserve"> Mikkelsen, C. (2023a). Turismo y recreación en los espacios rurales de Argentina: variaciones según los Censos Nacionales Agropecuarios 2002 y 2018. </w:t>
      </w:r>
      <w:r w:rsidRPr="00E11C63">
        <w:rPr>
          <w:i/>
          <w:iCs/>
        </w:rPr>
        <w:t>Investigaciones Geográficas, 110</w:t>
      </w:r>
      <w:r>
        <w:t>, 1-19.</w:t>
      </w:r>
      <w:r w:rsidRPr="00E11C63">
        <w:t xml:space="preserve"> </w:t>
      </w:r>
      <w:hyperlink r:id="rId35" w:history="1">
        <w:r w:rsidRPr="00575885">
          <w:rPr>
            <w:rStyle w:val="Hipervnculo"/>
          </w:rPr>
          <w:t>https://doi.org/10.14350/rig.60624</w:t>
        </w:r>
      </w:hyperlink>
    </w:p>
    <w:p w14:paraId="0556986B" w14:textId="77777777" w:rsidR="00C36F5C" w:rsidRDefault="00C36F5C" w:rsidP="00E11C63">
      <w:pPr>
        <w:pStyle w:val="5TextocomnIIGG"/>
        <w:spacing w:after="120"/>
      </w:pPr>
      <w:r w:rsidRPr="00E11C63">
        <w:t>Gordziejczuk, M.</w:t>
      </w:r>
      <w:r>
        <w:t xml:space="preserve"> y</w:t>
      </w:r>
      <w:r w:rsidRPr="00E11C63">
        <w:t xml:space="preserve"> Mikkelsen, C. (2023b). Situación de los establecimientos agropecuarios turístico-recreativos en el Sudeste bonaerense según los Censos Nacionales Agropecuarios 2002 y 2018. </w:t>
      </w:r>
      <w:r w:rsidRPr="00E11C63">
        <w:rPr>
          <w:i/>
          <w:iCs/>
        </w:rPr>
        <w:t>Caminos Geográficos, 4</w:t>
      </w:r>
      <w:r w:rsidRPr="00E11C63">
        <w:t xml:space="preserve">, 47-65. </w:t>
      </w:r>
      <w:r>
        <w:t xml:space="preserve">Recuperado de </w:t>
      </w:r>
      <w:hyperlink r:id="rId36" w:history="1">
        <w:r w:rsidRPr="00575885">
          <w:rPr>
            <w:rStyle w:val="Hipervnculo"/>
          </w:rPr>
          <w:t>https://6007826d-3657-4b01-9da2-ff27ea12054f.filesusr.com/ugd/e5a2c5_bf024490749a422685e568c3cb6a470f.pdf</w:t>
        </w:r>
      </w:hyperlink>
    </w:p>
    <w:p w14:paraId="3D016A86" w14:textId="77777777" w:rsidR="00C36F5C" w:rsidRDefault="00C36F5C" w:rsidP="00E11C63">
      <w:pPr>
        <w:pStyle w:val="5TextocomnIIGG"/>
        <w:spacing w:after="120"/>
      </w:pPr>
      <w:r w:rsidRPr="00E11C63">
        <w:t xml:space="preserve">Hernández Cordero, A. (2021). Gentrificación y turistificación: origen común, efectos diferentes. </w:t>
      </w:r>
      <w:r w:rsidRPr="00E11C63">
        <w:rPr>
          <w:i/>
          <w:iCs/>
        </w:rPr>
        <w:t>Dimensiones Turísticas, 5</w:t>
      </w:r>
      <w:r w:rsidRPr="00E11C63">
        <w:t xml:space="preserve">(9), 128-137. </w:t>
      </w:r>
      <w:hyperlink r:id="rId37" w:history="1">
        <w:r w:rsidRPr="00575885">
          <w:rPr>
            <w:rStyle w:val="Hipervnculo"/>
          </w:rPr>
          <w:t>https://doi.org/10.47557/KRUW8909</w:t>
        </w:r>
      </w:hyperlink>
    </w:p>
    <w:p w14:paraId="1EB60F47" w14:textId="77777777" w:rsidR="00C36F5C" w:rsidRDefault="00C36F5C" w:rsidP="00C36F5C">
      <w:pPr>
        <w:pStyle w:val="5TextocomnIIGG"/>
        <w:spacing w:after="120"/>
        <w:rPr>
          <w:rStyle w:val="Hipervnculo"/>
        </w:rPr>
      </w:pPr>
      <w:r w:rsidRPr="002A36C2">
        <w:t xml:space="preserve">Hiernaux, D. (2015). Turismo residencial. En L. López Trigal (Dir.), </w:t>
      </w:r>
      <w:r w:rsidRPr="002A36C2">
        <w:rPr>
          <w:i/>
          <w:iCs/>
        </w:rPr>
        <w:t>Diccionario de Geografía aplicada y profesional: terminología de análisis, planificación y gestión del territorio</w:t>
      </w:r>
      <w:r w:rsidRPr="002A36C2">
        <w:t xml:space="preserve"> (pp. 607-608). </w:t>
      </w:r>
      <w:r w:rsidRPr="007C7010">
        <w:t xml:space="preserve">Recuperado de </w:t>
      </w:r>
      <w:hyperlink r:id="rId38" w:history="1">
        <w:r w:rsidRPr="00820671">
          <w:rPr>
            <w:rStyle w:val="Hipervnculo"/>
          </w:rPr>
          <w:t>https://www.uv.es/~javier/index_archivos/Diccionario_Geografia%20Aplicada.pdf</w:t>
        </w:r>
      </w:hyperlink>
    </w:p>
    <w:p w14:paraId="7BBC7489" w14:textId="42D1DA8D" w:rsidR="00C36F5C" w:rsidRPr="00C36F5C" w:rsidRDefault="00C36F5C" w:rsidP="00C36F5C">
      <w:pPr>
        <w:pStyle w:val="5TextocomnIIGG"/>
        <w:spacing w:after="120"/>
        <w:rPr>
          <w:rStyle w:val="Hipervnculo"/>
          <w:color w:val="auto"/>
          <w:u w:val="none"/>
        </w:rPr>
      </w:pPr>
      <w:r w:rsidRPr="009F5F24">
        <w:t xml:space="preserve">Hiernaux, D. (2006). Geografía del Turismo. En D. Hiernaux </w:t>
      </w:r>
      <w:r>
        <w:t>y</w:t>
      </w:r>
      <w:r w:rsidRPr="009F5F24">
        <w:t xml:space="preserve"> A. Lindón (Dirs.), </w:t>
      </w:r>
      <w:r w:rsidRPr="002A36C2">
        <w:rPr>
          <w:i/>
          <w:iCs/>
        </w:rPr>
        <w:t>Tratado de Geografía humana</w:t>
      </w:r>
      <w:r w:rsidRPr="009F5F24">
        <w:t xml:space="preserve"> (pp. 401-432). </w:t>
      </w:r>
      <w:r>
        <w:t xml:space="preserve">Barcelona: </w:t>
      </w:r>
      <w:r w:rsidRPr="009F5F24">
        <w:t>Anthropos,</w:t>
      </w:r>
    </w:p>
    <w:p w14:paraId="45591218" w14:textId="77777777" w:rsidR="00C36F5C" w:rsidRDefault="00C36F5C" w:rsidP="00C36F5C">
      <w:pPr>
        <w:pStyle w:val="5TextocomnIIGG"/>
        <w:spacing w:after="120"/>
      </w:pPr>
      <w:r w:rsidRPr="002A36C2">
        <w:t xml:space="preserve">Hiernaux, D. (2000). La fuerza de lo efímero. Apuntes sobre la construcción de la vida cotidiana en el turismo. En A. Lindón (Coord.), </w:t>
      </w:r>
      <w:r w:rsidRPr="002A36C2">
        <w:rPr>
          <w:i/>
          <w:iCs/>
        </w:rPr>
        <w:t>La vida cotidiana y su espacio-temporalidad</w:t>
      </w:r>
      <w:r w:rsidRPr="002A36C2">
        <w:t xml:space="preserve"> (pp. 95-122). </w:t>
      </w:r>
      <w:r>
        <w:t xml:space="preserve">Barcelona: </w:t>
      </w:r>
      <w:r w:rsidRPr="002A36C2">
        <w:t>Anthropos.</w:t>
      </w:r>
    </w:p>
    <w:p w14:paraId="1360C493" w14:textId="77777777" w:rsidR="00B4749E" w:rsidRDefault="00B4749E" w:rsidP="00C36F5C">
      <w:pPr>
        <w:pStyle w:val="5TextocomnIIGG"/>
        <w:spacing w:after="120"/>
      </w:pPr>
      <w:r w:rsidRPr="00B90104">
        <w:t xml:space="preserve">Instituto Nacional de Estadística y Censos (2024). </w:t>
      </w:r>
      <w:r w:rsidRPr="00B90104">
        <w:rPr>
          <w:i/>
          <w:iCs/>
        </w:rPr>
        <w:t>Censo Nacional de Población, Hogares y Viviendas 2022. Resultados definitivos. Base de datos REDATAM. Definiciones de la base de datos.</w:t>
      </w:r>
      <w:r>
        <w:t xml:space="preserve"> </w:t>
      </w:r>
      <w:r w:rsidRPr="00B90104">
        <w:t xml:space="preserve">Buenos Aires: </w:t>
      </w:r>
      <w:r>
        <w:t>INDEC. Recuperado de</w:t>
      </w:r>
      <w:r w:rsidRPr="00B90104">
        <w:t xml:space="preserve"> </w:t>
      </w:r>
      <w:hyperlink r:id="rId39" w:history="1">
        <w:r w:rsidRPr="00F91CBD">
          <w:rPr>
            <w:rStyle w:val="Hipervnculo"/>
          </w:rPr>
          <w:t>https://www.indec.gob.ar/indec/web/Nivel4-Tema-2-41-165</w:t>
        </w:r>
      </w:hyperlink>
    </w:p>
    <w:p w14:paraId="02620716" w14:textId="77777777" w:rsidR="00B4749E" w:rsidRDefault="00B4749E" w:rsidP="00C36F5C">
      <w:pPr>
        <w:pStyle w:val="5TextocomnIIGG"/>
        <w:spacing w:after="120"/>
      </w:pPr>
      <w:r w:rsidRPr="00B90104">
        <w:lastRenderedPageBreak/>
        <w:t xml:space="preserve">Instituto Nacional de Estadística y Censos (2023). </w:t>
      </w:r>
      <w:r w:rsidRPr="00B90104">
        <w:rPr>
          <w:i/>
          <w:iCs/>
        </w:rPr>
        <w:t>Censo Nacional de Población, Hogares y Viviendas 2022: resultados definitivos: indicadores demográficos por sexo y edad.</w:t>
      </w:r>
      <w:r w:rsidRPr="00B90104">
        <w:t xml:space="preserve"> Buenos Aires: I</w:t>
      </w:r>
      <w:r>
        <w:t>NDEC</w:t>
      </w:r>
      <w:r w:rsidRPr="00B90104">
        <w:t xml:space="preserve">. </w:t>
      </w:r>
      <w:r>
        <w:t>Recuperado de</w:t>
      </w:r>
      <w:r w:rsidRPr="00B90104">
        <w:t xml:space="preserve"> </w:t>
      </w:r>
      <w:hyperlink r:id="rId40" w:history="1">
        <w:r w:rsidRPr="00F91CBD">
          <w:rPr>
            <w:rStyle w:val="Hipervnculo"/>
          </w:rPr>
          <w:t>https://www.indec.gob.ar/indec/web/Nivel4-Tema-2-41-165</w:t>
        </w:r>
      </w:hyperlink>
    </w:p>
    <w:p w14:paraId="05B675A4" w14:textId="77777777" w:rsidR="00B4749E" w:rsidRDefault="00B4749E" w:rsidP="00C36F5C">
      <w:pPr>
        <w:pStyle w:val="5TextocomnIIGG"/>
        <w:spacing w:after="120"/>
      </w:pPr>
      <w:r w:rsidRPr="00B90104">
        <w:t xml:space="preserve">Instituto Nacional de Estadística y Censos (2020). </w:t>
      </w:r>
      <w:r w:rsidRPr="00B90104">
        <w:rPr>
          <w:i/>
          <w:iCs/>
        </w:rPr>
        <w:t>Encuesta de Ocupación Hotelera-EOH: aspectos metodológicos</w:t>
      </w:r>
      <w:r>
        <w:t xml:space="preserve">. </w:t>
      </w:r>
      <w:r w:rsidRPr="00B90104">
        <w:t>Buenos Aires: I</w:t>
      </w:r>
      <w:r>
        <w:t>NDEC</w:t>
      </w:r>
      <w:r w:rsidRPr="00B90104">
        <w:t>.</w:t>
      </w:r>
      <w:r>
        <w:t xml:space="preserve"> Recuperado de </w:t>
      </w:r>
      <w:r w:rsidRPr="00B90104">
        <w:t xml:space="preserve"> </w:t>
      </w:r>
      <w:hyperlink r:id="rId41" w:history="1">
        <w:r w:rsidRPr="00F91CBD">
          <w:rPr>
            <w:rStyle w:val="Hipervnculo"/>
          </w:rPr>
          <w:t>https://www.indec.gob.ar/indec/web/Nivel4-Tema-3-13-56</w:t>
        </w:r>
      </w:hyperlink>
      <w:r>
        <w:t xml:space="preserve"> </w:t>
      </w:r>
    </w:p>
    <w:p w14:paraId="43CBD338" w14:textId="77777777" w:rsidR="00B4749E" w:rsidRDefault="00B4749E" w:rsidP="00C36F5C">
      <w:pPr>
        <w:pStyle w:val="5TextocomnIIGG"/>
        <w:spacing w:after="120"/>
      </w:pPr>
      <w:r w:rsidRPr="00B90104">
        <w:t xml:space="preserve">Instituto Nacional de Estadística y Censos (2017). </w:t>
      </w:r>
      <w:r w:rsidRPr="00C36F5C">
        <w:rPr>
          <w:i/>
          <w:iCs/>
        </w:rPr>
        <w:t>Censo Nacional de Población, Hogares y Viviendas 2010. Censo del Bicentenario. Base de datos REDATAM. Definiciones de la base de datos.</w:t>
      </w:r>
      <w:r>
        <w:rPr>
          <w:i/>
          <w:iCs/>
        </w:rPr>
        <w:t xml:space="preserve"> </w:t>
      </w:r>
      <w:r w:rsidRPr="00B90104">
        <w:t>Buenos Aires: I</w:t>
      </w:r>
      <w:r>
        <w:t xml:space="preserve">NDEC. Recuperado de </w:t>
      </w:r>
      <w:hyperlink r:id="rId42" w:history="1">
        <w:r w:rsidRPr="00F91CBD">
          <w:rPr>
            <w:rStyle w:val="Hipervnculo"/>
          </w:rPr>
          <w:t>https://redatam.indec.gob.ar/redarg/censos/cpv2010rad/Docs/base.pdf</w:t>
        </w:r>
      </w:hyperlink>
    </w:p>
    <w:p w14:paraId="7D72F67A" w14:textId="77777777" w:rsidR="00B4749E" w:rsidRDefault="00B4749E" w:rsidP="00C36F5C">
      <w:pPr>
        <w:pStyle w:val="5TextocomnIIGG"/>
        <w:spacing w:after="120"/>
      </w:pPr>
      <w:r w:rsidRPr="00B90104">
        <w:t xml:space="preserve">Instituto Nacional de Estadística y Censos (1997). </w:t>
      </w:r>
      <w:r w:rsidRPr="00C36F5C">
        <w:rPr>
          <w:i/>
          <w:iCs/>
        </w:rPr>
        <w:t>Censo Nacional de Población y Vivienda, 1991. Evaluación de la calidad de datos y avances metodológicos. Serie J, N° 2</w:t>
      </w:r>
      <w:r w:rsidRPr="00B90104">
        <w:t>.</w:t>
      </w:r>
      <w:r>
        <w:t xml:space="preserve"> </w:t>
      </w:r>
      <w:r w:rsidRPr="00B90104">
        <w:t>Buenos Aires: I</w:t>
      </w:r>
      <w:r>
        <w:t>NDEC.</w:t>
      </w:r>
    </w:p>
    <w:p w14:paraId="3E66B3DC" w14:textId="77777777" w:rsidR="00B4749E" w:rsidRDefault="00B4749E" w:rsidP="00C36F5C">
      <w:pPr>
        <w:pStyle w:val="5TextocomnIIGG"/>
        <w:spacing w:after="120"/>
      </w:pPr>
      <w:r w:rsidRPr="00B90104">
        <w:t>Instituto Nacional de Estadística y Censos</w:t>
      </w:r>
      <w:r>
        <w:t xml:space="preserve"> </w:t>
      </w:r>
      <w:r w:rsidRPr="00B90104">
        <w:t xml:space="preserve">(1994). </w:t>
      </w:r>
      <w:r w:rsidRPr="00C36F5C">
        <w:rPr>
          <w:i/>
          <w:iCs/>
        </w:rPr>
        <w:t>Censo Nacional de Población y Vivienda, 1991. Resultados definitivos- Características seleccionadas. Santa Fe. Serie B, N° 21</w:t>
      </w:r>
      <w:r w:rsidRPr="00B90104">
        <w:t>.</w:t>
      </w:r>
      <w:r>
        <w:t xml:space="preserve"> </w:t>
      </w:r>
      <w:r w:rsidRPr="00B90104">
        <w:t>Buenos Aires: I</w:t>
      </w:r>
      <w:r>
        <w:t>NDEC.</w:t>
      </w:r>
    </w:p>
    <w:p w14:paraId="5626A23A" w14:textId="22043BFB" w:rsidR="00C36F5C" w:rsidRDefault="00C36F5C" w:rsidP="00B90104">
      <w:pPr>
        <w:pStyle w:val="5TextocomnIIGG"/>
        <w:spacing w:after="120"/>
        <w:rPr>
          <w:color w:val="0000FF" w:themeColor="hyperlink"/>
          <w:u w:val="single"/>
        </w:rPr>
      </w:pPr>
      <w:r w:rsidRPr="00B90104">
        <w:t>Instituto Nacional de Estadística y Censos (s/</w:t>
      </w:r>
      <w:r w:rsidR="00B4749E">
        <w:t>d</w:t>
      </w:r>
      <w:r w:rsidRPr="00B90104">
        <w:t xml:space="preserve">). </w:t>
      </w:r>
      <w:r w:rsidRPr="00C36F5C">
        <w:rPr>
          <w:i/>
          <w:iCs/>
        </w:rPr>
        <w:t>Censo Nacional de Población, Hogares y Viviendas 2001. Base de Datos. Definiciones de la base de datos</w:t>
      </w:r>
      <w:r w:rsidRPr="00B90104">
        <w:t>.</w:t>
      </w:r>
      <w:r>
        <w:t xml:space="preserve"> Recuperado de </w:t>
      </w:r>
      <w:hyperlink r:id="rId43" w:history="1">
        <w:r w:rsidRPr="00F91CBD">
          <w:rPr>
            <w:rStyle w:val="Hipervnculo"/>
          </w:rPr>
          <w:t>https://redatam.indec.gob.ar/redarg/censos/CPV2001ARG/DOCS/Definiciones%20CD%20Base%20CNPHV2001_d.pdf</w:t>
        </w:r>
      </w:hyperlink>
      <w:r>
        <w:t xml:space="preserve"> </w:t>
      </w:r>
    </w:p>
    <w:p w14:paraId="232A7FA9" w14:textId="77777777" w:rsidR="00C36F5C" w:rsidRPr="00C36F5C" w:rsidRDefault="00C36F5C" w:rsidP="00B90104">
      <w:pPr>
        <w:pStyle w:val="5TextocomnIIGG"/>
        <w:spacing w:after="120"/>
        <w:rPr>
          <w:color w:val="0000FF" w:themeColor="hyperlink"/>
          <w:u w:val="single"/>
        </w:rPr>
      </w:pPr>
      <w:r w:rsidRPr="00E11C63">
        <w:t xml:space="preserve">Lerena Rongvaux, N. (2022). Tendencias de mercantilización de la vivienda en América Latina: el submercado de alquileres temporarios a través de plataformas digitales. Airbnb en Ciudad de Buenos Aires. </w:t>
      </w:r>
      <w:r w:rsidRPr="00E11C63">
        <w:rPr>
          <w:i/>
          <w:iCs/>
        </w:rPr>
        <w:t>Geograficando, 18</w:t>
      </w:r>
      <w:r w:rsidRPr="00E11C63">
        <w:t xml:space="preserve">(2), e115. </w:t>
      </w:r>
      <w:hyperlink r:id="rId44" w:history="1">
        <w:r w:rsidRPr="00575885">
          <w:rPr>
            <w:rStyle w:val="Hipervnculo"/>
          </w:rPr>
          <w:t>https://doi.org/10.24215/2346898Xe115</w:t>
        </w:r>
      </w:hyperlink>
      <w:r>
        <w:t xml:space="preserve"> </w:t>
      </w:r>
    </w:p>
    <w:p w14:paraId="30704226" w14:textId="77777777" w:rsidR="00C36F5C" w:rsidRPr="00B90104" w:rsidRDefault="00C36F5C" w:rsidP="00B90104">
      <w:pPr>
        <w:pStyle w:val="5TextocomnIIGG"/>
        <w:spacing w:after="120"/>
      </w:pPr>
      <w:r w:rsidRPr="00EF4534">
        <w:t xml:space="preserve">Lucero, P. I. (2022, 27 de mayo). Ciudadanos de ayer y de hoy a través de los censos de población argentinos entre 1869 y 2022. </w:t>
      </w:r>
      <w:r w:rsidRPr="00EF4534">
        <w:rPr>
          <w:i/>
          <w:iCs/>
        </w:rPr>
        <w:t>Observatorio Ciudadano Político y Electoral</w:t>
      </w:r>
      <w:r w:rsidRPr="00EF4534">
        <w:t xml:space="preserve">. Recuperado de </w:t>
      </w:r>
      <w:hyperlink r:id="rId45" w:history="1">
        <w:r w:rsidRPr="00EF4534">
          <w:rPr>
            <w:rStyle w:val="Hipervnculo"/>
          </w:rPr>
          <w:t>https://observatoriopolitico.com.ar/ciudanos-de-ayer-y-de-hoy-a-traves-de-los-censos-de-poblacion-argentinos-entre-1869-y-2022/</w:t>
        </w:r>
      </w:hyperlink>
    </w:p>
    <w:p w14:paraId="5DA677C8" w14:textId="77777777" w:rsidR="00C36F5C" w:rsidRDefault="00C36F5C" w:rsidP="00FA7172">
      <w:pPr>
        <w:pStyle w:val="5TextocomnIIGG"/>
        <w:spacing w:after="120"/>
      </w:pPr>
      <w:r w:rsidRPr="009F5F24">
        <w:t>Maldonado, G. I., Bustamante, M., Galfioni, M., Lucero, F. G.</w:t>
      </w:r>
      <w:r>
        <w:t xml:space="preserve"> y</w:t>
      </w:r>
      <w:r w:rsidRPr="009F5F24">
        <w:t xml:space="preserve"> Picciani, A. L. (2024). </w:t>
      </w:r>
      <w:r w:rsidRPr="009F5F24">
        <w:rPr>
          <w:i/>
          <w:iCs/>
        </w:rPr>
        <w:t>Atlas estadístico agropecuario de Córdoba: análisis de los Censos Nacionales Agropecuarios de 1988, 2002 y 2018.</w:t>
      </w:r>
      <w:r w:rsidRPr="009F5F24">
        <w:t xml:space="preserve"> </w:t>
      </w:r>
      <w:r>
        <w:t xml:space="preserve">Recuperado de </w:t>
      </w:r>
      <w:hyperlink r:id="rId46" w:history="1">
        <w:r w:rsidRPr="00820671">
          <w:rPr>
            <w:rStyle w:val="Hipervnculo"/>
          </w:rPr>
          <w:t>https://www.teseopress.com/atlasestadisticoagropecuariodecordoba/</w:t>
        </w:r>
      </w:hyperlink>
      <w:r>
        <w:t xml:space="preserve"> </w:t>
      </w:r>
    </w:p>
    <w:p w14:paraId="564E148A" w14:textId="77777777" w:rsidR="00C36F5C" w:rsidRDefault="00C36F5C" w:rsidP="00E11C63">
      <w:pPr>
        <w:pStyle w:val="5TextocomnIIGG"/>
        <w:spacing w:after="120"/>
      </w:pPr>
      <w:r w:rsidRPr="00E11C63">
        <w:t xml:space="preserve">Mantero, J. C., </w:t>
      </w:r>
      <w:bookmarkStart w:id="9" w:name="_Hlk193050125"/>
      <w:r w:rsidRPr="00E11C63">
        <w:t>Laffan, L.</w:t>
      </w:r>
      <w:r>
        <w:t xml:space="preserve"> y</w:t>
      </w:r>
      <w:r w:rsidRPr="00E11C63">
        <w:t xml:space="preserve"> Lefrou</w:t>
      </w:r>
      <w:bookmarkEnd w:id="9"/>
      <w:r w:rsidRPr="00E11C63">
        <w:t xml:space="preserve">, D. (2011). Turismo residenciado-Turismo serviciado. Implicancias y alcances en Mar del Plata. </w:t>
      </w:r>
      <w:r w:rsidRPr="00E11C63">
        <w:rPr>
          <w:i/>
          <w:iCs/>
        </w:rPr>
        <w:t>Aportes y Transferencias, 15</w:t>
      </w:r>
      <w:r w:rsidRPr="00E11C63">
        <w:t>(2), 125-146.</w:t>
      </w:r>
    </w:p>
    <w:p w14:paraId="0C76C6A8" w14:textId="77777777" w:rsidR="00C36F5C" w:rsidRDefault="00C36F5C" w:rsidP="00F82268">
      <w:pPr>
        <w:pStyle w:val="5TextocomnIIGG"/>
        <w:spacing w:after="120"/>
      </w:pPr>
      <w:r w:rsidRPr="002A36C2">
        <w:t>Murray, I.</w:t>
      </w:r>
      <w:r>
        <w:t xml:space="preserve"> y</w:t>
      </w:r>
      <w:r w:rsidRPr="002A36C2">
        <w:t xml:space="preserve"> Martínez-Caldentey, M. A. (2020). Turismo y desigualdad: un debate pendiente. En G. X. Pons, A. Blanco-Romero, R. Navalón-García, L. Troitiño-Torralba</w:t>
      </w:r>
      <w:r>
        <w:t xml:space="preserve"> y</w:t>
      </w:r>
      <w:r w:rsidRPr="002A36C2">
        <w:t xml:space="preserve"> M. Blázquez-Salom (Eds.), </w:t>
      </w:r>
      <w:r w:rsidRPr="002A36C2">
        <w:rPr>
          <w:i/>
          <w:iCs/>
        </w:rPr>
        <w:t>Sostenibilidad Turística: overtourism vs undertourism</w:t>
      </w:r>
      <w:r w:rsidRPr="002A36C2">
        <w:t xml:space="preserve"> (pp. 593-606). </w:t>
      </w:r>
      <w:r w:rsidRPr="007C7010">
        <w:t>Palma: Societat d’Història Natural de les Balears.</w:t>
      </w:r>
    </w:p>
    <w:p w14:paraId="43AFCA50" w14:textId="77777777" w:rsidR="00C36F5C" w:rsidRDefault="00C36F5C" w:rsidP="00F82268">
      <w:pPr>
        <w:pStyle w:val="5TextocomnIIGG"/>
        <w:spacing w:after="120"/>
      </w:pPr>
      <w:r w:rsidRPr="002A36C2">
        <w:t xml:space="preserve">Narodowski, P., </w:t>
      </w:r>
      <w:bookmarkStart w:id="10" w:name="_Hlk193051146"/>
      <w:r w:rsidRPr="002A36C2">
        <w:t>Remes Lenicov, M.</w:t>
      </w:r>
      <w:r>
        <w:t xml:space="preserve"> y</w:t>
      </w:r>
      <w:r w:rsidRPr="002A36C2">
        <w:t xml:space="preserve"> Mallamace</w:t>
      </w:r>
      <w:bookmarkEnd w:id="10"/>
      <w:r w:rsidRPr="002A36C2">
        <w:t xml:space="preserve">, M. (2014). El turismo. En P. Narodowski </w:t>
      </w:r>
      <w:r>
        <w:t>y</w:t>
      </w:r>
      <w:r w:rsidRPr="002A36C2">
        <w:t xml:space="preserve"> M. Remes Lenicov (Coords.), </w:t>
      </w:r>
      <w:r w:rsidRPr="002A36C2">
        <w:rPr>
          <w:i/>
          <w:iCs/>
        </w:rPr>
        <w:t>Geografía Económica Mundial: un enfoque centro-periferi</w:t>
      </w:r>
      <w:r w:rsidRPr="002A36C2">
        <w:t>a. Las cadenas globales de valor</w:t>
      </w:r>
      <w:r w:rsidRPr="002A36C2">
        <w:rPr>
          <w:i/>
          <w:iCs/>
        </w:rPr>
        <w:t>, Vol. II</w:t>
      </w:r>
      <w:r w:rsidRPr="002A36C2">
        <w:t xml:space="preserve"> (pp. 847-922). </w:t>
      </w:r>
      <w:r>
        <w:t xml:space="preserve">Moreno: </w:t>
      </w:r>
      <w:r w:rsidRPr="002A36C2">
        <w:t>UNM</w:t>
      </w:r>
      <w:r>
        <w:t xml:space="preserve"> Editora</w:t>
      </w:r>
      <w:r w:rsidRPr="002A36C2">
        <w:t>.</w:t>
      </w:r>
    </w:p>
    <w:p w14:paraId="49F12A24" w14:textId="77777777" w:rsidR="00C36F5C" w:rsidRDefault="00C36F5C" w:rsidP="007C7010">
      <w:pPr>
        <w:pStyle w:val="5TextocomnIIGG"/>
        <w:spacing w:after="120"/>
      </w:pPr>
      <w:r w:rsidRPr="009F5F24">
        <w:t xml:space="preserve">Pastoriza, E. (2011). </w:t>
      </w:r>
      <w:r w:rsidRPr="009F5F24">
        <w:rPr>
          <w:i/>
          <w:iCs/>
        </w:rPr>
        <w:t>La conquista de las vacaciones. Breve historia del turismo en la Argentina.</w:t>
      </w:r>
      <w:r w:rsidRPr="009F5F24">
        <w:t xml:space="preserve"> Buenos Aires: Edhasa.</w:t>
      </w:r>
    </w:p>
    <w:p w14:paraId="43EA8111" w14:textId="77777777" w:rsidR="00C36F5C" w:rsidRDefault="00C36F5C" w:rsidP="00F82268">
      <w:pPr>
        <w:pStyle w:val="5TextocomnIIGG"/>
        <w:spacing w:after="120"/>
      </w:pPr>
      <w:r w:rsidRPr="002A36C2">
        <w:t xml:space="preserve">Piñeira, M. J., </w:t>
      </w:r>
      <w:bookmarkStart w:id="11" w:name="_Hlk193049911"/>
      <w:r w:rsidRPr="002A36C2">
        <w:t>Fernández Tabales, A.</w:t>
      </w:r>
      <w:r>
        <w:t xml:space="preserve"> y</w:t>
      </w:r>
      <w:r w:rsidRPr="002A36C2">
        <w:t xml:space="preserve"> Mínguez</w:t>
      </w:r>
      <w:bookmarkEnd w:id="11"/>
      <w:r w:rsidRPr="002A36C2">
        <w:t>, C. (2020). Vulnerabilidad y turistificación ¿quiénes son los perdedores del centro urbano? En G. X. Pons, A. Blanco-Romero, R. Navalón-</w:t>
      </w:r>
      <w:r w:rsidRPr="002A36C2">
        <w:lastRenderedPageBreak/>
        <w:t>García, L. Troitiño-Torralba</w:t>
      </w:r>
      <w:r>
        <w:t xml:space="preserve"> y</w:t>
      </w:r>
      <w:r w:rsidRPr="002A36C2">
        <w:t xml:space="preserve"> M. Blázquez-Salom (Eds.), </w:t>
      </w:r>
      <w:r w:rsidRPr="002A36C2">
        <w:rPr>
          <w:i/>
          <w:iCs/>
        </w:rPr>
        <w:t>Sostenibilidad Turística: overtourism vs undertourism</w:t>
      </w:r>
      <w:r w:rsidRPr="002A36C2">
        <w:t xml:space="preserve"> (pp. 83-98). </w:t>
      </w:r>
      <w:r w:rsidRPr="007C7010">
        <w:t>Palma: Societat d’Història Natural de les Balears.</w:t>
      </w:r>
    </w:p>
    <w:p w14:paraId="166648CA" w14:textId="77777777" w:rsidR="00C36F5C" w:rsidRDefault="00C36F5C" w:rsidP="00F82268">
      <w:pPr>
        <w:pStyle w:val="5TextocomnIIGG"/>
        <w:spacing w:after="120"/>
      </w:pPr>
      <w:r w:rsidRPr="002A36C2">
        <w:t xml:space="preserve">Reboratti, C. (2012). La dinámica ambiental desde fines del siglo XIX. En H. Otero (Dir.), </w:t>
      </w:r>
      <w:r w:rsidRPr="002A36C2">
        <w:rPr>
          <w:i/>
          <w:iCs/>
        </w:rPr>
        <w:t>Historia de la Provincia de Buenos Aires. Tomo 1. Población, ambiente y territorio</w:t>
      </w:r>
      <w:r w:rsidRPr="002A36C2">
        <w:t xml:space="preserve"> (pp. 113-139). </w:t>
      </w:r>
      <w:r>
        <w:t xml:space="preserve">Buenos Aires: </w:t>
      </w:r>
      <w:r w:rsidRPr="002A36C2">
        <w:t>Edhasa.</w:t>
      </w:r>
    </w:p>
    <w:p w14:paraId="6D03182A" w14:textId="77777777" w:rsidR="00C36F5C" w:rsidRPr="00E11C63" w:rsidRDefault="00C36F5C" w:rsidP="00E11C63">
      <w:pPr>
        <w:pStyle w:val="5TextocomnIIGG"/>
        <w:spacing w:after="120"/>
        <w:rPr>
          <w:color w:val="0000FF" w:themeColor="hyperlink"/>
          <w:u w:val="single"/>
        </w:rPr>
      </w:pPr>
      <w:r w:rsidRPr="00E11C63">
        <w:t xml:space="preserve">Sánchez Crispín, Á., </w:t>
      </w:r>
      <w:bookmarkStart w:id="12" w:name="_Hlk193050077"/>
      <w:r w:rsidRPr="00E11C63">
        <w:t>Mollinedo Beltrán, G.</w:t>
      </w:r>
      <w:r>
        <w:t xml:space="preserve"> y</w:t>
      </w:r>
      <w:r w:rsidRPr="00E11C63">
        <w:t xml:space="preserve"> Propin Frejomil</w:t>
      </w:r>
      <w:bookmarkEnd w:id="12"/>
      <w:r w:rsidRPr="00E11C63">
        <w:t xml:space="preserve">, E. (2012). Estructura territorial del turismo en Guatemala. </w:t>
      </w:r>
      <w:r w:rsidRPr="00E11C63">
        <w:rPr>
          <w:i/>
          <w:iCs/>
        </w:rPr>
        <w:t>Investigaciones geográficas,</w:t>
      </w:r>
      <w:r>
        <w:rPr>
          <w:i/>
          <w:iCs/>
        </w:rPr>
        <w:t xml:space="preserve"> </w:t>
      </w:r>
      <w:r w:rsidRPr="00E11C63">
        <w:rPr>
          <w:i/>
          <w:iCs/>
        </w:rPr>
        <w:t>78</w:t>
      </w:r>
      <w:r w:rsidRPr="00E11C63">
        <w:t xml:space="preserve">, 104-121. </w:t>
      </w:r>
      <w:r>
        <w:t xml:space="preserve">Recuperado de </w:t>
      </w:r>
      <w:hyperlink r:id="rId47" w:history="1">
        <w:r w:rsidRPr="00575885">
          <w:rPr>
            <w:rStyle w:val="Hipervnculo"/>
          </w:rPr>
          <w:t>http://www.scielo.org.mx/scielo.php?script=sci_arttext&amp;pid=S0188-46112012000200009&amp;lng=es&amp;tlng=es</w:t>
        </w:r>
      </w:hyperlink>
      <w:r>
        <w:t xml:space="preserve"> </w:t>
      </w:r>
    </w:p>
    <w:p w14:paraId="2AC2F899" w14:textId="77777777" w:rsidR="00C36F5C" w:rsidRDefault="00C36F5C" w:rsidP="007C7010">
      <w:pPr>
        <w:pStyle w:val="5TextocomnIIGG"/>
        <w:spacing w:after="120"/>
      </w:pPr>
      <w:r w:rsidRPr="00FA7172">
        <w:t>S</w:t>
      </w:r>
      <w:r>
        <w:t xml:space="preserve">ecretaría de Turismo de la Nación </w:t>
      </w:r>
      <w:r w:rsidRPr="00FA7172">
        <w:t xml:space="preserve">(2008). </w:t>
      </w:r>
      <w:r w:rsidRPr="00FA7172">
        <w:rPr>
          <w:i/>
          <w:iCs/>
        </w:rPr>
        <w:t>Nuevas modalidades de alojamiento</w:t>
      </w:r>
      <w:r w:rsidRPr="00FA7172">
        <w:t xml:space="preserve">. Secretaría de Turismo de la Nación. Recuperado de </w:t>
      </w:r>
      <w:hyperlink r:id="rId48" w:history="1">
        <w:r w:rsidRPr="00FA7172">
          <w:rPr>
            <w:rStyle w:val="Hipervnculo"/>
          </w:rPr>
          <w:t>https://www.yumpu.com/es/document/read/14392712/las-nuevas-modalidades-de-alojamiento-pdf-plan-federal-</w:t>
        </w:r>
      </w:hyperlink>
      <w:r w:rsidRPr="00FA7172">
        <w:t xml:space="preserve"> </w:t>
      </w:r>
    </w:p>
    <w:p w14:paraId="4FAE281E" w14:textId="77777777" w:rsidR="00C36F5C" w:rsidRPr="00026DAC" w:rsidRDefault="00C36F5C" w:rsidP="002E47F3">
      <w:pPr>
        <w:pStyle w:val="5TextocomnIIGG"/>
        <w:spacing w:after="120"/>
      </w:pPr>
      <w:r w:rsidRPr="00F82268">
        <w:t xml:space="preserve">Trivi, N. A. (2024). Los conflictos en destinos turísticos latinomericanos desde la óptica del extractivismo urbano. En M. D. Rodríguez (Comp.), </w:t>
      </w:r>
      <w:r w:rsidRPr="00F82268">
        <w:rPr>
          <w:i/>
          <w:iCs/>
        </w:rPr>
        <w:t xml:space="preserve">Turismo en clave territorial: memorias, resistencias y disputas </w:t>
      </w:r>
      <w:r w:rsidRPr="00F82268">
        <w:t xml:space="preserve">(pp. 75-85). </w:t>
      </w:r>
      <w:r>
        <w:t xml:space="preserve">Neuquén: </w:t>
      </w:r>
      <w:r w:rsidRPr="00F82268">
        <w:t>Topos.</w:t>
      </w:r>
    </w:p>
    <w:sectPr w:rsidR="00C36F5C" w:rsidRPr="00026DAC" w:rsidSect="00E4199A">
      <w:headerReference w:type="default" r:id="rId49"/>
      <w:footerReference w:type="default" r:id="rId50"/>
      <w:headerReference w:type="first" r:id="rId51"/>
      <w:footerReference w:type="first" r:id="rId5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9D71C" w14:textId="77777777" w:rsidR="008E4479" w:rsidRDefault="008E4479" w:rsidP="002061AB">
      <w:pPr>
        <w:spacing w:after="0" w:line="240" w:lineRule="auto"/>
      </w:pPr>
      <w:r>
        <w:separator/>
      </w:r>
    </w:p>
  </w:endnote>
  <w:endnote w:type="continuationSeparator" w:id="0">
    <w:p w14:paraId="5FEC17A6" w14:textId="77777777" w:rsidR="008E4479" w:rsidRDefault="008E4479"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55EE" w14:textId="77777777" w:rsidR="00177542" w:rsidRDefault="00177542" w:rsidP="00177542">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
  <w:p w14:paraId="189C77D3" w14:textId="7E294E1F" w:rsidR="00177542" w:rsidRPr="00177542" w:rsidRDefault="00177542" w:rsidP="00177542">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177542">
      <w:rPr>
        <w:rFonts w:ascii="Times New Roman" w:eastAsia="Calibri" w:hAnsi="Times New Roman" w:cs="Times New Roman"/>
        <w:b/>
        <w:bCs/>
        <w:color w:val="C00000"/>
        <w:sz w:val="18"/>
        <w:szCs w:val="18"/>
        <w:lang w:val="en-GB"/>
      </w:rPr>
      <w:t>Revista Internacional de Turismo, Empresa y Territorio, vol. 9, nº 2, 2025, pp. 1</w:t>
    </w:r>
    <w:r>
      <w:rPr>
        <w:rFonts w:ascii="Times New Roman" w:eastAsia="Calibri" w:hAnsi="Times New Roman" w:cs="Times New Roman"/>
        <w:b/>
        <w:bCs/>
        <w:color w:val="C00000"/>
        <w:sz w:val="18"/>
        <w:szCs w:val="18"/>
        <w:lang w:val="en-GB"/>
      </w:rPr>
      <w:t>21</w:t>
    </w:r>
    <w:r w:rsidRPr="00177542">
      <w:rPr>
        <w:rFonts w:ascii="Times New Roman" w:eastAsia="Calibri" w:hAnsi="Times New Roman" w:cs="Times New Roman"/>
        <w:b/>
        <w:bCs/>
        <w:color w:val="C00000"/>
        <w:sz w:val="18"/>
        <w:szCs w:val="18"/>
        <w:lang w:val="en-GB"/>
      </w:rPr>
      <w:t>-1</w:t>
    </w:r>
    <w:r>
      <w:rPr>
        <w:rFonts w:ascii="Times New Roman" w:eastAsia="Calibri" w:hAnsi="Times New Roman" w:cs="Times New Roman"/>
        <w:b/>
        <w:bCs/>
        <w:color w:val="C00000"/>
        <w:sz w:val="18"/>
        <w:szCs w:val="18"/>
        <w:lang w:val="en-GB"/>
      </w:rPr>
      <w:t>53</w:t>
    </w:r>
    <w:r w:rsidRPr="00177542">
      <w:rPr>
        <w:rFonts w:ascii="Times New Roman" w:eastAsia="Calibri" w:hAnsi="Times New Roman" w:cs="Times New Roman"/>
        <w:b/>
        <w:bCs/>
        <w:color w:val="C00000"/>
        <w:sz w:val="18"/>
        <w:szCs w:val="18"/>
        <w:lang w:val="en-GB"/>
      </w:rPr>
      <w:t xml:space="preserve">.  </w:t>
    </w:r>
  </w:p>
  <w:p w14:paraId="1A33EC75" w14:textId="270A4BDF" w:rsidR="002061AB" w:rsidRPr="00177542" w:rsidRDefault="00177542" w:rsidP="00177542">
    <w:pPr>
      <w:tabs>
        <w:tab w:val="center" w:pos="4536"/>
        <w:tab w:val="right" w:pos="9072"/>
      </w:tabs>
      <w:spacing w:after="0" w:line="240" w:lineRule="auto"/>
      <w:jc w:val="center"/>
      <w:rPr>
        <w:lang w:val="en-GB"/>
      </w:rPr>
    </w:pPr>
    <w:r w:rsidRPr="00177542">
      <w:rPr>
        <w:rFonts w:ascii="Times New Roman" w:eastAsia="Calibri" w:hAnsi="Times New Roman" w:cs="Times New Roman"/>
        <w:sz w:val="18"/>
        <w:szCs w:val="18"/>
        <w:lang w:val="en-GB"/>
      </w:rPr>
      <w:t>https://www.uco.es/ucopress/ojs/index.php/riturem/index</w:t>
    </w:r>
    <w:r w:rsidRPr="00177542">
      <w:rPr>
        <w:rFonts w:ascii="Times New Roman" w:eastAsia="Calibri" w:hAnsi="Times New Roman" w:cs="Times New Roman"/>
        <w:sz w:val="20"/>
        <w:szCs w:val="20"/>
      </w:rPr>
      <w:fldChar w:fldCharType="begin"/>
    </w:r>
    <w:r w:rsidRPr="00177542">
      <w:rPr>
        <w:rFonts w:ascii="Times New Roman" w:eastAsia="Calibri" w:hAnsi="Times New Roman" w:cs="Times New Roman"/>
        <w:sz w:val="20"/>
        <w:szCs w:val="20"/>
        <w:lang w:val="en-GB"/>
      </w:rPr>
      <w:instrText>PAGE   \* MERGEFORMAT</w:instrText>
    </w:r>
    <w:r w:rsidRPr="00177542">
      <w:rPr>
        <w:rFonts w:ascii="Times New Roman" w:eastAsia="Calibri" w:hAnsi="Times New Roman" w:cs="Times New Roman"/>
        <w:sz w:val="20"/>
        <w:szCs w:val="20"/>
      </w:rPr>
      <w:fldChar w:fldCharType="separate"/>
    </w:r>
    <w:r w:rsidRPr="00177542">
      <w:rPr>
        <w:rFonts w:ascii="Times New Roman" w:eastAsia="Calibri" w:hAnsi="Times New Roman" w:cs="Times New Roman"/>
        <w:sz w:val="20"/>
        <w:szCs w:val="20"/>
        <w:lang w:val="en-GB" w:eastAsia="es-AR"/>
      </w:rPr>
      <w:t>2</w:t>
    </w:r>
    <w:r w:rsidRPr="00177542">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6244" w14:textId="77777777" w:rsidR="00177542" w:rsidRDefault="00177542">
    <w:pPr>
      <w:pStyle w:val="Piedepgina"/>
      <w:rPr>
        <w:rFonts w:ascii="Times New Roman" w:eastAsia="Calibri" w:hAnsi="Times New Roman" w:cs="Times New Roman"/>
        <w:b/>
        <w:lang w:val="en-GB"/>
      </w:rPr>
    </w:pPr>
  </w:p>
  <w:p w14:paraId="762A671C" w14:textId="7F001A2A" w:rsidR="00177542" w:rsidRDefault="00177542">
    <w:pPr>
      <w:pStyle w:val="Piedepgina"/>
      <w:rPr>
        <w:rFonts w:ascii="Times New Roman" w:eastAsia="Calibri" w:hAnsi="Times New Roman" w:cs="Times New Roman"/>
        <w:lang w:val="en-GB"/>
      </w:rPr>
    </w:pPr>
    <w:r w:rsidRPr="00177542">
      <w:rPr>
        <w:rFonts w:ascii="Times New Roman" w:eastAsia="Calibri" w:hAnsi="Times New Roman" w:cs="Times New Roman"/>
        <w:b/>
        <w:lang w:val="en-GB"/>
      </w:rPr>
      <w:t>Recepción:</w:t>
    </w:r>
    <w:r w:rsidRPr="00177542">
      <w:rPr>
        <w:rFonts w:ascii="Times New Roman" w:eastAsia="Calibri" w:hAnsi="Times New Roman" w:cs="Times New Roman"/>
        <w:lang w:val="en-GB"/>
      </w:rPr>
      <w:t xml:space="preserve"> </w:t>
    </w:r>
    <w:r>
      <w:rPr>
        <w:rFonts w:ascii="Times New Roman" w:eastAsia="Calibri" w:hAnsi="Times New Roman" w:cs="Times New Roman"/>
        <w:lang w:val="en-GB"/>
      </w:rPr>
      <w:t>23</w:t>
    </w:r>
    <w:r w:rsidRPr="00177542">
      <w:rPr>
        <w:rFonts w:ascii="Times New Roman" w:eastAsia="Calibri" w:hAnsi="Times New Roman" w:cs="Times New Roman"/>
        <w:lang w:val="en-GB"/>
      </w:rPr>
      <w:t>/0</w:t>
    </w:r>
    <w:r>
      <w:rPr>
        <w:rFonts w:ascii="Times New Roman" w:eastAsia="Calibri" w:hAnsi="Times New Roman" w:cs="Times New Roman"/>
        <w:lang w:val="en-GB"/>
      </w:rPr>
      <w:t>3</w:t>
    </w:r>
    <w:r w:rsidRPr="00177542">
      <w:rPr>
        <w:rFonts w:ascii="Times New Roman" w:eastAsia="Calibri" w:hAnsi="Times New Roman" w:cs="Times New Roman"/>
        <w:lang w:val="en-GB"/>
      </w:rPr>
      <w:t xml:space="preserve">/2025                   </w:t>
    </w:r>
    <w:r w:rsidRPr="00177542">
      <w:rPr>
        <w:rFonts w:ascii="Times New Roman" w:eastAsia="Calibri" w:hAnsi="Times New Roman" w:cs="Times New Roman"/>
        <w:b/>
        <w:lang w:val="en-GB"/>
      </w:rPr>
      <w:t>Aceptación</w:t>
    </w:r>
    <w:r w:rsidRPr="00177542">
      <w:rPr>
        <w:rFonts w:ascii="Times New Roman" w:eastAsia="Calibri" w:hAnsi="Times New Roman" w:cs="Times New Roman"/>
        <w:lang w:val="en-GB"/>
      </w:rPr>
      <w:t xml:space="preserve">: </w:t>
    </w:r>
    <w:r>
      <w:rPr>
        <w:rFonts w:ascii="Times New Roman" w:eastAsia="Calibri" w:hAnsi="Times New Roman" w:cs="Times New Roman"/>
        <w:lang w:val="en-GB"/>
      </w:rPr>
      <w:t>14</w:t>
    </w:r>
    <w:r w:rsidRPr="00177542">
      <w:rPr>
        <w:rFonts w:ascii="Times New Roman" w:eastAsia="Calibri" w:hAnsi="Times New Roman" w:cs="Times New Roman"/>
        <w:lang w:val="en-GB"/>
      </w:rPr>
      <w:t>/0</w:t>
    </w:r>
    <w:r>
      <w:rPr>
        <w:rFonts w:ascii="Times New Roman" w:eastAsia="Calibri" w:hAnsi="Times New Roman" w:cs="Times New Roman"/>
        <w:lang w:val="en-GB"/>
      </w:rPr>
      <w:t>8</w:t>
    </w:r>
    <w:r w:rsidRPr="00177542">
      <w:rPr>
        <w:rFonts w:ascii="Times New Roman" w:eastAsia="Calibri" w:hAnsi="Times New Roman" w:cs="Times New Roman"/>
        <w:lang w:val="en-GB"/>
      </w:rPr>
      <w:t>/2025</w:t>
    </w:r>
    <w:r w:rsidRPr="00177542">
      <w:rPr>
        <w:rFonts w:ascii="Times New Roman" w:eastAsia="Calibri" w:hAnsi="Times New Roman" w:cs="Times New Roman"/>
        <w:bCs/>
        <w:lang w:val="en-GB"/>
      </w:rPr>
      <w:tab/>
      <w:t xml:space="preserve">      </w:t>
    </w:r>
    <w:r w:rsidRPr="00177542">
      <w:rPr>
        <w:rFonts w:ascii="Times New Roman" w:eastAsia="Calibri" w:hAnsi="Times New Roman" w:cs="Times New Roman"/>
        <w:b/>
        <w:lang w:val="en-GB"/>
      </w:rPr>
      <w:t>Publicación:</w:t>
    </w:r>
    <w:r w:rsidRPr="00177542">
      <w:rPr>
        <w:rFonts w:ascii="Times New Roman" w:eastAsia="Calibri" w:hAnsi="Times New Roman" w:cs="Times New Roman"/>
        <w:lang w:val="en-GB"/>
      </w:rPr>
      <w:t xml:space="preserve"> 30/12/2025 </w:t>
    </w:r>
    <w:r>
      <w:rPr>
        <w:rFonts w:ascii="Times New Roman" w:eastAsia="Calibri" w:hAnsi="Times New Roman" w:cs="Times New Roman"/>
        <w:lang w:val="en-GB"/>
      </w:rPr>
      <w:t xml:space="preserve">  </w:t>
    </w:r>
  </w:p>
  <w:p w14:paraId="680BAC70" w14:textId="77777777" w:rsidR="00177542" w:rsidRDefault="00177542">
    <w:pPr>
      <w:pStyle w:val="Piedepgina"/>
      <w:rPr>
        <w:rFonts w:ascii="Times New Roman" w:eastAsia="Calibri" w:hAnsi="Times New Roman" w:cs="Times New Roman"/>
        <w:lang w:val="en-GB"/>
      </w:rPr>
    </w:pPr>
  </w:p>
  <w:p w14:paraId="7BF03A57" w14:textId="7E6A4EF6" w:rsidR="00E4199A" w:rsidRDefault="00177542">
    <w:pPr>
      <w:pStyle w:val="Piedepgina"/>
    </w:pPr>
    <w:r w:rsidRPr="00177542">
      <w:rPr>
        <w:rFonts w:ascii="Times New Roman" w:eastAsia="Calibri" w:hAnsi="Times New Roman" w:cs="Times New Roman"/>
        <w:lang w:val="en-GB"/>
      </w:rPr>
      <w:t xml:space="preserve">       </w:t>
    </w:r>
    <w:r w:rsidRPr="00177542">
      <w:rPr>
        <w:rFonts w:ascii="Times New Roman" w:eastAsia="Malgun Gothic" w:hAnsi="Times New Roman" w:cs="Times New Roman"/>
        <w:noProof/>
        <w:sz w:val="20"/>
        <w:szCs w:val="20"/>
        <w:lang w:val="es-ES_tradnl" w:eastAsia="ko-KR"/>
      </w:rPr>
      <w:drawing>
        <wp:inline distT="0" distB="0" distL="0" distR="0" wp14:anchorId="18C59603" wp14:editId="6F18A862">
          <wp:extent cx="558800" cy="215900"/>
          <wp:effectExtent l="0" t="0" r="0" b="0"/>
          <wp:docPr id="799416630"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04418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177542">
      <w:rPr>
        <w:rFonts w:ascii="Times New Roman" w:eastAsia="Calibri" w:hAnsi="Times New Roman" w:cs="Times New Roman"/>
        <w:sz w:val="18"/>
        <w:szCs w:val="18"/>
        <w:lang w:val="en-GB"/>
      </w:rPr>
      <w:t xml:space="preserve"> Este trabajo se publica bajo una licencia de Creative Commons Reconocimiento 4.0 Internacional  </w:t>
    </w:r>
    <w:r>
      <w:rPr>
        <w:rFonts w:ascii="Times New Roman" w:eastAsia="Calibri" w:hAnsi="Times New Roman" w:cs="Times New Roman"/>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222C3" w14:textId="77777777" w:rsidR="008E4479" w:rsidRDefault="008E4479" w:rsidP="002061AB">
      <w:pPr>
        <w:spacing w:after="0" w:line="240" w:lineRule="auto"/>
      </w:pPr>
      <w:r>
        <w:separator/>
      </w:r>
    </w:p>
  </w:footnote>
  <w:footnote w:type="continuationSeparator" w:id="0">
    <w:p w14:paraId="506557C6" w14:textId="77777777" w:rsidR="008E4479" w:rsidRDefault="008E4479" w:rsidP="002061AB">
      <w:pPr>
        <w:spacing w:after="0" w:line="240" w:lineRule="auto"/>
      </w:pPr>
      <w:r>
        <w:continuationSeparator/>
      </w:r>
    </w:p>
  </w:footnote>
  <w:footnote w:id="1">
    <w:p w14:paraId="7B28638E" w14:textId="679BB256" w:rsidR="00AD0C90" w:rsidRPr="00177542" w:rsidRDefault="00A03F77" w:rsidP="00F551CE">
      <w:pPr>
        <w:pStyle w:val="6NotasalpiedepginaIIGG"/>
        <w:jc w:val="both"/>
      </w:pPr>
      <w:r>
        <w:rPr>
          <w:rStyle w:val="Refdenotaalpie"/>
        </w:rPr>
        <w:footnoteRef/>
      </w:r>
      <w:r>
        <w:t xml:space="preserve"> </w:t>
      </w:r>
      <w:r w:rsidR="00F551CE">
        <w:t>Instituto de Humanidades y Ciencias Sociales (CONICET-UNMDP)</w:t>
      </w:r>
      <w:r w:rsidR="00447E65" w:rsidRPr="00447E65">
        <w:rPr>
          <w:rFonts w:ascii="Roboto" w:hAnsi="Roboto" w:cstheme="minorBidi"/>
          <w:color w:val="001D35"/>
          <w:sz w:val="22"/>
          <w:szCs w:val="22"/>
          <w:shd w:val="clear" w:color="auto" w:fill="FFFFFF"/>
        </w:rPr>
        <w:t xml:space="preserve"> </w:t>
      </w:r>
      <w:r w:rsidR="00447E65" w:rsidRPr="00447E65">
        <w:t>Consejo Nacional de Investigaciones Científicas y Técnicas) y Universidad Nacional de Mar del Plata (UNMDP)</w:t>
      </w:r>
      <w:r w:rsidR="00447E65">
        <w:t>.</w:t>
      </w:r>
      <w:r w:rsidR="00F551CE">
        <w:t xml:space="preserve"> Grupo de Estudios Sobre Población y Territorio (FHUM-UNMDP); Grupo Turismo y Territorio. Espacios Naturales y Culturales (FCEyS-UNMDP), Argentina</w:t>
      </w:r>
      <w:r w:rsidRPr="002E660E">
        <w:t>.</w:t>
      </w:r>
      <w:r w:rsidR="00447E65">
        <w:t xml:space="preserve"> </w:t>
      </w:r>
      <w:r w:rsidR="00447E65" w:rsidRPr="00177542">
        <w:t xml:space="preserve">Email: </w:t>
      </w:r>
      <w:r w:rsidRPr="00177542">
        <w:t xml:space="preserve"> </w:t>
      </w:r>
      <w:hyperlink r:id="rId1" w:history="1">
        <w:r w:rsidR="00447E65" w:rsidRPr="00177542">
          <w:rPr>
            <w:rStyle w:val="Hipervnculo"/>
          </w:rPr>
          <w:t>mgordziejczuk@mdp.edu.ar</w:t>
        </w:r>
      </w:hyperlink>
      <w:r w:rsidR="00447E65" w:rsidRPr="00177542">
        <w:t>; Id. Orcid:</w:t>
      </w:r>
      <w:r w:rsidRPr="00177542">
        <w:t xml:space="preserve"> </w:t>
      </w:r>
      <w:hyperlink r:id="rId2" w:history="1">
        <w:r w:rsidR="00F551CE" w:rsidRPr="00177542">
          <w:rPr>
            <w:rStyle w:val="Hipervnculo"/>
          </w:rPr>
          <w:t>https://orcid.org/0000-0001-7009-9913</w:t>
        </w:r>
      </w:hyperlink>
      <w:r w:rsidR="00F551CE" w:rsidRPr="00177542">
        <w:t>.</w:t>
      </w:r>
    </w:p>
  </w:footnote>
  <w:footnote w:id="2">
    <w:p w14:paraId="22D40F71" w14:textId="498771D6" w:rsidR="007C565C" w:rsidRPr="007C565C" w:rsidRDefault="007C565C" w:rsidP="007C565C">
      <w:pPr>
        <w:pStyle w:val="Textonotapie"/>
        <w:jc w:val="both"/>
        <w:rPr>
          <w:lang w:val="es-AR"/>
        </w:rPr>
      </w:pPr>
      <w:r w:rsidRPr="007C565C">
        <w:rPr>
          <w:rStyle w:val="Refdenotaalpie"/>
        </w:rPr>
        <w:footnoteRef/>
      </w:r>
      <w:r w:rsidRPr="007C565C">
        <w:rPr>
          <w:rStyle w:val="Refdenotaalpie"/>
        </w:rPr>
        <w:t xml:space="preserve">  </w:t>
      </w:r>
      <w:r w:rsidRPr="007C565C">
        <w:rPr>
          <w:rFonts w:ascii="Times New Roman" w:hAnsi="Times New Roman" w:cs="Times New Roman"/>
        </w:rPr>
        <w:t xml:space="preserve"> Si bien en el año 2008 hubo otro CNA, este operativo presentó dificultades en términos de cobertura territorial en algunas jurisdicciones, por lo que se considera un censo incompleto (INDEC, 2018).</w:t>
      </w:r>
    </w:p>
  </w:footnote>
  <w:footnote w:id="3">
    <w:p w14:paraId="4599BCD9" w14:textId="078C0E45" w:rsidR="007C565C" w:rsidRPr="007C565C" w:rsidRDefault="007C565C">
      <w:pPr>
        <w:pStyle w:val="Textonotapie"/>
        <w:rPr>
          <w:lang w:val="es-AR"/>
        </w:rPr>
      </w:pPr>
      <w:r>
        <w:rPr>
          <w:rStyle w:val="Refdenotaalpie"/>
        </w:rPr>
        <w:footnoteRef/>
      </w:r>
      <w:r>
        <w:t xml:space="preserve"> </w:t>
      </w:r>
      <w:r w:rsidRPr="007C565C">
        <w:rPr>
          <w:rFonts w:ascii="Times New Roman" w:hAnsi="Times New Roman" w:cs="Times New Roman"/>
        </w:rPr>
        <w:t>Se hace referencia al “número total de camas fijas y supletorias. Las camas matrimoniales se contabilizan como dos plazas” (INDEC, 2020</w:t>
      </w:r>
      <w:r>
        <w:rPr>
          <w:rFonts w:ascii="Times New Roman" w:hAnsi="Times New Roman" w:cs="Times New Roman"/>
        </w:rPr>
        <w:t xml:space="preserve">, p. </w:t>
      </w:r>
      <w:r w:rsidRPr="007C565C">
        <w:rPr>
          <w:rFonts w:ascii="Times New Roman" w:hAnsi="Times New Roman" w:cs="Times New Roman"/>
        </w:rPr>
        <w:t>11).</w:t>
      </w:r>
    </w:p>
  </w:footnote>
  <w:footnote w:id="4">
    <w:p w14:paraId="5087A6F5" w14:textId="57BC5DB8" w:rsidR="002A56C2" w:rsidRPr="002A56C2" w:rsidRDefault="002A56C2">
      <w:pPr>
        <w:pStyle w:val="Textonotapie"/>
        <w:rPr>
          <w:lang w:val="es-AR"/>
        </w:rPr>
      </w:pPr>
      <w:r>
        <w:rPr>
          <w:rStyle w:val="Refdenotaalpie"/>
        </w:rPr>
        <w:footnoteRef/>
      </w:r>
      <w:r>
        <w:t xml:space="preserve"> </w:t>
      </w:r>
      <w:hyperlink r:id="rId3" w:history="1">
        <w:r w:rsidRPr="002A56C2">
          <w:rPr>
            <w:rFonts w:ascii="Times New Roman" w:hAnsi="Times New Roman" w:cs="Times New Roman"/>
          </w:rPr>
          <w:t>https://tableros.yvera.tur.ar/puna/</w:t>
        </w:r>
      </w:hyperlink>
      <w:r w:rsidR="00325DC9">
        <w:rPr>
          <w:rFonts w:ascii="Times New Roman" w:hAnsi="Times New Roman" w:cs="Times New Roman"/>
        </w:rPr>
        <w:t xml:space="preserve">  </w:t>
      </w:r>
    </w:p>
  </w:footnote>
  <w:footnote w:id="5">
    <w:p w14:paraId="480DD909" w14:textId="3D0B7A37" w:rsidR="00325DC9" w:rsidRPr="00325DC9" w:rsidRDefault="00325DC9" w:rsidP="00325DC9">
      <w:pPr>
        <w:pStyle w:val="Textonotapie"/>
        <w:rPr>
          <w:rFonts w:ascii="Times New Roman" w:hAnsi="Times New Roman" w:cs="Times New Roman"/>
        </w:rPr>
      </w:pPr>
      <w:r>
        <w:rPr>
          <w:rStyle w:val="Refdenotaalpie"/>
        </w:rPr>
        <w:footnoteRef/>
      </w:r>
      <w:r>
        <w:t xml:space="preserve"> </w:t>
      </w:r>
      <w:r w:rsidRPr="00325DC9">
        <w:rPr>
          <w:rFonts w:ascii="Cambria Math" w:hAnsi="Cambria Math" w:cs="Cambria Math"/>
        </w:rPr>
        <w:t>𝑟</w:t>
      </w:r>
      <w:r w:rsidRPr="00325DC9">
        <w:rPr>
          <w:rFonts w:ascii="Times New Roman" w:hAnsi="Times New Roman" w:cs="Times New Roman"/>
        </w:rPr>
        <w:t xml:space="preserve"> = ((</w:t>
      </w:r>
      <w:r w:rsidRPr="00325DC9">
        <w:rPr>
          <w:rFonts w:ascii="Times New Roman" w:hAnsi="Times New Roman" w:cs="Times New Roman"/>
          <w:i/>
          <w:iCs/>
        </w:rPr>
        <w:t>ln</w:t>
      </w:r>
      <w:r>
        <w:rPr>
          <w:rFonts w:ascii="Times New Roman" w:hAnsi="Times New Roman" w:cs="Times New Roman"/>
          <w:i/>
          <w:iCs/>
        </w:rPr>
        <w:t xml:space="preserve"> </w:t>
      </w:r>
      <w:r w:rsidRPr="00325DC9">
        <w:rPr>
          <w:rFonts w:ascii="Times New Roman" w:hAnsi="Times New Roman" w:cs="Times New Roman"/>
        </w:rPr>
        <w:t>(</w:t>
      </w:r>
      <w:r w:rsidRPr="00325DC9">
        <w:rPr>
          <w:rFonts w:ascii="Cambria Math" w:hAnsi="Cambria Math" w:cs="Cambria Math"/>
        </w:rPr>
        <w:t>𝑁𝑓</w:t>
      </w:r>
      <w:r w:rsidRPr="00325DC9">
        <w:rPr>
          <w:rFonts w:ascii="Times New Roman" w:hAnsi="Times New Roman" w:cs="Times New Roman"/>
        </w:rPr>
        <w:t>⁄</w:t>
      </w:r>
      <w:r w:rsidRPr="00325DC9">
        <w:rPr>
          <w:rFonts w:ascii="Cambria Math" w:hAnsi="Cambria Math" w:cs="Cambria Math"/>
        </w:rPr>
        <w:t>𝑁𝑖</w:t>
      </w:r>
      <w:r w:rsidRPr="00325DC9">
        <w:rPr>
          <w:rFonts w:ascii="Times New Roman" w:hAnsi="Times New Roman" w:cs="Times New Roman"/>
        </w:rPr>
        <w:t xml:space="preserve">))/ </w:t>
      </w:r>
      <w:r w:rsidRPr="00325DC9">
        <w:rPr>
          <w:rFonts w:ascii="Cambria Math" w:hAnsi="Cambria Math" w:cs="Cambria Math"/>
        </w:rPr>
        <w:t>𝑡</w:t>
      </w:r>
      <w:r w:rsidRPr="00325DC9">
        <w:rPr>
          <w:rFonts w:ascii="Times New Roman" w:hAnsi="Times New Roman" w:cs="Times New Roman"/>
        </w:rPr>
        <w:t xml:space="preserve">) </w:t>
      </w:r>
      <w:r w:rsidRPr="00325DC9">
        <w:rPr>
          <w:rFonts w:ascii="Cambria Math" w:hAnsi="Cambria Math" w:cs="Cambria Math"/>
        </w:rPr>
        <w:t>∗</w:t>
      </w:r>
      <w:r w:rsidRPr="00325DC9">
        <w:rPr>
          <w:rFonts w:ascii="Times New Roman" w:hAnsi="Times New Roman" w:cs="Times New Roman"/>
        </w:rPr>
        <w:t xml:space="preserve"> 1000</w:t>
      </w:r>
    </w:p>
    <w:p w14:paraId="4C50E19F" w14:textId="564C04A9" w:rsidR="00325DC9" w:rsidRPr="00325DC9" w:rsidRDefault="00325DC9" w:rsidP="00325DC9">
      <w:pPr>
        <w:pStyle w:val="Textonotapie"/>
        <w:jc w:val="both"/>
        <w:rPr>
          <w:lang w:val="es-AR"/>
        </w:rPr>
      </w:pPr>
      <w:r w:rsidRPr="00325DC9">
        <w:rPr>
          <w:rFonts w:ascii="Times New Roman" w:hAnsi="Times New Roman" w:cs="Times New Roman"/>
        </w:rPr>
        <w:t xml:space="preserve">Donde </w:t>
      </w:r>
      <w:r w:rsidRPr="00325DC9">
        <w:rPr>
          <w:rFonts w:ascii="Times New Roman" w:hAnsi="Times New Roman" w:cs="Times New Roman"/>
          <w:i/>
          <w:iCs/>
        </w:rPr>
        <w:t>ln</w:t>
      </w:r>
      <w:r w:rsidRPr="00325DC9">
        <w:rPr>
          <w:rFonts w:ascii="Times New Roman" w:hAnsi="Times New Roman" w:cs="Times New Roman"/>
        </w:rPr>
        <w:t xml:space="preserve"> es logaritmo natural; </w:t>
      </w:r>
      <w:r w:rsidRPr="00325DC9">
        <w:rPr>
          <w:rFonts w:ascii="Times New Roman" w:hAnsi="Times New Roman" w:cs="Times New Roman"/>
          <w:i/>
          <w:iCs/>
        </w:rPr>
        <w:t>Nf</w:t>
      </w:r>
      <w:r w:rsidRPr="00325DC9">
        <w:rPr>
          <w:rFonts w:ascii="Times New Roman" w:hAnsi="Times New Roman" w:cs="Times New Roman"/>
        </w:rPr>
        <w:t xml:space="preserve"> es la población final; </w:t>
      </w:r>
      <w:r w:rsidRPr="00325DC9">
        <w:rPr>
          <w:rFonts w:ascii="Times New Roman" w:hAnsi="Times New Roman" w:cs="Times New Roman"/>
          <w:i/>
          <w:iCs/>
        </w:rPr>
        <w:t>Ni</w:t>
      </w:r>
      <w:r w:rsidRPr="00325DC9">
        <w:rPr>
          <w:rFonts w:ascii="Times New Roman" w:hAnsi="Times New Roman" w:cs="Times New Roman"/>
        </w:rPr>
        <w:t xml:space="preserve"> es la población inicial, y </w:t>
      </w:r>
      <w:r w:rsidRPr="00325DC9">
        <w:rPr>
          <w:rFonts w:ascii="Times New Roman" w:hAnsi="Times New Roman" w:cs="Times New Roman"/>
          <w:i/>
          <w:iCs/>
        </w:rPr>
        <w:t>t</w:t>
      </w:r>
      <w:r w:rsidRPr="00325DC9">
        <w:rPr>
          <w:rFonts w:ascii="Times New Roman" w:hAnsi="Times New Roman" w:cs="Times New Roman"/>
        </w:rPr>
        <w:t xml:space="preserve"> es el tiempo en años exactos.</w:t>
      </w:r>
    </w:p>
  </w:footnote>
  <w:footnote w:id="6">
    <w:p w14:paraId="04C82894" w14:textId="03EC31BD" w:rsidR="00296B64" w:rsidRPr="00296B64" w:rsidRDefault="00296B64" w:rsidP="00296B64">
      <w:pPr>
        <w:pStyle w:val="Textonotapie"/>
        <w:jc w:val="both"/>
        <w:rPr>
          <w:rFonts w:ascii="Times New Roman" w:hAnsi="Times New Roman" w:cs="Times New Roman"/>
        </w:rPr>
      </w:pPr>
      <w:r w:rsidRPr="00296B64">
        <w:rPr>
          <w:rStyle w:val="Refdenotaalpie"/>
          <w:rFonts w:ascii="Times New Roman" w:hAnsi="Times New Roman" w:cs="Times New Roman"/>
        </w:rPr>
        <w:footnoteRef/>
      </w:r>
      <w:r>
        <w:t xml:space="preserve"> </w:t>
      </w:r>
      <w:r w:rsidRPr="00296B64">
        <w:rPr>
          <w:rFonts w:ascii="Times New Roman" w:hAnsi="Times New Roman" w:cs="Times New Roman"/>
        </w:rPr>
        <w:t xml:space="preserve">Para más detalle, ver: </w:t>
      </w:r>
      <w:hyperlink r:id="rId4" w:history="1">
        <w:r w:rsidRPr="00296B64">
          <w:rPr>
            <w:rFonts w:ascii="Times New Roman" w:hAnsi="Times New Roman" w:cs="Times New Roman"/>
          </w:rPr>
          <w:t>https://censo.gob.ar/index.php/preguntas-frecuentes/</w:t>
        </w:r>
      </w:hyperlink>
      <w:r w:rsidRPr="00296B64">
        <w:rPr>
          <w:rFonts w:ascii="Times New Roman" w:hAnsi="Times New Roman" w:cs="Times New Roman"/>
        </w:rPr>
        <w:t xml:space="preserve"> </w:t>
      </w:r>
      <w:bookmarkStart w:id="4" w:name="_Hlk193356012"/>
      <w:r w:rsidRPr="00296B64">
        <w:rPr>
          <w:rFonts w:ascii="Times New Roman" w:hAnsi="Times New Roman" w:cs="Times New Roman"/>
        </w:rPr>
        <w:t>(consultado el 12-2-2025).</w:t>
      </w:r>
      <w:bookmarkEnd w:id="4"/>
    </w:p>
  </w:footnote>
  <w:footnote w:id="7">
    <w:p w14:paraId="68AA310B" w14:textId="38907B79" w:rsidR="00296B64" w:rsidRPr="00296B64" w:rsidRDefault="00296B64" w:rsidP="00296B64">
      <w:pPr>
        <w:pStyle w:val="Textonotapie"/>
        <w:jc w:val="both"/>
        <w:rPr>
          <w:rFonts w:ascii="Times New Roman" w:hAnsi="Times New Roman" w:cs="Times New Roman"/>
          <w:lang w:val="es-AR"/>
        </w:rPr>
      </w:pPr>
      <w:r w:rsidRPr="00296B64">
        <w:rPr>
          <w:rStyle w:val="Refdenotaalpie"/>
          <w:rFonts w:ascii="Times New Roman" w:hAnsi="Times New Roman" w:cs="Times New Roman"/>
        </w:rPr>
        <w:footnoteRef/>
      </w:r>
      <w:r>
        <w:rPr>
          <w:rFonts w:ascii="Times New Roman" w:hAnsi="Times New Roman" w:cs="Times New Roman"/>
        </w:rPr>
        <w:t xml:space="preserve"> Fuente: </w:t>
      </w:r>
      <w:hyperlink r:id="rId5" w:history="1">
        <w:r w:rsidRPr="00020194">
          <w:rPr>
            <w:rStyle w:val="Hipervnculo"/>
            <w:rFonts w:ascii="Times New Roman" w:hAnsi="Times New Roman" w:cs="Times New Roman"/>
          </w:rPr>
          <w:t>https://www.clarin.com/sociedad/cierre-torres-manantiales-200-hoteles-perdio-mar-plata-pandemia_0_QKF6wXoP7.html?srsltid=AfmBOorMGXi5yxK3-0BpFFN58l7MPmJ_yQkxdOHWtzk9oDl5MeXonJu7</w:t>
        </w:r>
      </w:hyperlink>
      <w:r>
        <w:rPr>
          <w:rStyle w:val="Hipervnculo"/>
          <w:rFonts w:ascii="Times New Roman" w:hAnsi="Times New Roman" w:cs="Times New Roman"/>
        </w:rPr>
        <w:t xml:space="preserve"> </w:t>
      </w:r>
      <w:r w:rsidRPr="00296B64">
        <w:rPr>
          <w:rFonts w:ascii="Times New Roman" w:hAnsi="Times New Roman" w:cs="Times New Roman"/>
        </w:rPr>
        <w:t xml:space="preserve">(consultado el </w:t>
      </w:r>
      <w:r>
        <w:rPr>
          <w:rFonts w:ascii="Times New Roman" w:hAnsi="Times New Roman" w:cs="Times New Roman"/>
        </w:rPr>
        <w:t>20</w:t>
      </w:r>
      <w:r w:rsidRPr="00296B64">
        <w:rPr>
          <w:rFonts w:ascii="Times New Roman" w:hAnsi="Times New Roman" w:cs="Times New Roman"/>
        </w:rPr>
        <w:t>-</w:t>
      </w:r>
      <w:r>
        <w:rPr>
          <w:rFonts w:ascii="Times New Roman" w:hAnsi="Times New Roman" w:cs="Times New Roman"/>
        </w:rPr>
        <w:t>3</w:t>
      </w:r>
      <w:r w:rsidRPr="00296B64">
        <w:rPr>
          <w:rFonts w:ascii="Times New Roman" w:hAnsi="Times New Roman" w:cs="Times New Roman"/>
        </w:rPr>
        <w:t>-2025).</w:t>
      </w:r>
    </w:p>
  </w:footnote>
  <w:footnote w:id="8">
    <w:p w14:paraId="3418CFA6" w14:textId="77B56756" w:rsidR="002E5C49" w:rsidRPr="002E5C49" w:rsidRDefault="002E5C49" w:rsidP="002E5C49">
      <w:pPr>
        <w:pStyle w:val="Textonotapie"/>
        <w:jc w:val="both"/>
        <w:rPr>
          <w:rFonts w:ascii="Times New Roman" w:hAnsi="Times New Roman" w:cs="Times New Roman"/>
          <w:lang w:val="es-AR"/>
        </w:rPr>
      </w:pPr>
      <w:r w:rsidRPr="002E5C49">
        <w:rPr>
          <w:rStyle w:val="Refdenotaalpie"/>
          <w:rFonts w:ascii="Times New Roman" w:hAnsi="Times New Roman" w:cs="Times New Roman"/>
        </w:rPr>
        <w:footnoteRef/>
      </w:r>
      <w:r w:rsidRPr="002E5C49">
        <w:rPr>
          <w:rFonts w:ascii="Times New Roman" w:hAnsi="Times New Roman" w:cs="Times New Roman"/>
        </w:rPr>
        <w:t xml:space="preserve"> En el análisis de la EOH se desestimaron los promedios correspondientes al año 2020, puesto que podrían generar conclusiones alejadas de la realidad producto de contemplar únicamente los valores correspondientes a los meses de temporada alta (enero, febrero y diciembre), como consecuencia de las restricciones a la movilización turística que impuso el gobierno argentino ante la crisis sanitaria de COVID-19 entre marzo y noviembre.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4C19" w14:textId="190AE2E2" w:rsidR="00177542" w:rsidRPr="00177542" w:rsidRDefault="00177542" w:rsidP="00177542">
    <w:pPr>
      <w:tabs>
        <w:tab w:val="center" w:pos="4252"/>
        <w:tab w:val="right" w:pos="8504"/>
      </w:tabs>
      <w:rPr>
        <w:rFonts w:ascii="Times New Roman" w:eastAsia="Calibri" w:hAnsi="Times New Roman" w:cs="Times New Roman"/>
        <w:b/>
        <w:bCs/>
        <w:color w:val="C0504D"/>
        <w:sz w:val="20"/>
        <w:szCs w:val="20"/>
      </w:rPr>
    </w:pPr>
    <w:r w:rsidRPr="00177542">
      <w:rPr>
        <w:rFonts w:ascii="Times New Roman" w:eastAsia="Calibri" w:hAnsi="Times New Roman" w:cs="Times New Roman"/>
        <w:b/>
        <w:bCs/>
        <w:i/>
        <w:iCs/>
        <w:color w:val="C0504D"/>
        <w:sz w:val="20"/>
        <w:szCs w:val="20"/>
      </w:rPr>
      <w:t>El alojamiento como dimensión de la turistificación</w:t>
    </w:r>
    <w:r w:rsidRPr="00177542">
      <w:rPr>
        <w:rFonts w:ascii="Times New Roman" w:eastAsia="Calibri" w:hAnsi="Times New Roman" w:cs="Times New Roman"/>
        <w:b/>
        <w:bCs/>
        <w:i/>
        <w:iCs/>
        <w:color w:val="C0504D"/>
        <w:sz w:val="20"/>
        <w:szCs w:val="20"/>
        <w:lang w:val="en"/>
      </w:rPr>
      <w:t xml:space="preserve"> (…)</w:t>
    </w:r>
    <w:r w:rsidRPr="00177542">
      <w:rPr>
        <w:rFonts w:ascii="Times New Roman" w:eastAsia="Calibri" w:hAnsi="Times New Roman" w:cs="Times New Roman"/>
        <w:b/>
        <w:bCs/>
        <w:i/>
        <w:iCs/>
        <w:color w:val="C0504D"/>
        <w:sz w:val="20"/>
        <w:szCs w:val="20"/>
      </w:rPr>
      <w:t xml:space="preserve">                           </w:t>
    </w:r>
    <w:r>
      <w:rPr>
        <w:rFonts w:ascii="Times New Roman" w:eastAsia="Calibri" w:hAnsi="Times New Roman" w:cs="Times New Roman"/>
        <w:b/>
        <w:bCs/>
        <w:i/>
        <w:iCs/>
        <w:color w:val="C0504D"/>
        <w:sz w:val="20"/>
        <w:szCs w:val="20"/>
      </w:rPr>
      <w:t xml:space="preserve">                           </w:t>
    </w:r>
    <w:r w:rsidRPr="00177542">
      <w:rPr>
        <w:rFonts w:ascii="Times New Roman" w:eastAsia="Calibri" w:hAnsi="Times New Roman" w:cs="Times New Roman"/>
        <w:b/>
        <w:bCs/>
        <w:color w:val="C0504D"/>
        <w:sz w:val="20"/>
        <w:szCs w:val="20"/>
      </w:rPr>
      <w:t>Gordziejczuk</w:t>
    </w:r>
    <w:r>
      <w:rPr>
        <w:rFonts w:ascii="Times New Roman" w:eastAsia="Calibri" w:hAnsi="Times New Roman" w:cs="Times New Roman"/>
        <w:b/>
        <w:bCs/>
        <w:color w:val="C0504D"/>
        <w:sz w:val="20"/>
        <w:szCs w:val="20"/>
      </w:rPr>
      <w:t>, 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B8F8" w14:textId="3B6571C0" w:rsidR="00B2663D" w:rsidRDefault="00B2663D" w:rsidP="00E4199A">
    <w:pPr>
      <w:pStyle w:val="Encabezado"/>
      <w:jc w:val="center"/>
    </w:pPr>
  </w:p>
  <w:p w14:paraId="057AEA9F" w14:textId="77777777" w:rsidR="00B2663D" w:rsidRDefault="00B2663D" w:rsidP="00B2663D">
    <w:pPr>
      <w:pStyle w:val="Encabezado"/>
    </w:pPr>
  </w:p>
  <w:p w14:paraId="57879839" w14:textId="77777777" w:rsidR="00B2663D" w:rsidRDefault="00B2663D" w:rsidP="00B266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5906F7"/>
    <w:multiLevelType w:val="multilevel"/>
    <w:tmpl w:val="D4D20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3670711"/>
    <w:multiLevelType w:val="hybridMultilevel"/>
    <w:tmpl w:val="9F84FCB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48787188">
    <w:abstractNumId w:val="9"/>
  </w:num>
  <w:num w:numId="2" w16cid:durableId="1665430778">
    <w:abstractNumId w:val="1"/>
  </w:num>
  <w:num w:numId="3" w16cid:durableId="202987808">
    <w:abstractNumId w:val="5"/>
  </w:num>
  <w:num w:numId="4" w16cid:durableId="1151098870">
    <w:abstractNumId w:val="16"/>
  </w:num>
  <w:num w:numId="5" w16cid:durableId="635137726">
    <w:abstractNumId w:val="11"/>
  </w:num>
  <w:num w:numId="6" w16cid:durableId="682517546">
    <w:abstractNumId w:val="10"/>
  </w:num>
  <w:num w:numId="7" w16cid:durableId="285355656">
    <w:abstractNumId w:val="6"/>
  </w:num>
  <w:num w:numId="8" w16cid:durableId="1069304321">
    <w:abstractNumId w:val="12"/>
  </w:num>
  <w:num w:numId="9" w16cid:durableId="969018492">
    <w:abstractNumId w:val="2"/>
  </w:num>
  <w:num w:numId="10" w16cid:durableId="628895154">
    <w:abstractNumId w:val="4"/>
  </w:num>
  <w:num w:numId="11" w16cid:durableId="970788159">
    <w:abstractNumId w:val="0"/>
  </w:num>
  <w:num w:numId="12" w16cid:durableId="575168413">
    <w:abstractNumId w:val="7"/>
  </w:num>
  <w:num w:numId="13" w16cid:durableId="1662350321">
    <w:abstractNumId w:val="13"/>
  </w:num>
  <w:num w:numId="14" w16cid:durableId="1328363112">
    <w:abstractNumId w:val="8"/>
  </w:num>
  <w:num w:numId="15" w16cid:durableId="709766153">
    <w:abstractNumId w:val="14"/>
  </w:num>
  <w:num w:numId="16" w16cid:durableId="1709797346">
    <w:abstractNumId w:val="3"/>
  </w:num>
  <w:num w:numId="17" w16cid:durableId="14379404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00A1"/>
    <w:rsid w:val="000001BA"/>
    <w:rsid w:val="0001347E"/>
    <w:rsid w:val="000153C8"/>
    <w:rsid w:val="00020891"/>
    <w:rsid w:val="00023A66"/>
    <w:rsid w:val="0002569C"/>
    <w:rsid w:val="00025BCE"/>
    <w:rsid w:val="00026DAC"/>
    <w:rsid w:val="000273C2"/>
    <w:rsid w:val="00027D9D"/>
    <w:rsid w:val="00030B00"/>
    <w:rsid w:val="000339F8"/>
    <w:rsid w:val="00035B3E"/>
    <w:rsid w:val="00040A09"/>
    <w:rsid w:val="000557B5"/>
    <w:rsid w:val="00062BE5"/>
    <w:rsid w:val="00065DAB"/>
    <w:rsid w:val="00070E08"/>
    <w:rsid w:val="0008134C"/>
    <w:rsid w:val="00081747"/>
    <w:rsid w:val="00082418"/>
    <w:rsid w:val="0008451C"/>
    <w:rsid w:val="00086C30"/>
    <w:rsid w:val="00091C46"/>
    <w:rsid w:val="000B5530"/>
    <w:rsid w:val="000C388B"/>
    <w:rsid w:val="000C7894"/>
    <w:rsid w:val="000D1713"/>
    <w:rsid w:val="000E4C80"/>
    <w:rsid w:val="000E72B5"/>
    <w:rsid w:val="000F1AEB"/>
    <w:rsid w:val="001062E5"/>
    <w:rsid w:val="001134C4"/>
    <w:rsid w:val="00127982"/>
    <w:rsid w:val="00145063"/>
    <w:rsid w:val="00146E6C"/>
    <w:rsid w:val="00160630"/>
    <w:rsid w:val="001725B4"/>
    <w:rsid w:val="00177542"/>
    <w:rsid w:val="0019027C"/>
    <w:rsid w:val="00196E7F"/>
    <w:rsid w:val="001B3203"/>
    <w:rsid w:val="001B6B62"/>
    <w:rsid w:val="001C4727"/>
    <w:rsid w:val="001D0924"/>
    <w:rsid w:val="001D31C5"/>
    <w:rsid w:val="001D4D36"/>
    <w:rsid w:val="001F1824"/>
    <w:rsid w:val="001F3B6A"/>
    <w:rsid w:val="00201BFC"/>
    <w:rsid w:val="002031F8"/>
    <w:rsid w:val="002061AB"/>
    <w:rsid w:val="00215A47"/>
    <w:rsid w:val="00216B25"/>
    <w:rsid w:val="00221836"/>
    <w:rsid w:val="002374E8"/>
    <w:rsid w:val="00250026"/>
    <w:rsid w:val="00257A90"/>
    <w:rsid w:val="00261A68"/>
    <w:rsid w:val="002654F9"/>
    <w:rsid w:val="0027551B"/>
    <w:rsid w:val="00284405"/>
    <w:rsid w:val="002859FC"/>
    <w:rsid w:val="00293A0B"/>
    <w:rsid w:val="00296B64"/>
    <w:rsid w:val="002A0416"/>
    <w:rsid w:val="002A36C2"/>
    <w:rsid w:val="002A3BB4"/>
    <w:rsid w:val="002A56C2"/>
    <w:rsid w:val="002B0A2F"/>
    <w:rsid w:val="002B7A86"/>
    <w:rsid w:val="002C3745"/>
    <w:rsid w:val="002C7FC7"/>
    <w:rsid w:val="002D5BF4"/>
    <w:rsid w:val="002E0121"/>
    <w:rsid w:val="002E3E09"/>
    <w:rsid w:val="002E47F3"/>
    <w:rsid w:val="002E4CEC"/>
    <w:rsid w:val="002E5C49"/>
    <w:rsid w:val="002E660E"/>
    <w:rsid w:val="002F0D7A"/>
    <w:rsid w:val="002F4640"/>
    <w:rsid w:val="00305B9B"/>
    <w:rsid w:val="00306DA3"/>
    <w:rsid w:val="00307A10"/>
    <w:rsid w:val="00307F43"/>
    <w:rsid w:val="00325DC9"/>
    <w:rsid w:val="0033705A"/>
    <w:rsid w:val="00337B50"/>
    <w:rsid w:val="003429BB"/>
    <w:rsid w:val="003444CA"/>
    <w:rsid w:val="00346137"/>
    <w:rsid w:val="00347C1A"/>
    <w:rsid w:val="003533B6"/>
    <w:rsid w:val="0036213B"/>
    <w:rsid w:val="00362EF6"/>
    <w:rsid w:val="0036529F"/>
    <w:rsid w:val="003702B5"/>
    <w:rsid w:val="003808E9"/>
    <w:rsid w:val="00392AB2"/>
    <w:rsid w:val="003977A2"/>
    <w:rsid w:val="003B25F8"/>
    <w:rsid w:val="003F1DF0"/>
    <w:rsid w:val="0040013F"/>
    <w:rsid w:val="00406333"/>
    <w:rsid w:val="00417073"/>
    <w:rsid w:val="00423411"/>
    <w:rsid w:val="00436DE5"/>
    <w:rsid w:val="00437359"/>
    <w:rsid w:val="00443C52"/>
    <w:rsid w:val="00447E65"/>
    <w:rsid w:val="00452E42"/>
    <w:rsid w:val="00453E27"/>
    <w:rsid w:val="004568AE"/>
    <w:rsid w:val="00460293"/>
    <w:rsid w:val="004742A8"/>
    <w:rsid w:val="00483339"/>
    <w:rsid w:val="004838B6"/>
    <w:rsid w:val="004943EF"/>
    <w:rsid w:val="004A3D81"/>
    <w:rsid w:val="004A5A2E"/>
    <w:rsid w:val="004A79CC"/>
    <w:rsid w:val="004B4F53"/>
    <w:rsid w:val="004C3C00"/>
    <w:rsid w:val="004C3D7C"/>
    <w:rsid w:val="004C4B7D"/>
    <w:rsid w:val="004E0C32"/>
    <w:rsid w:val="004E1885"/>
    <w:rsid w:val="004F3BCC"/>
    <w:rsid w:val="005032F0"/>
    <w:rsid w:val="00503B66"/>
    <w:rsid w:val="00510048"/>
    <w:rsid w:val="00515225"/>
    <w:rsid w:val="005329EB"/>
    <w:rsid w:val="005431C6"/>
    <w:rsid w:val="00555AB8"/>
    <w:rsid w:val="00567CD7"/>
    <w:rsid w:val="005729FB"/>
    <w:rsid w:val="0057301F"/>
    <w:rsid w:val="00583841"/>
    <w:rsid w:val="00593748"/>
    <w:rsid w:val="005A3868"/>
    <w:rsid w:val="005C05C3"/>
    <w:rsid w:val="005C1383"/>
    <w:rsid w:val="005C3C9A"/>
    <w:rsid w:val="005E069D"/>
    <w:rsid w:val="005E4A70"/>
    <w:rsid w:val="00616ADD"/>
    <w:rsid w:val="006201C1"/>
    <w:rsid w:val="006222C8"/>
    <w:rsid w:val="00626376"/>
    <w:rsid w:val="00626388"/>
    <w:rsid w:val="0062732E"/>
    <w:rsid w:val="00652119"/>
    <w:rsid w:val="00677126"/>
    <w:rsid w:val="00684653"/>
    <w:rsid w:val="00696A4C"/>
    <w:rsid w:val="006C1E64"/>
    <w:rsid w:val="006C3F93"/>
    <w:rsid w:val="006C3F9A"/>
    <w:rsid w:val="006C40ED"/>
    <w:rsid w:val="006D10AE"/>
    <w:rsid w:val="006D163F"/>
    <w:rsid w:val="006D16BA"/>
    <w:rsid w:val="006D424D"/>
    <w:rsid w:val="006E1293"/>
    <w:rsid w:val="00700B50"/>
    <w:rsid w:val="00706881"/>
    <w:rsid w:val="007106D6"/>
    <w:rsid w:val="00712751"/>
    <w:rsid w:val="0071453A"/>
    <w:rsid w:val="00724E0B"/>
    <w:rsid w:val="0073217E"/>
    <w:rsid w:val="00732C08"/>
    <w:rsid w:val="00733091"/>
    <w:rsid w:val="00735CD9"/>
    <w:rsid w:val="007723E5"/>
    <w:rsid w:val="00777ADA"/>
    <w:rsid w:val="007861F7"/>
    <w:rsid w:val="00791AF8"/>
    <w:rsid w:val="00794809"/>
    <w:rsid w:val="0079671E"/>
    <w:rsid w:val="007C565C"/>
    <w:rsid w:val="007C6A7E"/>
    <w:rsid w:val="007C7010"/>
    <w:rsid w:val="007C797F"/>
    <w:rsid w:val="007F7D97"/>
    <w:rsid w:val="0080500A"/>
    <w:rsid w:val="00814C07"/>
    <w:rsid w:val="008207DE"/>
    <w:rsid w:val="008524AA"/>
    <w:rsid w:val="00860F18"/>
    <w:rsid w:val="0086171D"/>
    <w:rsid w:val="00865084"/>
    <w:rsid w:val="0088459C"/>
    <w:rsid w:val="00887666"/>
    <w:rsid w:val="00887FF5"/>
    <w:rsid w:val="00893BA3"/>
    <w:rsid w:val="00893CF1"/>
    <w:rsid w:val="008A12E1"/>
    <w:rsid w:val="008A4B48"/>
    <w:rsid w:val="008A52EE"/>
    <w:rsid w:val="008D2CC7"/>
    <w:rsid w:val="008D4C07"/>
    <w:rsid w:val="008E4479"/>
    <w:rsid w:val="009032C3"/>
    <w:rsid w:val="00914F58"/>
    <w:rsid w:val="00924DE3"/>
    <w:rsid w:val="00944569"/>
    <w:rsid w:val="009522F5"/>
    <w:rsid w:val="00982B3C"/>
    <w:rsid w:val="00983C49"/>
    <w:rsid w:val="00984A9C"/>
    <w:rsid w:val="00993C40"/>
    <w:rsid w:val="009A47C3"/>
    <w:rsid w:val="009A73C2"/>
    <w:rsid w:val="009B0520"/>
    <w:rsid w:val="009B3206"/>
    <w:rsid w:val="009B61A1"/>
    <w:rsid w:val="009B6CDD"/>
    <w:rsid w:val="009C778E"/>
    <w:rsid w:val="009D09D6"/>
    <w:rsid w:val="009E7263"/>
    <w:rsid w:val="009F41B7"/>
    <w:rsid w:val="009F5B7C"/>
    <w:rsid w:val="009F5F24"/>
    <w:rsid w:val="009F6F48"/>
    <w:rsid w:val="00A03F77"/>
    <w:rsid w:val="00A06C8A"/>
    <w:rsid w:val="00A121EF"/>
    <w:rsid w:val="00A24838"/>
    <w:rsid w:val="00A31459"/>
    <w:rsid w:val="00A432EB"/>
    <w:rsid w:val="00A46B52"/>
    <w:rsid w:val="00A53F5B"/>
    <w:rsid w:val="00A629F1"/>
    <w:rsid w:val="00A64BA6"/>
    <w:rsid w:val="00A64C19"/>
    <w:rsid w:val="00A84AD6"/>
    <w:rsid w:val="00AA55DB"/>
    <w:rsid w:val="00AB1897"/>
    <w:rsid w:val="00AB1F01"/>
    <w:rsid w:val="00AB3428"/>
    <w:rsid w:val="00AB4522"/>
    <w:rsid w:val="00AD0C90"/>
    <w:rsid w:val="00AD746C"/>
    <w:rsid w:val="00AD749F"/>
    <w:rsid w:val="00AE643B"/>
    <w:rsid w:val="00AF5CC9"/>
    <w:rsid w:val="00B0029A"/>
    <w:rsid w:val="00B024A7"/>
    <w:rsid w:val="00B17167"/>
    <w:rsid w:val="00B2663D"/>
    <w:rsid w:val="00B27B31"/>
    <w:rsid w:val="00B27D10"/>
    <w:rsid w:val="00B36619"/>
    <w:rsid w:val="00B4240C"/>
    <w:rsid w:val="00B4749E"/>
    <w:rsid w:val="00B47B23"/>
    <w:rsid w:val="00B523A1"/>
    <w:rsid w:val="00B54D98"/>
    <w:rsid w:val="00B72663"/>
    <w:rsid w:val="00B90104"/>
    <w:rsid w:val="00BA0684"/>
    <w:rsid w:val="00BA64EE"/>
    <w:rsid w:val="00BB0586"/>
    <w:rsid w:val="00BC1953"/>
    <w:rsid w:val="00BC6724"/>
    <w:rsid w:val="00BC7410"/>
    <w:rsid w:val="00BE21B6"/>
    <w:rsid w:val="00BE3AEB"/>
    <w:rsid w:val="00BE7E25"/>
    <w:rsid w:val="00BF6053"/>
    <w:rsid w:val="00BF6CE0"/>
    <w:rsid w:val="00C00116"/>
    <w:rsid w:val="00C00492"/>
    <w:rsid w:val="00C01AF8"/>
    <w:rsid w:val="00C03352"/>
    <w:rsid w:val="00C14C95"/>
    <w:rsid w:val="00C2492D"/>
    <w:rsid w:val="00C24AA5"/>
    <w:rsid w:val="00C36F5C"/>
    <w:rsid w:val="00C37BA5"/>
    <w:rsid w:val="00C540A0"/>
    <w:rsid w:val="00C5754A"/>
    <w:rsid w:val="00C578FA"/>
    <w:rsid w:val="00C64697"/>
    <w:rsid w:val="00C66766"/>
    <w:rsid w:val="00C7396D"/>
    <w:rsid w:val="00C83318"/>
    <w:rsid w:val="00C83A1E"/>
    <w:rsid w:val="00C90116"/>
    <w:rsid w:val="00C9555C"/>
    <w:rsid w:val="00C95E03"/>
    <w:rsid w:val="00CA728C"/>
    <w:rsid w:val="00CB15B7"/>
    <w:rsid w:val="00CB48C5"/>
    <w:rsid w:val="00CB6580"/>
    <w:rsid w:val="00CC3648"/>
    <w:rsid w:val="00CD5887"/>
    <w:rsid w:val="00CD7BEC"/>
    <w:rsid w:val="00CF5747"/>
    <w:rsid w:val="00D02303"/>
    <w:rsid w:val="00D112A5"/>
    <w:rsid w:val="00D16310"/>
    <w:rsid w:val="00D218A1"/>
    <w:rsid w:val="00D306F1"/>
    <w:rsid w:val="00D353EF"/>
    <w:rsid w:val="00D428E8"/>
    <w:rsid w:val="00D43EBF"/>
    <w:rsid w:val="00D469A2"/>
    <w:rsid w:val="00D46B4A"/>
    <w:rsid w:val="00D47FBE"/>
    <w:rsid w:val="00D51530"/>
    <w:rsid w:val="00D51D2E"/>
    <w:rsid w:val="00D56281"/>
    <w:rsid w:val="00D61020"/>
    <w:rsid w:val="00D807E5"/>
    <w:rsid w:val="00D80AF0"/>
    <w:rsid w:val="00D821B0"/>
    <w:rsid w:val="00D833C7"/>
    <w:rsid w:val="00DB4AF8"/>
    <w:rsid w:val="00DB598B"/>
    <w:rsid w:val="00DC1F51"/>
    <w:rsid w:val="00DC55DC"/>
    <w:rsid w:val="00DE587B"/>
    <w:rsid w:val="00DE7C51"/>
    <w:rsid w:val="00DF4FD5"/>
    <w:rsid w:val="00E01DC9"/>
    <w:rsid w:val="00E07721"/>
    <w:rsid w:val="00E10D61"/>
    <w:rsid w:val="00E11C63"/>
    <w:rsid w:val="00E12F5B"/>
    <w:rsid w:val="00E30CB9"/>
    <w:rsid w:val="00E36775"/>
    <w:rsid w:val="00E37FA7"/>
    <w:rsid w:val="00E414A0"/>
    <w:rsid w:val="00E4199A"/>
    <w:rsid w:val="00E62A57"/>
    <w:rsid w:val="00E63B97"/>
    <w:rsid w:val="00E64B69"/>
    <w:rsid w:val="00E70FE2"/>
    <w:rsid w:val="00E76AA7"/>
    <w:rsid w:val="00EA40C5"/>
    <w:rsid w:val="00EA6255"/>
    <w:rsid w:val="00EB1C15"/>
    <w:rsid w:val="00EB539B"/>
    <w:rsid w:val="00EB67E4"/>
    <w:rsid w:val="00EB7BF2"/>
    <w:rsid w:val="00EC1735"/>
    <w:rsid w:val="00ED1839"/>
    <w:rsid w:val="00ED25D9"/>
    <w:rsid w:val="00EE3633"/>
    <w:rsid w:val="00EF32B0"/>
    <w:rsid w:val="00EF4534"/>
    <w:rsid w:val="00EF6309"/>
    <w:rsid w:val="00F05BFD"/>
    <w:rsid w:val="00F144D1"/>
    <w:rsid w:val="00F25464"/>
    <w:rsid w:val="00F30BB5"/>
    <w:rsid w:val="00F326F1"/>
    <w:rsid w:val="00F42C28"/>
    <w:rsid w:val="00F46FB5"/>
    <w:rsid w:val="00F551CE"/>
    <w:rsid w:val="00F557A4"/>
    <w:rsid w:val="00F66F20"/>
    <w:rsid w:val="00F7290D"/>
    <w:rsid w:val="00F81780"/>
    <w:rsid w:val="00F82268"/>
    <w:rsid w:val="00F847EE"/>
    <w:rsid w:val="00F85F19"/>
    <w:rsid w:val="00F90F49"/>
    <w:rsid w:val="00F946E7"/>
    <w:rsid w:val="00FA7172"/>
    <w:rsid w:val="00FB57D7"/>
    <w:rsid w:val="00FB7242"/>
    <w:rsid w:val="00FC111C"/>
    <w:rsid w:val="00FD4180"/>
    <w:rsid w:val="00FF6037"/>
    <w:rsid w:val="00FF6B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4A003B75-0B4B-4BB8-99F0-E120872B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qFormat/>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character" w:styleId="Hipervnculovisitado">
    <w:name w:val="FollowedHyperlink"/>
    <w:basedOn w:val="Fuentedeprrafopredeter"/>
    <w:uiPriority w:val="99"/>
    <w:semiHidden/>
    <w:unhideWhenUsed/>
    <w:rsid w:val="007C565C"/>
    <w:rPr>
      <w:color w:val="800080" w:themeColor="followedHyperlink"/>
      <w:u w:val="single"/>
    </w:rPr>
  </w:style>
  <w:style w:type="character" w:styleId="Refdecomentario">
    <w:name w:val="annotation reference"/>
    <w:basedOn w:val="Fuentedeprrafopredeter"/>
    <w:uiPriority w:val="99"/>
    <w:semiHidden/>
    <w:unhideWhenUsed/>
    <w:rsid w:val="00CB6580"/>
    <w:rPr>
      <w:sz w:val="16"/>
      <w:szCs w:val="16"/>
    </w:rPr>
  </w:style>
  <w:style w:type="paragraph" w:styleId="Textocomentario">
    <w:name w:val="annotation text"/>
    <w:basedOn w:val="Normal"/>
    <w:link w:val="TextocomentarioCar"/>
    <w:uiPriority w:val="99"/>
    <w:semiHidden/>
    <w:unhideWhenUsed/>
    <w:rsid w:val="00CB6580"/>
    <w:pPr>
      <w:spacing w:after="160" w:line="240" w:lineRule="auto"/>
    </w:pPr>
    <w:rPr>
      <w:kern w:val="2"/>
      <w:sz w:val="20"/>
      <w:szCs w:val="20"/>
      <w:lang w:val="es-AR"/>
      <w14:ligatures w14:val="standardContextual"/>
    </w:rPr>
  </w:style>
  <w:style w:type="character" w:customStyle="1" w:styleId="TextocomentarioCar">
    <w:name w:val="Texto comentario Car"/>
    <w:basedOn w:val="Fuentedeprrafopredeter"/>
    <w:link w:val="Textocomentario"/>
    <w:uiPriority w:val="99"/>
    <w:semiHidden/>
    <w:rsid w:val="00CB6580"/>
    <w:rPr>
      <w:kern w:val="2"/>
      <w:sz w:val="20"/>
      <w:szCs w:val="20"/>
      <w:lang w:val="es-A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4604">
      <w:bodyDiv w:val="1"/>
      <w:marLeft w:val="0"/>
      <w:marRight w:val="0"/>
      <w:marTop w:val="0"/>
      <w:marBottom w:val="0"/>
      <w:divBdr>
        <w:top w:val="none" w:sz="0" w:space="0" w:color="auto"/>
        <w:left w:val="none" w:sz="0" w:space="0" w:color="auto"/>
        <w:bottom w:val="none" w:sz="0" w:space="0" w:color="auto"/>
        <w:right w:val="none" w:sz="0" w:space="0" w:color="auto"/>
      </w:divBdr>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21138/bage.2829" TargetMode="External"/><Relationship Id="rId39" Type="http://schemas.openxmlformats.org/officeDocument/2006/relationships/hyperlink" Target="https://www.indec.gob.ar/indec/web/Nivel4-Tema-2-41-165"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oi.org/10.14350/rig.60023" TargetMode="External"/><Relationship Id="rId42" Type="http://schemas.openxmlformats.org/officeDocument/2006/relationships/hyperlink" Target="https://redatam.indec.gob.ar/redarg/censos/cpv2010rad/Docs/base.pdf" TargetMode="External"/><Relationship Id="rId47" Type="http://schemas.openxmlformats.org/officeDocument/2006/relationships/hyperlink" Target="http://www.scielo.org.mx/scielo.php?script=sci_arttext&amp;pid=S0188-46112012000200009&amp;lng=es&amp;tlng=es"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fch.unicen.edu.ar/atlashyg/Atlas%20poblaci%C3%B3n%20ebook.pdf" TargetMode="External"/><Relationship Id="rId33" Type="http://schemas.openxmlformats.org/officeDocument/2006/relationships/hyperlink" Target="http://www.scielo.org.mx/scielo.php?script=sci_arttext&amp;amp;pid=S1870-90362018000100236&amp;amp;lng=es&amp;amp;tlng=es" TargetMode="External"/><Relationship Id="rId38" Type="http://schemas.openxmlformats.org/officeDocument/2006/relationships/hyperlink" Target="https://www.uv.es/~javier/index_archivos/Diccionario_Geografia%20Aplicada.pdf" TargetMode="External"/><Relationship Id="rId46" Type="http://schemas.openxmlformats.org/officeDocument/2006/relationships/hyperlink" Target="https://www.teseopress.com/atlasestadisticoagropecuariodecordob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6018/turismo.37.256181" TargetMode="External"/><Relationship Id="rId41" Type="http://schemas.openxmlformats.org/officeDocument/2006/relationships/hyperlink" Target="https://www.indec.gob.ar/indec/web/Nivel4-Tema-3-13-5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espyt.wixsite.com/gespyt/caminos-geogr%C3%A1ficos" TargetMode="External"/><Relationship Id="rId32" Type="http://schemas.openxmlformats.org/officeDocument/2006/relationships/hyperlink" Target="https://doi.org/10.1080/14616688.2018.1454504" TargetMode="External"/><Relationship Id="rId37" Type="http://schemas.openxmlformats.org/officeDocument/2006/relationships/hyperlink" Target="https://doi.org/10.47557/KRUW8909" TargetMode="External"/><Relationship Id="rId40" Type="http://schemas.openxmlformats.org/officeDocument/2006/relationships/hyperlink" Target="https://www.indec.gob.ar/indec/web/Nivel4-Tema-2-41-165" TargetMode="External"/><Relationship Id="rId45" Type="http://schemas.openxmlformats.org/officeDocument/2006/relationships/hyperlink" Target="https://observatoriopolitico.com.ar/ciudanos-de-ayer-y-de-hoy-a-traves-de-los-censos-de-poblacion-argentinos-entre-1869-y-2022/"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tableros.yvera.tur.ar/puna/" TargetMode="External"/><Relationship Id="rId28" Type="http://schemas.openxmlformats.org/officeDocument/2006/relationships/hyperlink" Target="https://doi.org/10.30827/cuadgeo.v60i1.14067" TargetMode="External"/><Relationship Id="rId36" Type="http://schemas.openxmlformats.org/officeDocument/2006/relationships/hyperlink" Target="https://6007826d-3657-4b01-9da2-ff27ea12054f.filesusr.com/ugd/e5a2c5_bf024490749a422685e568c3cb6a470f.pdf"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gespyt.wixsite.com/gespyt/caminos-geogr%C3%A1ficos" TargetMode="External"/><Relationship Id="rId44" Type="http://schemas.openxmlformats.org/officeDocument/2006/relationships/hyperlink" Target="https://doi.org/10.24215/2346898Xe115"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21071/riturem.v9i2.18106"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uv.es/~javier/index_archivos/Diccionario_Geografia%20Aplicada.pdf" TargetMode="External"/><Relationship Id="rId30" Type="http://schemas.openxmlformats.org/officeDocument/2006/relationships/hyperlink" Target="https://doi.org/10.6018/turismo.451831" TargetMode="External"/><Relationship Id="rId35" Type="http://schemas.openxmlformats.org/officeDocument/2006/relationships/hyperlink" Target="https://doi.org/10.14350/rig.60624" TargetMode="External"/><Relationship Id="rId43" Type="http://schemas.openxmlformats.org/officeDocument/2006/relationships/hyperlink" Target="https://redatam.indec.gob.ar/redarg/censos/CPV2001ARG/DOCS/Definiciones%20CD%20Base%20CNPHV2001_d.pdf" TargetMode="External"/><Relationship Id="rId48" Type="http://schemas.openxmlformats.org/officeDocument/2006/relationships/hyperlink" Target="https://www.yumpu.com/es/document/read/14392712/las-nuevas-modalidades-de-alojamiento-pdf-plan-federal-" TargetMode="External"/><Relationship Id="rId8" Type="http://schemas.openxmlformats.org/officeDocument/2006/relationships/image" Target="media/image1.png"/><Relationship Id="rId5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tableros.yvera.tur.ar/puna/" TargetMode="External"/><Relationship Id="rId2" Type="http://schemas.openxmlformats.org/officeDocument/2006/relationships/hyperlink" Target="https://orcid.org/0000-0001-7009-9913" TargetMode="External"/><Relationship Id="rId1" Type="http://schemas.openxmlformats.org/officeDocument/2006/relationships/hyperlink" Target="mailto:mgordziejczuk@mdp.edu.ar" TargetMode="External"/><Relationship Id="rId5" Type="http://schemas.openxmlformats.org/officeDocument/2006/relationships/hyperlink" Target="https://www.clarin.com/sociedad/cierre-torres-manantiales-200-hoteles-perdio-mar-plata-pandemia_0_QKF6wXoP7.html?srsltid=AfmBOorMGXi5yxK3-0BpFFN58l7MPmJ_yQkxdOHWtzk9oDl5MeXonJu7" TargetMode="External"/><Relationship Id="rId4" Type="http://schemas.openxmlformats.org/officeDocument/2006/relationships/hyperlink" Target="https://censo.gob.ar/index.php/preguntas-frecuen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14224</Words>
  <Characters>78232</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Rivera Mateos</dc:creator>
  <cp:lastModifiedBy>Manuel Rivera Mateos</cp:lastModifiedBy>
  <cp:revision>15</cp:revision>
  <dcterms:created xsi:type="dcterms:W3CDTF">2025-10-17T12:22:00Z</dcterms:created>
  <dcterms:modified xsi:type="dcterms:W3CDTF">2025-12-09T00:45:00Z</dcterms:modified>
</cp:coreProperties>
</file>