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8D14" w14:textId="77777777" w:rsidR="002C1D95" w:rsidRPr="002C1D95" w:rsidRDefault="002C1D95" w:rsidP="002C1D95">
      <w:pPr>
        <w:tabs>
          <w:tab w:val="center" w:pos="4252"/>
          <w:tab w:val="right" w:pos="8504"/>
          <w:tab w:val="right" w:pos="9070"/>
        </w:tabs>
        <w:suppressAutoHyphens/>
        <w:autoSpaceDN w:val="0"/>
        <w:spacing w:after="0" w:line="240" w:lineRule="auto"/>
        <w:jc w:val="center"/>
        <w:rPr>
          <w:rFonts w:ascii="Times New Roman" w:hAnsi="Times New Roman" w:cs="Times New Roman"/>
          <w:color w:val="auto"/>
          <w:sz w:val="20"/>
          <w:szCs w:val="20"/>
          <w:lang w:val="en-GB" w:eastAsia="en-US"/>
        </w:rPr>
      </w:pPr>
      <w:r w:rsidRPr="002C1D95">
        <w:rPr>
          <w:rFonts w:ascii="Times New Roman" w:hAnsi="Times New Roman" w:cs="Times New Roman"/>
          <w:color w:val="auto"/>
          <w:sz w:val="20"/>
          <w:szCs w:val="20"/>
          <w:lang w:val="en-GB" w:eastAsia="en-US"/>
        </w:rPr>
        <w:t>REVISTA INTERNACIONAL DE TURISMO, EMPRESA Y TERRITORIO</w:t>
      </w:r>
    </w:p>
    <w:p w14:paraId="6C58F6D4" w14:textId="5877D762" w:rsidR="002C1D95" w:rsidRPr="002C1D95" w:rsidRDefault="002C1D95" w:rsidP="002C1D95">
      <w:pPr>
        <w:tabs>
          <w:tab w:val="center" w:pos="4252"/>
          <w:tab w:val="right" w:pos="8504"/>
          <w:tab w:val="right" w:pos="9070"/>
        </w:tabs>
        <w:autoSpaceDN w:val="0"/>
        <w:spacing w:after="0" w:line="240" w:lineRule="auto"/>
        <w:jc w:val="center"/>
        <w:rPr>
          <w:rFonts w:ascii="Times New Roman" w:hAnsi="Times New Roman" w:cs="Times New Roman"/>
          <w:color w:val="auto"/>
          <w:sz w:val="20"/>
          <w:szCs w:val="20"/>
          <w:lang w:val="en-GB" w:eastAsia="en-US"/>
        </w:rPr>
      </w:pPr>
      <w:r w:rsidRPr="002C1D95">
        <w:rPr>
          <w:rFonts w:ascii="Times New Roman" w:hAnsi="Times New Roman" w:cs="Times New Roman"/>
          <w:color w:val="auto"/>
          <w:sz w:val="20"/>
          <w:szCs w:val="20"/>
          <w:lang w:val="en-GB" w:eastAsia="en-US"/>
        </w:rPr>
        <w:t xml:space="preserve">Nº 18, </w:t>
      </w:r>
      <w:proofErr w:type="spellStart"/>
      <w:r w:rsidRPr="002C1D95">
        <w:rPr>
          <w:rFonts w:ascii="Times New Roman" w:hAnsi="Times New Roman" w:cs="Times New Roman"/>
          <w:color w:val="auto"/>
          <w:sz w:val="20"/>
          <w:szCs w:val="20"/>
          <w:lang w:val="en-GB" w:eastAsia="en-US"/>
        </w:rPr>
        <w:t>julio-diciembre</w:t>
      </w:r>
      <w:proofErr w:type="spellEnd"/>
      <w:r w:rsidRPr="002C1D95">
        <w:rPr>
          <w:rFonts w:ascii="Times New Roman" w:hAnsi="Times New Roman" w:cs="Times New Roman"/>
          <w:color w:val="auto"/>
          <w:sz w:val="20"/>
          <w:szCs w:val="20"/>
          <w:lang w:val="en-GB" w:eastAsia="en-US"/>
        </w:rPr>
        <w:t xml:space="preserve"> de 2025, pp. 2</w:t>
      </w:r>
      <w:r>
        <w:rPr>
          <w:rFonts w:ascii="Times New Roman" w:hAnsi="Times New Roman" w:cs="Times New Roman"/>
          <w:color w:val="auto"/>
          <w:sz w:val="20"/>
          <w:szCs w:val="20"/>
          <w:lang w:val="en-GB" w:eastAsia="en-US"/>
        </w:rPr>
        <w:t>21</w:t>
      </w:r>
      <w:r w:rsidRPr="002C1D95">
        <w:rPr>
          <w:rFonts w:ascii="Times New Roman" w:hAnsi="Times New Roman" w:cs="Times New Roman"/>
          <w:color w:val="auto"/>
          <w:sz w:val="20"/>
          <w:szCs w:val="20"/>
          <w:lang w:val="en-GB" w:eastAsia="en-US"/>
        </w:rPr>
        <w:t>-2</w:t>
      </w:r>
      <w:r>
        <w:rPr>
          <w:rFonts w:ascii="Times New Roman" w:hAnsi="Times New Roman" w:cs="Times New Roman"/>
          <w:color w:val="auto"/>
          <w:sz w:val="20"/>
          <w:szCs w:val="20"/>
          <w:lang w:val="en-GB" w:eastAsia="en-US"/>
        </w:rPr>
        <w:t>36</w:t>
      </w:r>
      <w:r w:rsidRPr="002C1D95">
        <w:rPr>
          <w:rFonts w:ascii="Times New Roman" w:hAnsi="Times New Roman" w:cs="Times New Roman"/>
          <w:color w:val="auto"/>
          <w:sz w:val="20"/>
          <w:szCs w:val="20"/>
          <w:lang w:val="en-GB" w:eastAsia="en-US"/>
        </w:rPr>
        <w:t>.</w:t>
      </w:r>
    </w:p>
    <w:p w14:paraId="2C02168E" w14:textId="77777777" w:rsidR="002C1D95" w:rsidRPr="002C1D95" w:rsidRDefault="002C1D95" w:rsidP="002C1D95">
      <w:pPr>
        <w:tabs>
          <w:tab w:val="center" w:pos="4252"/>
          <w:tab w:val="right" w:pos="8504"/>
        </w:tabs>
        <w:autoSpaceDN w:val="0"/>
        <w:spacing w:after="0" w:line="240" w:lineRule="auto"/>
        <w:jc w:val="center"/>
        <w:rPr>
          <w:rFonts w:ascii="Liberation Serif" w:eastAsia="NSimSun" w:hAnsi="Liberation Serif" w:cs="Lucida Sans" w:hint="eastAsia"/>
          <w:color w:val="auto"/>
          <w:kern w:val="3"/>
          <w:sz w:val="24"/>
          <w:szCs w:val="24"/>
          <w:lang w:val="es-ES" w:eastAsia="zh-CN" w:bidi="hi-IN"/>
        </w:rPr>
      </w:pPr>
      <w:r w:rsidRPr="002C1D95">
        <w:rPr>
          <w:rFonts w:ascii="Times New Roman" w:hAnsi="Times New Roman" w:cs="Times New Roman"/>
          <w:color w:val="auto"/>
          <w:sz w:val="20"/>
          <w:szCs w:val="20"/>
          <w:lang w:val="en-GB" w:eastAsia="en-US"/>
        </w:rPr>
        <w:t>ISSN:</w:t>
      </w:r>
      <w:r w:rsidRPr="002C1D95">
        <w:rPr>
          <w:rFonts w:eastAsia="Malgun Gothic" w:cs="Arial"/>
          <w:color w:val="auto"/>
          <w:lang w:val="es-ES" w:eastAsia="ko-KR"/>
        </w:rPr>
        <w:t xml:space="preserve"> </w:t>
      </w:r>
      <w:r w:rsidRPr="002C1D95">
        <w:rPr>
          <w:rFonts w:ascii="Times New Roman" w:hAnsi="Times New Roman" w:cs="Times New Roman"/>
          <w:color w:val="auto"/>
          <w:sz w:val="20"/>
          <w:szCs w:val="20"/>
          <w:lang w:val="en-GB" w:eastAsia="en-US"/>
        </w:rPr>
        <w:t>2660-9320</w:t>
      </w:r>
    </w:p>
    <w:p w14:paraId="67282305" w14:textId="3AA78714" w:rsidR="002C1D95" w:rsidRPr="002C1D95" w:rsidRDefault="002C1D95" w:rsidP="002C1D95">
      <w:pPr>
        <w:tabs>
          <w:tab w:val="center" w:pos="4252"/>
          <w:tab w:val="right" w:pos="8504"/>
        </w:tabs>
        <w:autoSpaceDN w:val="0"/>
        <w:spacing w:after="0" w:line="240" w:lineRule="auto"/>
        <w:jc w:val="center"/>
        <w:rPr>
          <w:rFonts w:ascii="Liberation Serif" w:eastAsia="NSimSun" w:hAnsi="Liberation Serif" w:cs="Lucida Sans" w:hint="eastAsia"/>
          <w:color w:val="auto"/>
          <w:kern w:val="3"/>
          <w:sz w:val="24"/>
          <w:szCs w:val="24"/>
          <w:lang w:val="es-ES" w:eastAsia="zh-CN" w:bidi="hi-IN"/>
        </w:rPr>
      </w:pPr>
      <w:r w:rsidRPr="002C1D95">
        <w:rPr>
          <w:rFonts w:ascii="Times New Roman" w:hAnsi="Times New Roman" w:cs="Times New Roman"/>
          <w:color w:val="auto"/>
          <w:sz w:val="20"/>
          <w:szCs w:val="20"/>
          <w:lang w:val="en-GB" w:eastAsia="en-US"/>
        </w:rPr>
        <w:t>DOI:10.21071/riturem.v9i2.18</w:t>
      </w:r>
      <w:r>
        <w:rPr>
          <w:rFonts w:ascii="Times New Roman" w:hAnsi="Times New Roman" w:cs="Times New Roman"/>
          <w:color w:val="auto"/>
          <w:sz w:val="20"/>
          <w:szCs w:val="20"/>
          <w:lang w:val="en-GB" w:eastAsia="en-US"/>
        </w:rPr>
        <w:t>895</w:t>
      </w:r>
    </w:p>
    <w:p w14:paraId="09D46411" w14:textId="77777777" w:rsidR="002C1D95" w:rsidRPr="002C1D95" w:rsidRDefault="002C1D95" w:rsidP="002C1D95">
      <w:pPr>
        <w:tabs>
          <w:tab w:val="center" w:pos="4252"/>
          <w:tab w:val="right" w:pos="8504"/>
        </w:tabs>
        <w:spacing w:after="0" w:line="240" w:lineRule="auto"/>
        <w:jc w:val="center"/>
        <w:rPr>
          <w:rFonts w:cs="Times New Roman"/>
          <w:color w:val="auto"/>
          <w:lang w:val="es-ES" w:eastAsia="en-US"/>
        </w:rPr>
      </w:pPr>
      <w:r w:rsidRPr="002C1D95">
        <w:rPr>
          <w:rFonts w:cs="Times New Roman"/>
          <w:noProof/>
          <w:color w:val="auto"/>
          <w:lang w:val="es-ES" w:eastAsia="en-US"/>
        </w:rPr>
        <w:drawing>
          <wp:inline distT="0" distB="0" distL="0" distR="0" wp14:anchorId="17033367" wp14:editId="70D7A46C">
            <wp:extent cx="1615440" cy="499745"/>
            <wp:effectExtent l="0" t="0" r="3810" b="0"/>
            <wp:docPr id="147012122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21226" name="Imagen 1" descr="Text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340F8D35" w14:textId="77777777" w:rsidR="002C1D95" w:rsidRPr="002C1D95" w:rsidRDefault="002C1D95" w:rsidP="002C1D95">
      <w:pPr>
        <w:tabs>
          <w:tab w:val="center" w:pos="4252"/>
          <w:tab w:val="right" w:pos="8504"/>
        </w:tabs>
        <w:spacing w:after="0" w:line="240" w:lineRule="auto"/>
        <w:jc w:val="center"/>
        <w:rPr>
          <w:rFonts w:cs="Times New Roman"/>
          <w:color w:val="auto"/>
          <w:lang w:val="es-ES" w:eastAsia="en-US"/>
        </w:rPr>
      </w:pPr>
    </w:p>
    <w:p w14:paraId="53A90A76" w14:textId="4A93DF37" w:rsidR="002C1D95" w:rsidRPr="002C1D95" w:rsidRDefault="002C1D95" w:rsidP="002C1D95">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color w:val="auto"/>
          <w:kern w:val="3"/>
          <w:sz w:val="24"/>
          <w:szCs w:val="24"/>
          <w:lang w:val="en-GB" w:eastAsia="zh-CN" w:bidi="hi-IN"/>
        </w:rPr>
      </w:pPr>
      <w:r w:rsidRPr="002C1D95">
        <w:rPr>
          <w:rFonts w:ascii="Times New Roman" w:hAnsi="Times New Roman" w:cs="Times New Roman"/>
          <w:b/>
          <w:bCs/>
          <w:color w:val="auto"/>
          <w:sz w:val="18"/>
          <w:szCs w:val="18"/>
          <w:lang w:val="en-GB" w:eastAsia="en-US"/>
        </w:rPr>
        <w:t xml:space="preserve">Cita </w:t>
      </w:r>
      <w:proofErr w:type="spellStart"/>
      <w:r w:rsidRPr="002C1D95">
        <w:rPr>
          <w:rFonts w:ascii="Times New Roman" w:hAnsi="Times New Roman" w:cs="Times New Roman"/>
          <w:b/>
          <w:bCs/>
          <w:color w:val="auto"/>
          <w:sz w:val="18"/>
          <w:szCs w:val="18"/>
          <w:lang w:val="en-GB" w:eastAsia="en-US"/>
        </w:rPr>
        <w:t>bibliográfica</w:t>
      </w:r>
      <w:proofErr w:type="spellEnd"/>
      <w:r w:rsidRPr="002C1D95">
        <w:rPr>
          <w:rFonts w:ascii="Times New Roman" w:hAnsi="Times New Roman" w:cs="Times New Roman"/>
          <w:b/>
          <w:bCs/>
          <w:color w:val="auto"/>
          <w:sz w:val="18"/>
          <w:szCs w:val="18"/>
          <w:lang w:val="en-GB" w:eastAsia="en-US"/>
        </w:rPr>
        <w:t>:</w:t>
      </w:r>
      <w:r w:rsidRPr="002C1D95">
        <w:rPr>
          <w:rFonts w:ascii="Times New Roman" w:hAnsi="Times New Roman" w:cs="Times New Roman"/>
          <w:color w:val="auto"/>
          <w:sz w:val="18"/>
          <w:szCs w:val="18"/>
          <w:lang w:val="en-GB" w:eastAsia="en-US"/>
        </w:rPr>
        <w:t xml:space="preserve"> </w:t>
      </w:r>
      <w:r>
        <w:rPr>
          <w:rFonts w:ascii="Times New Roman" w:hAnsi="Times New Roman" w:cs="Times New Roman"/>
          <w:color w:val="auto"/>
          <w:sz w:val="18"/>
          <w:szCs w:val="18"/>
          <w:lang w:val="en-GB" w:eastAsia="en-US"/>
        </w:rPr>
        <w:t xml:space="preserve">Ferrario, C.; </w:t>
      </w:r>
      <w:proofErr w:type="spellStart"/>
      <w:r>
        <w:rPr>
          <w:rFonts w:ascii="Times New Roman" w:hAnsi="Times New Roman" w:cs="Times New Roman"/>
          <w:color w:val="auto"/>
          <w:sz w:val="18"/>
          <w:szCs w:val="18"/>
          <w:lang w:val="en-GB" w:eastAsia="en-US"/>
        </w:rPr>
        <w:t>Afferni</w:t>
      </w:r>
      <w:proofErr w:type="spellEnd"/>
      <w:r>
        <w:rPr>
          <w:rFonts w:ascii="Times New Roman" w:hAnsi="Times New Roman" w:cs="Times New Roman"/>
          <w:color w:val="auto"/>
          <w:sz w:val="18"/>
          <w:szCs w:val="18"/>
          <w:lang w:val="en-GB" w:eastAsia="en-US"/>
        </w:rPr>
        <w:t>, R.; Tadini, M.</w:t>
      </w:r>
      <w:r w:rsidRPr="002C1D95">
        <w:rPr>
          <w:rFonts w:ascii="Times New Roman" w:eastAsia="Times New Roman" w:hAnsi="Times New Roman" w:cs="Times New Roman"/>
          <w:bCs/>
          <w:sz w:val="18"/>
          <w:szCs w:val="18"/>
          <w:lang w:val="es-ES" w:eastAsia="es-AR"/>
        </w:rPr>
        <w:t xml:space="preserve"> (2025).</w:t>
      </w:r>
      <w:r w:rsidRPr="002C1D95">
        <w:rPr>
          <w:rFonts w:ascii="Times New Roman" w:eastAsia="Times New Roman" w:hAnsi="Times New Roman" w:cs="Times New Roman"/>
          <w:b/>
          <w:sz w:val="28"/>
          <w:szCs w:val="28"/>
          <w:lang w:val="es-ES" w:eastAsia="es-AR"/>
        </w:rPr>
        <w:t xml:space="preserve"> </w:t>
      </w:r>
      <w:r w:rsidRPr="002C1D95">
        <w:rPr>
          <w:rFonts w:ascii="Times New Roman" w:eastAsia="Times New Roman" w:hAnsi="Times New Roman" w:cs="Times New Roman"/>
          <w:bCs/>
          <w:sz w:val="18"/>
          <w:szCs w:val="18"/>
          <w:lang w:eastAsia="es-AR"/>
        </w:rPr>
        <w:t>I Sacri Monti (Italia): Strategie e sfide per la tutela  e lo sviluppo di un Patrimonio UNESCO</w:t>
      </w:r>
      <w:r>
        <w:rPr>
          <w:rFonts w:ascii="Times New Roman" w:eastAsia="Times New Roman" w:hAnsi="Times New Roman" w:cs="Times New Roman"/>
          <w:bCs/>
          <w:sz w:val="18"/>
          <w:szCs w:val="18"/>
          <w:lang w:eastAsia="es-AR"/>
        </w:rPr>
        <w:t>.</w:t>
      </w:r>
      <w:r w:rsidRPr="002C1D95">
        <w:rPr>
          <w:rFonts w:ascii="Times New Roman" w:eastAsia="Times New Roman" w:hAnsi="Times New Roman" w:cs="Times New Roman"/>
          <w:b/>
          <w:i/>
          <w:iCs/>
          <w:sz w:val="28"/>
          <w:szCs w:val="28"/>
          <w:lang w:val="en-GB" w:eastAsia="es-AR"/>
        </w:rPr>
        <w:t xml:space="preserve"> </w:t>
      </w:r>
      <w:r w:rsidRPr="002C1D95">
        <w:rPr>
          <w:rFonts w:ascii="Times New Roman" w:eastAsia="NSimSun" w:hAnsi="Times New Roman" w:cs="Times New Roman"/>
          <w:i/>
          <w:iCs/>
          <w:color w:val="auto"/>
          <w:kern w:val="3"/>
          <w:sz w:val="18"/>
          <w:szCs w:val="18"/>
          <w:lang w:val="en-GB" w:eastAsia="zh-CN" w:bidi="hi-IN"/>
        </w:rPr>
        <w:t>R</w:t>
      </w:r>
      <w:r w:rsidRPr="002C1D95">
        <w:rPr>
          <w:rFonts w:ascii="Times New Roman" w:eastAsia="NSimSun" w:hAnsi="Times New Roman" w:cs="Lucida Sans"/>
          <w:bCs/>
          <w:i/>
          <w:iCs/>
          <w:color w:val="auto"/>
          <w:kern w:val="3"/>
          <w:sz w:val="18"/>
          <w:szCs w:val="18"/>
          <w:lang w:val="en-GB" w:eastAsia="zh-CN" w:bidi="hi-IN"/>
        </w:rPr>
        <w:t>e</w:t>
      </w:r>
      <w:r w:rsidRPr="002C1D95">
        <w:rPr>
          <w:rFonts w:ascii="Times New Roman" w:hAnsi="Times New Roman" w:cs="Times New Roman"/>
          <w:i/>
          <w:iCs/>
          <w:color w:val="auto"/>
          <w:sz w:val="18"/>
          <w:szCs w:val="18"/>
          <w:lang w:val="en-GB" w:eastAsia="en-US"/>
        </w:rPr>
        <w:t xml:space="preserve">vista Internacional de Turismo, Empresa y </w:t>
      </w:r>
      <w:proofErr w:type="spellStart"/>
      <w:r w:rsidRPr="002C1D95">
        <w:rPr>
          <w:rFonts w:ascii="Times New Roman" w:hAnsi="Times New Roman" w:cs="Times New Roman"/>
          <w:i/>
          <w:iCs/>
          <w:color w:val="auto"/>
          <w:sz w:val="18"/>
          <w:szCs w:val="18"/>
          <w:lang w:val="en-GB" w:eastAsia="en-US"/>
        </w:rPr>
        <w:t>Territorio</w:t>
      </w:r>
      <w:proofErr w:type="spellEnd"/>
      <w:r w:rsidRPr="002C1D95">
        <w:rPr>
          <w:rFonts w:ascii="Times New Roman" w:hAnsi="Times New Roman" w:cs="Times New Roman"/>
          <w:i/>
          <w:iCs/>
          <w:color w:val="auto"/>
          <w:sz w:val="18"/>
          <w:szCs w:val="18"/>
          <w:lang w:val="en-GB" w:eastAsia="en-US"/>
        </w:rPr>
        <w:t>,</w:t>
      </w:r>
      <w:r w:rsidRPr="002C1D95">
        <w:rPr>
          <w:rFonts w:ascii="Times New Roman" w:hAnsi="Times New Roman" w:cs="Times New Roman"/>
          <w:color w:val="auto"/>
          <w:sz w:val="18"/>
          <w:szCs w:val="18"/>
          <w:lang w:val="en-GB" w:eastAsia="en-US"/>
        </w:rPr>
        <w:t xml:space="preserve"> 10 (2), pp. 2</w:t>
      </w:r>
      <w:r>
        <w:rPr>
          <w:rFonts w:ascii="Times New Roman" w:hAnsi="Times New Roman" w:cs="Times New Roman"/>
          <w:color w:val="auto"/>
          <w:sz w:val="18"/>
          <w:szCs w:val="18"/>
          <w:lang w:val="en-GB" w:eastAsia="en-US"/>
        </w:rPr>
        <w:t>21</w:t>
      </w:r>
      <w:r w:rsidRPr="002C1D95">
        <w:rPr>
          <w:rFonts w:ascii="Times New Roman" w:hAnsi="Times New Roman" w:cs="Times New Roman"/>
          <w:color w:val="auto"/>
          <w:sz w:val="18"/>
          <w:szCs w:val="18"/>
          <w:lang w:val="en-GB" w:eastAsia="en-US"/>
        </w:rPr>
        <w:t>-2</w:t>
      </w:r>
      <w:r>
        <w:rPr>
          <w:rFonts w:ascii="Times New Roman" w:hAnsi="Times New Roman" w:cs="Times New Roman"/>
          <w:color w:val="auto"/>
          <w:sz w:val="18"/>
          <w:szCs w:val="18"/>
          <w:lang w:val="en-GB" w:eastAsia="en-US"/>
        </w:rPr>
        <w:t>36</w:t>
      </w:r>
      <w:r w:rsidRPr="002C1D95">
        <w:rPr>
          <w:rFonts w:ascii="Times New Roman" w:hAnsi="Times New Roman" w:cs="Times New Roman"/>
          <w:color w:val="auto"/>
          <w:sz w:val="18"/>
          <w:szCs w:val="18"/>
          <w:lang w:val="en-GB" w:eastAsia="en-US"/>
        </w:rPr>
        <w:t xml:space="preserve">. </w:t>
      </w:r>
      <w:r w:rsidRPr="002C1D95">
        <w:rPr>
          <w:rFonts w:ascii="Times New Roman" w:hAnsi="Times New Roman" w:cs="Times New Roman"/>
          <w:color w:val="000080"/>
          <w:sz w:val="18"/>
          <w:szCs w:val="18"/>
          <w:u w:val="single"/>
          <w:lang w:val="en-GB" w:eastAsia="en-US"/>
        </w:rPr>
        <w:t>https://doi.org/10.21071/riturem.v9i2.18</w:t>
      </w:r>
      <w:r>
        <w:rPr>
          <w:rFonts w:ascii="Times New Roman" w:hAnsi="Times New Roman" w:cs="Times New Roman"/>
          <w:color w:val="000080"/>
          <w:sz w:val="18"/>
          <w:szCs w:val="18"/>
          <w:u w:val="single"/>
          <w:lang w:val="en-GB" w:eastAsia="en-US"/>
        </w:rPr>
        <w:t>895</w:t>
      </w:r>
      <w:r w:rsidRPr="002C1D95">
        <w:rPr>
          <w:rFonts w:ascii="Times New Roman" w:hAnsi="Times New Roman" w:cs="Times New Roman"/>
          <w:color w:val="0000FF"/>
          <w:sz w:val="18"/>
          <w:szCs w:val="18"/>
          <w:u w:val="single"/>
          <w:lang w:val="en-GB" w:eastAsia="en-US"/>
        </w:rPr>
        <w:t xml:space="preserve"> </w:t>
      </w:r>
      <w:r w:rsidRPr="002C1D95">
        <w:rPr>
          <w:rFonts w:ascii="Times New Roman" w:hAnsi="Times New Roman" w:cs="Times New Roman"/>
          <w:color w:val="auto"/>
          <w:sz w:val="18"/>
          <w:szCs w:val="18"/>
          <w:lang w:val="en-GB" w:eastAsia="en-US"/>
        </w:rPr>
        <w:t xml:space="preserve"> </w:t>
      </w:r>
    </w:p>
    <w:p w14:paraId="74503B70" w14:textId="0260D817" w:rsidR="004839F2" w:rsidRDefault="0099183B" w:rsidP="004839F2">
      <w:pPr>
        <w:pStyle w:val="Ttulo1"/>
        <w:rPr>
          <w:sz w:val="28"/>
          <w:szCs w:val="28"/>
        </w:rPr>
      </w:pPr>
      <w:r w:rsidRPr="004839F2">
        <w:rPr>
          <w:sz w:val="24"/>
          <w:szCs w:val="24"/>
        </w:rPr>
        <w:t xml:space="preserve"> </w:t>
      </w:r>
      <w:r w:rsidR="004839F2" w:rsidRPr="00FD3B89">
        <w:rPr>
          <w:sz w:val="28"/>
          <w:szCs w:val="28"/>
        </w:rPr>
        <w:t xml:space="preserve">I </w:t>
      </w:r>
      <w:r w:rsidR="00FD3B89">
        <w:rPr>
          <w:sz w:val="28"/>
          <w:szCs w:val="28"/>
        </w:rPr>
        <w:t>Sacri Monti (Italia)</w:t>
      </w:r>
      <w:r w:rsidR="004839F2" w:rsidRPr="00FD3B89">
        <w:rPr>
          <w:sz w:val="28"/>
          <w:szCs w:val="28"/>
        </w:rPr>
        <w:t>: S</w:t>
      </w:r>
      <w:r w:rsidR="00FD3B89">
        <w:rPr>
          <w:sz w:val="28"/>
          <w:szCs w:val="28"/>
        </w:rPr>
        <w:t>trategie e sfide per la tutela  e lo sviluppo di un Patrimonio UNESCO</w:t>
      </w:r>
    </w:p>
    <w:p w14:paraId="65EBB19B" w14:textId="0F0B5F0F" w:rsidR="00FD3B89" w:rsidRPr="00FD3B89" w:rsidRDefault="00FD3B89" w:rsidP="00FD3B89">
      <w:pPr>
        <w:jc w:val="center"/>
        <w:rPr>
          <w:rFonts w:ascii="Times New Roman" w:hAnsi="Times New Roman" w:cs="Times New Roman"/>
          <w:b/>
          <w:bCs/>
          <w:i/>
          <w:iCs/>
          <w:sz w:val="28"/>
          <w:szCs w:val="28"/>
        </w:rPr>
      </w:pPr>
      <w:r w:rsidRPr="00FD3B89">
        <w:rPr>
          <w:rFonts w:ascii="Times New Roman" w:hAnsi="Times New Roman" w:cs="Times New Roman"/>
          <w:b/>
          <w:bCs/>
          <w:i/>
          <w:iCs/>
          <w:sz w:val="28"/>
          <w:szCs w:val="28"/>
        </w:rPr>
        <w:t xml:space="preserve">The Sacri Monti of Piedmont and Lombardy (Italy): </w:t>
      </w:r>
      <w:r w:rsidRPr="00FD3B89">
        <w:rPr>
          <w:rFonts w:ascii="Times New Roman" w:hAnsi="Times New Roman" w:cs="Times New Roman"/>
          <w:b/>
          <w:bCs/>
          <w:i/>
          <w:iCs/>
          <w:sz w:val="28"/>
          <w:szCs w:val="28"/>
          <w:lang w:val="en"/>
        </w:rPr>
        <w:t>Strategies and Challenges for the Protection and Development of a UNESCO Heritage Site</w:t>
      </w:r>
    </w:p>
    <w:p w14:paraId="382E955B" w14:textId="1E097A2D" w:rsidR="00FD3B89" w:rsidRPr="00FD3B89" w:rsidRDefault="00FD3B89" w:rsidP="00FD3B89"/>
    <w:p w14:paraId="6FD6723F" w14:textId="77777777" w:rsidR="004839F2" w:rsidRPr="004C5972" w:rsidRDefault="004839F2" w:rsidP="004839F2">
      <w:pPr>
        <w:pStyle w:val="3AutoradatosIIGG"/>
        <w:rPr>
          <w:b/>
          <w:bCs/>
          <w:lang w:val="it-IT"/>
        </w:rPr>
      </w:pPr>
      <w:r w:rsidRPr="004C5972">
        <w:rPr>
          <w:b/>
          <w:bCs/>
          <w:lang w:val="it-IT"/>
        </w:rPr>
        <w:t>Carla Ferrario</w:t>
      </w:r>
      <w:r w:rsidRPr="004C5972">
        <w:rPr>
          <w:rStyle w:val="Refdenotaalpie"/>
          <w:b/>
          <w:bCs/>
          <w:lang w:val="it-IT"/>
        </w:rPr>
        <w:footnoteReference w:id="1"/>
      </w:r>
      <w:r w:rsidRPr="004C5972">
        <w:rPr>
          <w:b/>
          <w:bCs/>
          <w:vertAlign w:val="superscript"/>
          <w:lang w:val="it-IT"/>
        </w:rPr>
        <w:t>*</w:t>
      </w:r>
    </w:p>
    <w:p w14:paraId="10E9BB3F" w14:textId="77777777" w:rsidR="004839F2" w:rsidRPr="004C5972" w:rsidRDefault="004839F2" w:rsidP="004839F2">
      <w:pPr>
        <w:pStyle w:val="3AutoradatosIIGG"/>
        <w:rPr>
          <w:b/>
          <w:bCs/>
          <w:lang w:val="it-IT"/>
        </w:rPr>
      </w:pPr>
      <w:r>
        <w:rPr>
          <w:b/>
          <w:bCs/>
          <w:lang w:val="it-IT"/>
        </w:rPr>
        <w:t>Raffaella Afferni</w:t>
      </w:r>
      <w:r>
        <w:rPr>
          <w:rStyle w:val="Refdenotaalpie"/>
          <w:b/>
          <w:bCs/>
          <w:lang w:val="it-IT"/>
        </w:rPr>
        <w:footnoteReference w:id="2"/>
      </w:r>
    </w:p>
    <w:p w14:paraId="71C12A23" w14:textId="77777777" w:rsidR="000D22E8" w:rsidRDefault="000D22E8" w:rsidP="000D22E8">
      <w:pPr>
        <w:pStyle w:val="3AutoradatosIIGG"/>
        <w:rPr>
          <w:b/>
          <w:bCs/>
          <w:lang w:val="it-IT"/>
        </w:rPr>
      </w:pPr>
      <w:r w:rsidRPr="004C5972">
        <w:rPr>
          <w:b/>
          <w:bCs/>
          <w:lang w:val="it-IT"/>
        </w:rPr>
        <w:t>Marcello Tadini</w:t>
      </w:r>
      <w:r w:rsidRPr="004C5972">
        <w:rPr>
          <w:rStyle w:val="Refdenotaalpie"/>
          <w:b/>
          <w:bCs/>
          <w:lang w:val="it-IT"/>
        </w:rPr>
        <w:footnoteReference w:id="3"/>
      </w:r>
    </w:p>
    <w:p w14:paraId="1A7A8125" w14:textId="77777777" w:rsidR="004839F2" w:rsidRPr="004C5972" w:rsidRDefault="004839F2" w:rsidP="000D22E8">
      <w:pPr>
        <w:pStyle w:val="5TextocomnIIGG"/>
        <w:jc w:val="center"/>
        <w:rPr>
          <w:lang w:val="it-IT"/>
        </w:rPr>
      </w:pPr>
    </w:p>
    <w:p w14:paraId="23C6D5DB" w14:textId="77777777" w:rsidR="00BD114A" w:rsidRDefault="00BD114A" w:rsidP="004839F2">
      <w:pPr>
        <w:pStyle w:val="4TtulosepgrafesIIGG"/>
        <w:spacing w:after="120"/>
        <w:rPr>
          <w:sz w:val="22"/>
          <w:szCs w:val="22"/>
          <w:lang w:val="it-IT"/>
        </w:rPr>
      </w:pPr>
    </w:p>
    <w:p w14:paraId="225F41CD" w14:textId="21B7D082" w:rsidR="004839F2" w:rsidRPr="00BD114A" w:rsidRDefault="004839F2" w:rsidP="004839F2">
      <w:pPr>
        <w:pStyle w:val="4TtulosepgrafesIIGG"/>
        <w:spacing w:after="120"/>
        <w:rPr>
          <w:sz w:val="22"/>
          <w:szCs w:val="22"/>
          <w:lang w:val="it-IT"/>
        </w:rPr>
      </w:pPr>
      <w:r w:rsidRPr="00BD114A">
        <w:rPr>
          <w:sz w:val="22"/>
          <w:szCs w:val="22"/>
          <w:lang w:val="it-IT"/>
        </w:rPr>
        <w:t>Riassunto</w:t>
      </w:r>
    </w:p>
    <w:p w14:paraId="3B6C1C95" w14:textId="2AA84D93" w:rsidR="004839F2" w:rsidRPr="00BD114A" w:rsidRDefault="004839F2" w:rsidP="004839F2">
      <w:pPr>
        <w:pStyle w:val="5TextocomnIIGG"/>
        <w:rPr>
          <w:sz w:val="22"/>
          <w:szCs w:val="22"/>
          <w:lang w:val="it-IT"/>
        </w:rPr>
      </w:pPr>
      <w:r w:rsidRPr="00BD114A">
        <w:rPr>
          <w:sz w:val="22"/>
          <w:szCs w:val="22"/>
          <w:lang w:val="it-IT"/>
        </w:rPr>
        <w:t xml:space="preserve">I Sacri Monti di Piemonte e Lombardia sono complessi architettonici nei quali si fondono intimamente religione, cultura, arte e natura e in cui è possibile “rivivere” scene della vita di Cristo, della Vergine, dei Santi o i misteri del Rosario. Per le loro caratteristiche di eccezionalità e universalità, i nove Sacri </w:t>
      </w:r>
      <w:r w:rsidR="00ED327C">
        <w:rPr>
          <w:sz w:val="22"/>
          <w:szCs w:val="22"/>
          <w:lang w:val="it-IT"/>
        </w:rPr>
        <w:t>14</w:t>
      </w:r>
      <w:r w:rsidRPr="00BD114A">
        <w:rPr>
          <w:sz w:val="22"/>
          <w:szCs w:val="22"/>
          <w:lang w:val="it-IT"/>
        </w:rPr>
        <w:t xml:space="preserve">Monti presenti nel Nord Ovest italiano, realizzati fra la fine del XV e l’inizio del XVIII secolo, sono stati riconosciuti nel 2003 all’interno della Lista del Patrimonio </w:t>
      </w:r>
      <w:r w:rsidR="00EC4005" w:rsidRPr="00BD114A">
        <w:rPr>
          <w:sz w:val="22"/>
          <w:szCs w:val="22"/>
          <w:lang w:val="it-IT"/>
        </w:rPr>
        <w:t xml:space="preserve">mondiale </w:t>
      </w:r>
      <w:r w:rsidRPr="00BD114A">
        <w:rPr>
          <w:sz w:val="22"/>
          <w:szCs w:val="22"/>
          <w:lang w:val="it-IT"/>
        </w:rPr>
        <w:t>dell’Umanità dell’</w:t>
      </w:r>
      <w:r w:rsidR="00EC4005" w:rsidRPr="00BD114A">
        <w:rPr>
          <w:sz w:val="22"/>
          <w:szCs w:val="22"/>
          <w:lang w:val="it-IT"/>
        </w:rPr>
        <w:t>UNESCO</w:t>
      </w:r>
      <w:r w:rsidRPr="00BD114A">
        <w:rPr>
          <w:sz w:val="22"/>
          <w:szCs w:val="22"/>
          <w:lang w:val="it-IT"/>
        </w:rPr>
        <w:t xml:space="preserve"> e sono inclusi nel sistema delle aree protette delle Regioni Piemonte e Lombardia, che si occupano della loro conservazione storico-artistica e del mantenimento e salvaguardia dell’ambiente circostante</w:t>
      </w:r>
    </w:p>
    <w:p w14:paraId="08A05A06" w14:textId="7BF7FC6F" w:rsidR="00AC4D8A" w:rsidRPr="00BD114A" w:rsidRDefault="004839F2" w:rsidP="00F04B8C">
      <w:pPr>
        <w:pStyle w:val="5TextocomnIIGG"/>
        <w:rPr>
          <w:sz w:val="22"/>
          <w:szCs w:val="22"/>
          <w:lang w:val="it-IT"/>
        </w:rPr>
      </w:pPr>
      <w:r w:rsidRPr="00BD114A">
        <w:rPr>
          <w:sz w:val="22"/>
          <w:szCs w:val="22"/>
          <w:lang w:val="it-IT"/>
        </w:rPr>
        <w:t xml:space="preserve">I Sacri Monti costituiscono un importante patrimonio monumentale, culturale e paesaggistico, la cui gestione poliedrica, che coinvolge </w:t>
      </w:r>
      <w:r w:rsidR="00EC4005" w:rsidRPr="00BD114A">
        <w:rPr>
          <w:sz w:val="22"/>
          <w:szCs w:val="22"/>
          <w:lang w:val="it-IT"/>
        </w:rPr>
        <w:t>R</w:t>
      </w:r>
      <w:r w:rsidRPr="00BD114A">
        <w:rPr>
          <w:sz w:val="22"/>
          <w:szCs w:val="22"/>
          <w:lang w:val="it-IT"/>
        </w:rPr>
        <w:t xml:space="preserve">egione, </w:t>
      </w:r>
      <w:r w:rsidR="00EC4005" w:rsidRPr="00BD114A">
        <w:rPr>
          <w:sz w:val="22"/>
          <w:szCs w:val="22"/>
          <w:lang w:val="it-IT"/>
        </w:rPr>
        <w:t>D</w:t>
      </w:r>
      <w:r w:rsidRPr="00BD114A">
        <w:rPr>
          <w:sz w:val="22"/>
          <w:szCs w:val="22"/>
          <w:lang w:val="it-IT"/>
        </w:rPr>
        <w:t xml:space="preserve">iocesi, </w:t>
      </w:r>
      <w:r w:rsidR="00EC4005" w:rsidRPr="00BD114A">
        <w:rPr>
          <w:sz w:val="22"/>
          <w:szCs w:val="22"/>
          <w:lang w:val="it-IT"/>
        </w:rPr>
        <w:t>C</w:t>
      </w:r>
      <w:r w:rsidRPr="00BD114A">
        <w:rPr>
          <w:sz w:val="22"/>
          <w:szCs w:val="22"/>
          <w:lang w:val="it-IT"/>
        </w:rPr>
        <w:t xml:space="preserve">omuni, </w:t>
      </w:r>
      <w:r w:rsidR="00EC4005" w:rsidRPr="00BD114A">
        <w:rPr>
          <w:sz w:val="22"/>
          <w:szCs w:val="22"/>
          <w:lang w:val="it-IT"/>
        </w:rPr>
        <w:t>S</w:t>
      </w:r>
      <w:r w:rsidRPr="00BD114A">
        <w:rPr>
          <w:sz w:val="22"/>
          <w:szCs w:val="22"/>
          <w:lang w:val="it-IT"/>
        </w:rPr>
        <w:t xml:space="preserve">oprintendenze, </w:t>
      </w:r>
      <w:r w:rsidR="00EC4005" w:rsidRPr="00BD114A">
        <w:rPr>
          <w:sz w:val="22"/>
          <w:szCs w:val="22"/>
          <w:lang w:val="it-IT"/>
        </w:rPr>
        <w:t>E</w:t>
      </w:r>
      <w:r w:rsidRPr="00BD114A">
        <w:rPr>
          <w:sz w:val="22"/>
          <w:szCs w:val="22"/>
          <w:lang w:val="it-IT"/>
        </w:rPr>
        <w:t xml:space="preserve">nti gestori e </w:t>
      </w:r>
      <w:r w:rsidR="00EC4005" w:rsidRPr="00BD114A">
        <w:rPr>
          <w:sz w:val="22"/>
          <w:szCs w:val="22"/>
          <w:lang w:val="it-IT"/>
        </w:rPr>
        <w:t>C</w:t>
      </w:r>
      <w:r w:rsidRPr="00BD114A">
        <w:rPr>
          <w:sz w:val="22"/>
          <w:szCs w:val="22"/>
          <w:lang w:val="it-IT"/>
        </w:rPr>
        <w:t>omitati consultivi, risulta spesso difficoltosa. Gli autori</w:t>
      </w:r>
      <w:r w:rsidR="00AC4D8A" w:rsidRPr="00BD114A">
        <w:rPr>
          <w:sz w:val="22"/>
          <w:szCs w:val="22"/>
          <w:lang w:val="it-IT"/>
        </w:rPr>
        <w:t xml:space="preserve"> dopo un breve cenno sul valore dei siti UNESCO</w:t>
      </w:r>
      <w:r w:rsidR="00EC4005" w:rsidRPr="00BD114A">
        <w:rPr>
          <w:sz w:val="22"/>
          <w:szCs w:val="22"/>
          <w:lang w:val="it-IT"/>
        </w:rPr>
        <w:t xml:space="preserve"> </w:t>
      </w:r>
      <w:r w:rsidR="00AC4D8A" w:rsidRPr="00BD114A">
        <w:rPr>
          <w:sz w:val="22"/>
          <w:szCs w:val="22"/>
          <w:lang w:val="it-IT"/>
        </w:rPr>
        <w:t xml:space="preserve">e sull’importanza turismo nei Sacri Monti, </w:t>
      </w:r>
      <w:r w:rsidRPr="00BD114A">
        <w:rPr>
          <w:sz w:val="22"/>
          <w:szCs w:val="22"/>
          <w:lang w:val="it-IT"/>
        </w:rPr>
        <w:t>approfondi</w:t>
      </w:r>
      <w:r w:rsidR="00AC4D8A" w:rsidRPr="00BD114A">
        <w:rPr>
          <w:sz w:val="22"/>
          <w:szCs w:val="22"/>
          <w:lang w:val="it-IT"/>
        </w:rPr>
        <w:t>ranno</w:t>
      </w:r>
      <w:r w:rsidRPr="00BD114A">
        <w:rPr>
          <w:sz w:val="22"/>
          <w:szCs w:val="22"/>
          <w:lang w:val="it-IT"/>
        </w:rPr>
        <w:t xml:space="preserve"> il tema della </w:t>
      </w:r>
      <w:r w:rsidR="00AC4D8A" w:rsidRPr="00BD114A">
        <w:rPr>
          <w:sz w:val="22"/>
          <w:szCs w:val="22"/>
          <w:lang w:val="it-IT"/>
        </w:rPr>
        <w:t xml:space="preserve">loro </w:t>
      </w:r>
      <w:r w:rsidRPr="00BD114A">
        <w:rPr>
          <w:sz w:val="22"/>
          <w:szCs w:val="22"/>
          <w:lang w:val="it-IT"/>
        </w:rPr>
        <w:t xml:space="preserve">gestione, soffermandosi sulle misure necessarie per garantirne una corretta e proficua amministrazione, poiché </w:t>
      </w:r>
      <w:r w:rsidR="00AB28E4" w:rsidRPr="00BD114A">
        <w:rPr>
          <w:sz w:val="22"/>
          <w:szCs w:val="22"/>
          <w:lang w:val="it-IT"/>
        </w:rPr>
        <w:t>l</w:t>
      </w:r>
      <w:r w:rsidRPr="00BD114A">
        <w:rPr>
          <w:sz w:val="22"/>
          <w:szCs w:val="22"/>
          <w:lang w:val="it-IT"/>
        </w:rPr>
        <w:t xml:space="preserve">e peculiarità territoriali e amministrative hanno generato alcune criticità nello sviluppo e nella valorizzazione dei Sacri Monti. </w:t>
      </w:r>
    </w:p>
    <w:p w14:paraId="0AAA557A" w14:textId="77777777" w:rsidR="004839F2" w:rsidRPr="00BD114A" w:rsidRDefault="004839F2" w:rsidP="004839F2">
      <w:pPr>
        <w:pStyle w:val="5TextocomnIIGG"/>
        <w:spacing w:after="120"/>
        <w:rPr>
          <w:sz w:val="22"/>
          <w:szCs w:val="22"/>
          <w:lang w:val="it-IT"/>
        </w:rPr>
      </w:pPr>
      <w:r w:rsidRPr="00BD114A">
        <w:rPr>
          <w:b/>
          <w:sz w:val="22"/>
          <w:szCs w:val="22"/>
          <w:lang w:val="it-IT"/>
        </w:rPr>
        <w:t>Parole chiave:</w:t>
      </w:r>
      <w:r w:rsidRPr="00BD114A">
        <w:rPr>
          <w:sz w:val="22"/>
          <w:szCs w:val="22"/>
          <w:lang w:val="it-IT"/>
        </w:rPr>
        <w:t xml:space="preserve"> Tutela, gestione, Sacri Monti del Piemonte e della Lombardia, UNESCO</w:t>
      </w:r>
    </w:p>
    <w:p w14:paraId="17C52B76" w14:textId="77777777" w:rsidR="004839F2" w:rsidRPr="00BD114A" w:rsidRDefault="004839F2" w:rsidP="004839F2">
      <w:pPr>
        <w:pStyle w:val="4TtulosepgrafesIIGG"/>
        <w:spacing w:after="120"/>
        <w:rPr>
          <w:sz w:val="22"/>
          <w:szCs w:val="22"/>
          <w:lang w:val="en-GB"/>
        </w:rPr>
      </w:pPr>
      <w:r w:rsidRPr="00BD114A">
        <w:rPr>
          <w:sz w:val="22"/>
          <w:szCs w:val="22"/>
          <w:lang w:val="en-GB"/>
        </w:rPr>
        <w:lastRenderedPageBreak/>
        <w:t>Abstract</w:t>
      </w:r>
    </w:p>
    <w:p w14:paraId="6D179C48" w14:textId="74DD735E" w:rsidR="00AC4D8A" w:rsidRPr="00BD114A" w:rsidRDefault="004839F2" w:rsidP="00F04B8C">
      <w:pPr>
        <w:pStyle w:val="5TextocomnIIGG"/>
        <w:rPr>
          <w:b/>
          <w:sz w:val="22"/>
          <w:szCs w:val="22"/>
          <w:lang w:val="en-GB"/>
        </w:rPr>
      </w:pPr>
      <w:r w:rsidRPr="00BD114A">
        <w:rPr>
          <w:sz w:val="22"/>
          <w:szCs w:val="22"/>
          <w:lang w:val="en-GB"/>
        </w:rPr>
        <w:t xml:space="preserve">The </w:t>
      </w:r>
      <w:proofErr w:type="spellStart"/>
      <w:r w:rsidR="00AB28E4" w:rsidRPr="00BD114A">
        <w:rPr>
          <w:i/>
          <w:iCs/>
          <w:sz w:val="22"/>
          <w:szCs w:val="22"/>
          <w:lang w:val="en-GB"/>
        </w:rPr>
        <w:t>Sacri</w:t>
      </w:r>
      <w:proofErr w:type="spellEnd"/>
      <w:r w:rsidR="00AB28E4" w:rsidRPr="00BD114A">
        <w:rPr>
          <w:i/>
          <w:iCs/>
          <w:sz w:val="22"/>
          <w:szCs w:val="22"/>
          <w:lang w:val="en-GB"/>
        </w:rPr>
        <w:t xml:space="preserve"> Monti</w:t>
      </w:r>
      <w:r w:rsidR="00AB28E4" w:rsidRPr="00BD114A">
        <w:rPr>
          <w:sz w:val="22"/>
          <w:szCs w:val="22"/>
          <w:lang w:val="en-GB"/>
        </w:rPr>
        <w:t xml:space="preserve"> (</w:t>
      </w:r>
      <w:r w:rsidRPr="00BD114A">
        <w:rPr>
          <w:sz w:val="22"/>
          <w:szCs w:val="22"/>
          <w:lang w:val="en-GB"/>
        </w:rPr>
        <w:t>Sacred Mountains</w:t>
      </w:r>
      <w:r w:rsidR="00AB28E4" w:rsidRPr="00BD114A">
        <w:rPr>
          <w:sz w:val="22"/>
          <w:szCs w:val="22"/>
          <w:lang w:val="en-GB"/>
        </w:rPr>
        <w:t>)</w:t>
      </w:r>
      <w:r w:rsidRPr="00BD114A">
        <w:rPr>
          <w:sz w:val="22"/>
          <w:szCs w:val="22"/>
          <w:lang w:val="en-GB"/>
        </w:rPr>
        <w:t xml:space="preserve"> of Piedmont and Lombardy are architectural complexes in which religion, culture, art, and nature are intimately linked, they offer to the visitors the opportunity to “relive” scenes from the life of Christ, the Virgin Mary, the Saints, or the Mysteries of the Rosary. Thanks to their exceptional and universal value, the nine </w:t>
      </w:r>
      <w:proofErr w:type="spellStart"/>
      <w:r w:rsidR="00AB28E4" w:rsidRPr="00BD114A">
        <w:rPr>
          <w:i/>
          <w:iCs/>
          <w:sz w:val="22"/>
          <w:szCs w:val="22"/>
          <w:lang w:val="en-GB"/>
        </w:rPr>
        <w:t>Sacri</w:t>
      </w:r>
      <w:proofErr w:type="spellEnd"/>
      <w:r w:rsidR="00AB28E4" w:rsidRPr="00BD114A">
        <w:rPr>
          <w:i/>
          <w:iCs/>
          <w:sz w:val="22"/>
          <w:szCs w:val="22"/>
          <w:lang w:val="en-GB"/>
        </w:rPr>
        <w:t xml:space="preserve"> Monti</w:t>
      </w:r>
      <w:r w:rsidR="00AB28E4" w:rsidRPr="00BD114A">
        <w:rPr>
          <w:sz w:val="22"/>
          <w:szCs w:val="22"/>
          <w:lang w:val="en-GB"/>
        </w:rPr>
        <w:t xml:space="preserve"> </w:t>
      </w:r>
      <w:r w:rsidRPr="00BD114A">
        <w:rPr>
          <w:sz w:val="22"/>
          <w:szCs w:val="22"/>
          <w:lang w:val="en-GB"/>
        </w:rPr>
        <w:t>located in North-West of Italy, built between the late fifteenth and early eighteenth centuries, were inscribed in 2003 on the UNESCO World Heritage List. They are also part of the network of protected areas of the Piedmont and Lombardy Regions, which are responsible for their historical and artistic preservation as well as for the maintenance and safeguarding of the surrounding environment.</w:t>
      </w:r>
      <w:r w:rsidR="00F04B8C">
        <w:rPr>
          <w:sz w:val="22"/>
          <w:szCs w:val="22"/>
          <w:lang w:val="en-GB"/>
        </w:rPr>
        <w:t xml:space="preserve"> </w:t>
      </w:r>
      <w:r w:rsidRPr="00BD114A">
        <w:rPr>
          <w:sz w:val="22"/>
          <w:szCs w:val="22"/>
          <w:lang w:val="en-GB"/>
        </w:rPr>
        <w:t xml:space="preserve">The </w:t>
      </w:r>
      <w:proofErr w:type="spellStart"/>
      <w:r w:rsidR="00AB28E4" w:rsidRPr="00BD114A">
        <w:rPr>
          <w:i/>
          <w:iCs/>
          <w:sz w:val="22"/>
          <w:szCs w:val="22"/>
          <w:lang w:val="en-GB"/>
        </w:rPr>
        <w:t>Sacri</w:t>
      </w:r>
      <w:proofErr w:type="spellEnd"/>
      <w:r w:rsidR="00AB28E4" w:rsidRPr="00BD114A">
        <w:rPr>
          <w:i/>
          <w:iCs/>
          <w:sz w:val="22"/>
          <w:szCs w:val="22"/>
          <w:lang w:val="en-GB"/>
        </w:rPr>
        <w:t xml:space="preserve"> Monti</w:t>
      </w:r>
      <w:r w:rsidR="00AB28E4" w:rsidRPr="00BD114A">
        <w:rPr>
          <w:sz w:val="22"/>
          <w:szCs w:val="22"/>
          <w:lang w:val="en-GB"/>
        </w:rPr>
        <w:t xml:space="preserve"> </w:t>
      </w:r>
      <w:r w:rsidRPr="00BD114A">
        <w:rPr>
          <w:sz w:val="22"/>
          <w:szCs w:val="22"/>
          <w:lang w:val="en-GB"/>
        </w:rPr>
        <w:t>represent a significant monumental, cultural, and landscape heritage. Their multifaceted management, entailing the involvement of regional authorities, dioceses, municipalities, consultative committees, and so on often proves to be complex and challenging.</w:t>
      </w:r>
      <w:r w:rsidR="00F04B8C">
        <w:rPr>
          <w:sz w:val="22"/>
          <w:szCs w:val="22"/>
          <w:lang w:val="en-GB"/>
        </w:rPr>
        <w:t xml:space="preserve"> </w:t>
      </w:r>
      <w:r w:rsidR="00AC4D8A" w:rsidRPr="00722BAB">
        <w:rPr>
          <w:sz w:val="22"/>
          <w:szCs w:val="22"/>
          <w:lang w:val="en-GB"/>
        </w:rPr>
        <w:t xml:space="preserve">After a brief discussion on the value of UNESCO sites and the importance of tourism at the </w:t>
      </w:r>
      <w:proofErr w:type="spellStart"/>
      <w:r w:rsidR="007131EA" w:rsidRPr="00BD114A">
        <w:rPr>
          <w:i/>
          <w:iCs/>
          <w:sz w:val="22"/>
          <w:szCs w:val="22"/>
          <w:lang w:val="en-GB"/>
        </w:rPr>
        <w:t>Sacri</w:t>
      </w:r>
      <w:proofErr w:type="spellEnd"/>
      <w:r w:rsidR="007131EA" w:rsidRPr="00BD114A">
        <w:rPr>
          <w:i/>
          <w:iCs/>
          <w:sz w:val="22"/>
          <w:szCs w:val="22"/>
          <w:lang w:val="en-GB"/>
        </w:rPr>
        <w:t xml:space="preserve"> Monti</w:t>
      </w:r>
      <w:r w:rsidR="00AC4D8A" w:rsidRPr="00722BAB">
        <w:rPr>
          <w:sz w:val="22"/>
          <w:szCs w:val="22"/>
          <w:lang w:val="en-GB"/>
        </w:rPr>
        <w:t xml:space="preserve">, the authors will focus on their management, highlighting the measures necessary to ensure proper and effective administration, since territorial and administrative peculiarities have generated certain critical issues in the development and enhancement of the </w:t>
      </w:r>
      <w:proofErr w:type="spellStart"/>
      <w:r w:rsidR="007131EA" w:rsidRPr="00BD114A">
        <w:rPr>
          <w:i/>
          <w:iCs/>
          <w:sz w:val="22"/>
          <w:szCs w:val="22"/>
          <w:lang w:val="en-GB"/>
        </w:rPr>
        <w:t>Sacri</w:t>
      </w:r>
      <w:proofErr w:type="spellEnd"/>
      <w:r w:rsidR="007131EA" w:rsidRPr="00BD114A">
        <w:rPr>
          <w:i/>
          <w:iCs/>
          <w:sz w:val="22"/>
          <w:szCs w:val="22"/>
          <w:lang w:val="en-GB"/>
        </w:rPr>
        <w:t xml:space="preserve"> Monti</w:t>
      </w:r>
      <w:r w:rsidR="00AC4D8A" w:rsidRPr="00722BAB">
        <w:rPr>
          <w:sz w:val="22"/>
          <w:szCs w:val="22"/>
          <w:lang w:val="en-GB"/>
        </w:rPr>
        <w:t>.</w:t>
      </w:r>
    </w:p>
    <w:p w14:paraId="3DD356E4" w14:textId="61B56BB7" w:rsidR="004839F2" w:rsidRPr="00BD114A" w:rsidRDefault="004839F2" w:rsidP="004839F2">
      <w:pPr>
        <w:pStyle w:val="5TextocomnIIGG"/>
        <w:spacing w:after="120"/>
        <w:rPr>
          <w:b/>
          <w:sz w:val="22"/>
          <w:szCs w:val="22"/>
          <w:lang w:val="en-GB"/>
        </w:rPr>
      </w:pPr>
      <w:r w:rsidRPr="00BD114A">
        <w:rPr>
          <w:b/>
          <w:sz w:val="22"/>
          <w:szCs w:val="22"/>
          <w:lang w:val="en-GB"/>
        </w:rPr>
        <w:t xml:space="preserve">Keywords: </w:t>
      </w:r>
      <w:r w:rsidRPr="00BD114A">
        <w:rPr>
          <w:sz w:val="22"/>
          <w:szCs w:val="22"/>
          <w:lang w:val="en-GB"/>
        </w:rPr>
        <w:t xml:space="preserve">Conservation, Management, </w:t>
      </w:r>
      <w:proofErr w:type="spellStart"/>
      <w:r w:rsidR="007131EA" w:rsidRPr="00BD114A">
        <w:rPr>
          <w:i/>
          <w:iCs/>
          <w:sz w:val="22"/>
          <w:szCs w:val="22"/>
          <w:lang w:val="en-GB"/>
        </w:rPr>
        <w:t>Sacri</w:t>
      </w:r>
      <w:proofErr w:type="spellEnd"/>
      <w:r w:rsidR="007131EA" w:rsidRPr="00BD114A">
        <w:rPr>
          <w:i/>
          <w:iCs/>
          <w:sz w:val="22"/>
          <w:szCs w:val="22"/>
          <w:lang w:val="en-GB"/>
        </w:rPr>
        <w:t xml:space="preserve"> Monti</w:t>
      </w:r>
      <w:r w:rsidR="007131EA" w:rsidRPr="00BD114A">
        <w:rPr>
          <w:sz w:val="22"/>
          <w:szCs w:val="22"/>
          <w:lang w:val="en-GB"/>
        </w:rPr>
        <w:t xml:space="preserve"> </w:t>
      </w:r>
      <w:r w:rsidRPr="00BD114A">
        <w:rPr>
          <w:sz w:val="22"/>
          <w:szCs w:val="22"/>
          <w:lang w:val="en-GB"/>
        </w:rPr>
        <w:t>of Piedmont and Lombardy, UNESCO</w:t>
      </w:r>
    </w:p>
    <w:p w14:paraId="6FB92F7C" w14:textId="77777777" w:rsidR="00D504F0" w:rsidRPr="00EC4005" w:rsidRDefault="00D504F0" w:rsidP="004E3D2C">
      <w:pPr>
        <w:spacing w:after="88"/>
        <w:rPr>
          <w:rFonts w:asciiTheme="minorHAnsi" w:hAnsiTheme="minorHAnsi" w:cstheme="minorHAnsi"/>
          <w:sz w:val="24"/>
          <w:szCs w:val="24"/>
          <w:lang w:val="en-GB"/>
        </w:rPr>
      </w:pPr>
    </w:p>
    <w:p w14:paraId="22AD4047" w14:textId="77777777" w:rsidR="00D504F0" w:rsidRPr="001017AA" w:rsidRDefault="00D504F0" w:rsidP="00CB731F">
      <w:pPr>
        <w:pStyle w:val="Prrafodelista"/>
        <w:numPr>
          <w:ilvl w:val="0"/>
          <w:numId w:val="2"/>
        </w:numPr>
        <w:autoSpaceDE w:val="0"/>
        <w:autoSpaceDN w:val="0"/>
        <w:adjustRightInd w:val="0"/>
        <w:spacing w:after="120" w:line="240" w:lineRule="auto"/>
        <w:ind w:left="284" w:hanging="284"/>
        <w:contextualSpacing w:val="0"/>
        <w:jc w:val="both"/>
        <w:rPr>
          <w:rFonts w:ascii="Times New Roman" w:hAnsi="Times New Roman" w:cs="Times New Roman"/>
          <w:b/>
          <w:sz w:val="24"/>
          <w:szCs w:val="24"/>
        </w:rPr>
      </w:pPr>
      <w:r w:rsidRPr="001017AA">
        <w:rPr>
          <w:rFonts w:ascii="Times New Roman" w:hAnsi="Times New Roman" w:cs="Times New Roman"/>
          <w:b/>
          <w:sz w:val="24"/>
          <w:szCs w:val="24"/>
        </w:rPr>
        <w:t>Introduzione</w:t>
      </w:r>
    </w:p>
    <w:p w14:paraId="6B87ACC5" w14:textId="3CB5F927" w:rsidR="00D504F0" w:rsidRPr="00BD114A" w:rsidRDefault="00D504F0" w:rsidP="00CB731F">
      <w:pPr>
        <w:pStyle w:val="NormalWeb"/>
        <w:spacing w:before="0" w:beforeAutospacing="0" w:after="120" w:afterAutospacing="0"/>
        <w:ind w:firstLine="425"/>
        <w:jc w:val="both"/>
      </w:pPr>
      <w:r w:rsidRPr="00BD114A">
        <w:t xml:space="preserve">Negli ultimi decenni, il turismo religioso ha conosciuto un significativo rilancio, registrando una crescita costante nei flussi di visitatori che ogni anno scelgono di recarsi presso luoghi sacri. Secondo </w:t>
      </w:r>
      <w:r w:rsidR="0029611B" w:rsidRPr="00BD114A">
        <w:t xml:space="preserve">i </w:t>
      </w:r>
      <w:r w:rsidRPr="00BD114A">
        <w:t xml:space="preserve">dati recenti del Ministero del Turismo, nel 2023 si sono contati circa </w:t>
      </w:r>
      <w:r w:rsidRPr="00BD114A">
        <w:rPr>
          <w:rStyle w:val="Textoennegrita"/>
          <w:b w:val="0"/>
        </w:rPr>
        <w:t>6 milioni di ospiti</w:t>
      </w:r>
      <w:r w:rsidRPr="00BD114A">
        <w:t xml:space="preserve"> nelle strutture di ospitalità religiosa italiane, per un totale stimato di </w:t>
      </w:r>
      <w:r w:rsidRPr="00BD114A">
        <w:rPr>
          <w:rStyle w:val="Textoennegrita"/>
          <w:b w:val="0"/>
        </w:rPr>
        <w:t>25 milioni di pernottamenti</w:t>
      </w:r>
      <w:r w:rsidRPr="00BD114A">
        <w:t>, con un incremento del +5% rispetto all’anno precedente. Questo segmento rappresenta oggi circa l</w:t>
      </w:r>
      <w:r w:rsidRPr="00BD114A">
        <w:rPr>
          <w:b/>
        </w:rPr>
        <w:t>’</w:t>
      </w:r>
      <w:r w:rsidRPr="00BD114A">
        <w:rPr>
          <w:rStyle w:val="Textoennegrita"/>
          <w:b w:val="0"/>
        </w:rPr>
        <w:t>1,5%</w:t>
      </w:r>
      <w:r w:rsidRPr="00BD114A">
        <w:rPr>
          <w:rStyle w:val="Textoennegrita"/>
          <w:rFonts w:asciiTheme="minorHAnsi" w:hAnsiTheme="minorHAnsi" w:cstheme="minorHAnsi"/>
          <w:b w:val="0"/>
        </w:rPr>
        <w:t xml:space="preserve"> </w:t>
      </w:r>
      <w:r w:rsidRPr="00BD114A">
        <w:rPr>
          <w:rStyle w:val="Textoennegrita"/>
          <w:b w:val="0"/>
        </w:rPr>
        <w:t>delle presenze turistiche complessive</w:t>
      </w:r>
      <w:r w:rsidRPr="00BD114A">
        <w:t xml:space="preserve"> in Italia, una quota in crescita rispetto all’1,1% registrato nel periodo 2011-2013</w:t>
      </w:r>
      <w:r w:rsidR="00E33FD8" w:rsidRPr="00BD114A">
        <w:t xml:space="preserve"> (</w:t>
      </w:r>
      <w:r w:rsidR="0055048E" w:rsidRPr="00BD114A">
        <w:t>ISNART</w:t>
      </w:r>
      <w:r w:rsidR="00E33FD8" w:rsidRPr="00BD114A">
        <w:t>, 2013, 2023).</w:t>
      </w:r>
    </w:p>
    <w:p w14:paraId="4EFBFE9F" w14:textId="5C42A344" w:rsidR="00D504F0" w:rsidRPr="00BD114A" w:rsidRDefault="00D504F0" w:rsidP="00CB731F">
      <w:pPr>
        <w:pStyle w:val="NormalWeb"/>
        <w:spacing w:before="0" w:beforeAutospacing="0" w:after="120" w:afterAutospacing="0"/>
        <w:ind w:firstLine="425"/>
        <w:jc w:val="both"/>
      </w:pPr>
      <w:r w:rsidRPr="00BD114A">
        <w:t xml:space="preserve">Il fenomeno coinvolge </w:t>
      </w:r>
      <w:r w:rsidR="002A4B83" w:rsidRPr="00BD114A">
        <w:t>molte e variegate strutt</w:t>
      </w:r>
      <w:r w:rsidR="0029611B" w:rsidRPr="00BD114A">
        <w:t>ur</w:t>
      </w:r>
      <w:r w:rsidR="002A4B83" w:rsidRPr="00BD114A">
        <w:t xml:space="preserve">e ricettive (ad esempio conventi, abazie, ostelli, case religiose) </w:t>
      </w:r>
      <w:r w:rsidRPr="00BD114A">
        <w:t>diffuse sul territorio nazionale</w:t>
      </w:r>
      <w:r w:rsidR="002A4B83" w:rsidRPr="00BD114A">
        <w:t xml:space="preserve">, </w:t>
      </w:r>
      <w:r w:rsidRPr="00BD114A">
        <w:t xml:space="preserve">in particolare nel Lazio </w:t>
      </w:r>
      <w:r w:rsidR="002A4B83" w:rsidRPr="00BD114A">
        <w:t>(</w:t>
      </w:r>
      <w:r w:rsidRPr="00BD114A">
        <w:t xml:space="preserve">Roma e il Vaticano </w:t>
      </w:r>
      <w:r w:rsidR="0029611B" w:rsidRPr="00BD114A">
        <w:rPr>
          <w:i/>
          <w:iCs/>
        </w:rPr>
        <w:t>in primis</w:t>
      </w:r>
      <w:r w:rsidR="002A4B83" w:rsidRPr="00BD114A">
        <w:t xml:space="preserve">) </w:t>
      </w:r>
      <w:r w:rsidRPr="00BD114A">
        <w:t>ma anche in Veneto, Lombardia ed Emilia-Romagna. Accanto ai grandi santuari e ai pellegrinaggi internazionali (San Pietro a Roma, Gerusalemme, Lourdes, Fatima, Czestochowa, Santiago de Compostela), si assiste a una crescente valorizzazione di</w:t>
      </w:r>
      <w:r w:rsidR="00BD114A" w:rsidRPr="00BD114A">
        <w:t xml:space="preserve"> </w:t>
      </w:r>
      <w:r w:rsidR="0029611B" w:rsidRPr="00BD114A">
        <w:t xml:space="preserve">destinazioni </w:t>
      </w:r>
      <w:r w:rsidRPr="00BD114A">
        <w:t>meno note, ma di altissimo valore culturale e spirituale, spesso inserite in contesti paesaggistici unici.</w:t>
      </w:r>
    </w:p>
    <w:p w14:paraId="3463F9BF" w14:textId="4BBEEE32" w:rsidR="00D504F0" w:rsidRPr="00BD114A" w:rsidRDefault="00D504F0" w:rsidP="00CB731F">
      <w:pPr>
        <w:pStyle w:val="NormalWeb"/>
        <w:spacing w:before="0" w:beforeAutospacing="0" w:after="120" w:afterAutospacing="0"/>
        <w:ind w:firstLine="425"/>
        <w:jc w:val="both"/>
      </w:pPr>
      <w:r w:rsidRPr="00BD114A">
        <w:t xml:space="preserve">Le motivazioni dei visitatori risultano molteplici: accanto alla devozione, al pellegrinaggio e alla richiesta di grazie, si affermano spinte più secolari come la curiosità, l’interesse per l’arte e la storia, la ricerca di esperienze spirituali personalizzate, il contatto con la natura e con comunità locali. Questo quadro evidenzia un progressivo processo di </w:t>
      </w:r>
      <w:r w:rsidRPr="00BD114A">
        <w:rPr>
          <w:rStyle w:val="Textoennegrita"/>
          <w:b w:val="0"/>
        </w:rPr>
        <w:t>ibridazione tra turismo religioso e turismo culturale/spirituale</w:t>
      </w:r>
      <w:r w:rsidRPr="00BD114A">
        <w:t>, che si è accentuato anche in seguito alla pandemia, con una maggiore attenzione a</w:t>
      </w:r>
      <w:r w:rsidR="0029611B" w:rsidRPr="00BD114A">
        <w:t>i</w:t>
      </w:r>
      <w:r w:rsidRPr="00BD114A">
        <w:t xml:space="preserve"> luoghi meno affollati e più autentici.</w:t>
      </w:r>
    </w:p>
    <w:p w14:paraId="7A70E202" w14:textId="037E3EA0" w:rsidR="00D504F0" w:rsidRPr="00BD114A" w:rsidRDefault="00D504F0" w:rsidP="00CB731F">
      <w:pPr>
        <w:pStyle w:val="NormalWeb"/>
        <w:spacing w:before="0" w:beforeAutospacing="0" w:after="120" w:afterAutospacing="0"/>
        <w:ind w:firstLine="425"/>
        <w:jc w:val="both"/>
      </w:pPr>
      <w:r w:rsidRPr="00BD114A">
        <w:t xml:space="preserve">Un caso emblematico in Italia è rappresentato dai </w:t>
      </w:r>
      <w:r w:rsidRPr="00BD114A">
        <w:rPr>
          <w:rStyle w:val="Textoennegrita"/>
          <w:b w:val="0"/>
        </w:rPr>
        <w:t>Sacri Monti del Piemonte e della Lombardia</w:t>
      </w:r>
      <w:r w:rsidRPr="00BD114A">
        <w:t>, complessi devozionali di straordinaria rilevanza artistica e paesaggistica, riconosciuti dall’UNESCO come Patrimonio dell’Umanità nel 2003. Pur non essendo mete di turismo “di massa”, attirano un numero crescente di visitatori interessati non solo alla dimensione religiosa, ma anche al loro straordinario valore storico, culturale e naturalistico. Proprio questi luoghi, spesso definiti “di contesto” per la minore affluenza rispetto ai santuari</w:t>
      </w:r>
      <w:r w:rsidR="002A4B83" w:rsidRPr="00BD114A">
        <w:t xml:space="preserve"> </w:t>
      </w:r>
      <w:r w:rsidR="0029611B" w:rsidRPr="00BD114A">
        <w:t xml:space="preserve">italiani </w:t>
      </w:r>
      <w:r w:rsidR="002A4B83" w:rsidRPr="00BD114A">
        <w:t>(ad esempio Roma, Loreto, Assisi)</w:t>
      </w:r>
      <w:r w:rsidRPr="00BD114A">
        <w:t>, si prestano oggi a una strategia di valorizzazione capace di integrare spiritualità, cultura e sviluppo territoriale.</w:t>
      </w:r>
    </w:p>
    <w:p w14:paraId="579B6DD2" w14:textId="77777777" w:rsidR="00BF42E1" w:rsidRPr="00BD114A" w:rsidRDefault="00D504F0" w:rsidP="00CB731F">
      <w:pPr>
        <w:pStyle w:val="NormalWeb"/>
        <w:spacing w:before="0" w:beforeAutospacing="0" w:after="120" w:afterAutospacing="0"/>
        <w:ind w:firstLine="425"/>
        <w:jc w:val="both"/>
      </w:pPr>
      <w:r w:rsidRPr="00BD114A">
        <w:lastRenderedPageBreak/>
        <w:t xml:space="preserve">Il turismo religioso, dunque, si configura sempre più come una risorsa strategica per i territori: non soltanto un fenomeno di devozione, ma un </w:t>
      </w:r>
      <w:r w:rsidRPr="00BD114A">
        <w:rPr>
          <w:rStyle w:val="Textoennegrita"/>
          <w:b w:val="0"/>
        </w:rPr>
        <w:t>motore economico e sociale</w:t>
      </w:r>
      <w:r w:rsidRPr="00BD114A">
        <w:t xml:space="preserve"> in grado di stimolare processi di rigenerazione, rafforzare l’identità locale e promuovere forme di turismo lento e sostenibile, in linea con le nuove sensibilità dei viaggiatori contemporanei.</w:t>
      </w:r>
    </w:p>
    <w:p w14:paraId="00D0FE50" w14:textId="77777777" w:rsidR="001017AA" w:rsidRPr="001017AA" w:rsidRDefault="001017AA" w:rsidP="001017AA">
      <w:pPr>
        <w:pStyle w:val="NormalWeb"/>
        <w:spacing w:before="0" w:beforeAutospacing="0" w:after="120" w:afterAutospacing="0"/>
        <w:ind w:firstLine="284"/>
        <w:jc w:val="both"/>
      </w:pPr>
    </w:p>
    <w:p w14:paraId="6CB9018D" w14:textId="18A93006" w:rsidR="00BF42E1" w:rsidRPr="001017AA" w:rsidRDefault="00BF42E1" w:rsidP="008B016A">
      <w:pPr>
        <w:pStyle w:val="Prrafodelista"/>
        <w:numPr>
          <w:ilvl w:val="0"/>
          <w:numId w:val="2"/>
        </w:numPr>
        <w:autoSpaceDE w:val="0"/>
        <w:autoSpaceDN w:val="0"/>
        <w:adjustRightInd w:val="0"/>
        <w:spacing w:after="120" w:line="240" w:lineRule="auto"/>
        <w:ind w:left="284" w:hanging="284"/>
        <w:contextualSpacing w:val="0"/>
        <w:jc w:val="both"/>
        <w:rPr>
          <w:rFonts w:ascii="Times New Roman" w:hAnsi="Times New Roman" w:cs="Times New Roman"/>
          <w:b/>
          <w:sz w:val="24"/>
          <w:szCs w:val="24"/>
        </w:rPr>
      </w:pPr>
      <w:r w:rsidRPr="001017AA">
        <w:rPr>
          <w:rFonts w:ascii="Times New Roman" w:hAnsi="Times New Roman" w:cs="Times New Roman"/>
          <w:b/>
          <w:sz w:val="24"/>
          <w:szCs w:val="24"/>
        </w:rPr>
        <w:t>I</w:t>
      </w:r>
      <w:r w:rsidR="00AC4D8A">
        <w:rPr>
          <w:rFonts w:ascii="Times New Roman" w:hAnsi="Times New Roman" w:cs="Times New Roman"/>
          <w:b/>
          <w:sz w:val="24"/>
          <w:szCs w:val="24"/>
        </w:rPr>
        <w:t xml:space="preserve"> S</w:t>
      </w:r>
      <w:r w:rsidR="00F96FAE">
        <w:rPr>
          <w:rFonts w:ascii="Times New Roman" w:hAnsi="Times New Roman" w:cs="Times New Roman"/>
          <w:b/>
          <w:sz w:val="24"/>
          <w:szCs w:val="24"/>
        </w:rPr>
        <w:t>acri Monti</w:t>
      </w:r>
    </w:p>
    <w:p w14:paraId="3676DAC5" w14:textId="54B9360F" w:rsidR="001342D6" w:rsidRPr="004839F2" w:rsidRDefault="001342D6" w:rsidP="008B016A">
      <w:pPr>
        <w:pStyle w:val="NormalWeb"/>
        <w:spacing w:before="0" w:beforeAutospacing="0" w:after="120" w:afterAutospacing="0"/>
        <w:ind w:firstLine="425"/>
        <w:jc w:val="both"/>
      </w:pPr>
      <w:r w:rsidRPr="004839F2">
        <w:t>I Sacri Monti sono una creazione tipicamente italiana, sviluppatasi tra il XV e il XVII secolo, in piena età della Controriforma (Centini, 1990). In particolare, sotto l’impulso di San Carlo Borromeo, arcivescovo di Milano, essi nacquero con l’obiettivo di contrastare l’avanzata della Riforma protestante e, al contempo, di rispondere al desiderio dei fedeli di vivere l’esperienza religiosa in modo tangibile, attraverso immagini, statue e reliquie</w:t>
      </w:r>
      <w:r w:rsidR="00B422E3">
        <w:t xml:space="preserve"> </w:t>
      </w:r>
      <w:r w:rsidR="00B422E3" w:rsidRPr="004839F2">
        <w:t>(Barbero, 2001)</w:t>
      </w:r>
      <w:r w:rsidRPr="004839F2">
        <w:t>.</w:t>
      </w:r>
      <w:r w:rsidR="002765CA">
        <w:t xml:space="preserve"> </w:t>
      </w:r>
      <w:r w:rsidRPr="004839F2">
        <w:t>A partire dal Quattrocento, infatti, il numero dei pellegrini verso la Terra Santa si ridusse drasticamente, sia per l’espansione ottomana in Medio Oriente, sia per la crescente instabilità politica in Europa. Per questa ragione la Chiesa promosse la creazione di luoghi alternativi ai tradizionali centri di pellegrinaggio (in particolare Gerusalemme), nei quali i fedeli potessero rivivere, in sicurezza e senza affrontare lunghi viaggi, gli episodi fondamentali della cristianità.</w:t>
      </w:r>
    </w:p>
    <w:p w14:paraId="67C4E3A8" w14:textId="77777777" w:rsidR="00BF42E1" w:rsidRPr="004839F2" w:rsidRDefault="00BF42E1" w:rsidP="009F60C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14:paraId="13AFE3DF" w14:textId="5E4B8501" w:rsidR="00BD114A" w:rsidRPr="00FD3B89" w:rsidRDefault="00BF1D3E" w:rsidP="00BD114A">
      <w:pPr>
        <w:autoSpaceDE w:val="0"/>
        <w:autoSpaceDN w:val="0"/>
        <w:adjustRightInd w:val="0"/>
        <w:spacing w:after="120" w:line="240" w:lineRule="auto"/>
        <w:ind w:firstLine="284"/>
        <w:jc w:val="center"/>
        <w:rPr>
          <w:rFonts w:ascii="Times New Roman" w:eastAsia="Times New Roman" w:hAnsi="Times New Roman" w:cs="Times New Roman"/>
          <w:b/>
          <w:bCs/>
          <w:color w:val="000000" w:themeColor="text1"/>
          <w:sz w:val="24"/>
          <w:szCs w:val="24"/>
        </w:rPr>
      </w:pPr>
      <w:r w:rsidRPr="00FD3B89">
        <w:rPr>
          <w:rFonts w:ascii="Times New Roman" w:eastAsia="Times New Roman" w:hAnsi="Times New Roman" w:cs="Times New Roman"/>
          <w:b/>
          <w:bCs/>
          <w:color w:val="000000" w:themeColor="text1"/>
          <w:sz w:val="24"/>
          <w:szCs w:val="24"/>
        </w:rPr>
        <w:t>Tabella</w:t>
      </w:r>
      <w:r w:rsidR="00BF42E1" w:rsidRPr="00FD3B89">
        <w:rPr>
          <w:rFonts w:ascii="Times New Roman" w:eastAsia="Times New Roman" w:hAnsi="Times New Roman" w:cs="Times New Roman"/>
          <w:b/>
          <w:bCs/>
          <w:color w:val="000000" w:themeColor="text1"/>
          <w:sz w:val="24"/>
          <w:szCs w:val="24"/>
        </w:rPr>
        <w:t xml:space="preserve"> </w:t>
      </w:r>
      <w:r w:rsidR="001342D6" w:rsidRPr="00FD3B89">
        <w:rPr>
          <w:rFonts w:ascii="Times New Roman" w:hAnsi="Times New Roman" w:cs="Times New Roman"/>
          <w:b/>
          <w:bCs/>
          <w:sz w:val="24"/>
          <w:szCs w:val="24"/>
        </w:rPr>
        <w:t xml:space="preserve">1 </w:t>
      </w:r>
      <w:r w:rsidR="00316987" w:rsidRPr="00FD3B89">
        <w:rPr>
          <w:rFonts w:ascii="Times New Roman" w:hAnsi="Times New Roman" w:cs="Times New Roman"/>
          <w:b/>
          <w:bCs/>
          <w:sz w:val="24"/>
          <w:szCs w:val="24"/>
        </w:rPr>
        <w:t>–</w:t>
      </w:r>
      <w:r w:rsidR="001342D6" w:rsidRPr="00FD3B89">
        <w:rPr>
          <w:rFonts w:ascii="Times New Roman" w:hAnsi="Times New Roman" w:cs="Times New Roman"/>
          <w:b/>
          <w:bCs/>
          <w:sz w:val="24"/>
          <w:szCs w:val="24"/>
        </w:rPr>
        <w:t xml:space="preserve"> </w:t>
      </w:r>
      <w:r w:rsidR="00BF42E1" w:rsidRPr="00FD3B89">
        <w:rPr>
          <w:rFonts w:ascii="Times New Roman" w:eastAsia="Times New Roman" w:hAnsi="Times New Roman" w:cs="Times New Roman"/>
          <w:b/>
          <w:bCs/>
          <w:color w:val="000000" w:themeColor="text1"/>
          <w:sz w:val="24"/>
          <w:szCs w:val="24"/>
        </w:rPr>
        <w:t>I</w:t>
      </w:r>
      <w:r w:rsidR="00316987" w:rsidRPr="00FD3B89">
        <w:rPr>
          <w:rFonts w:ascii="Times New Roman" w:eastAsia="Times New Roman" w:hAnsi="Times New Roman" w:cs="Times New Roman"/>
          <w:b/>
          <w:bCs/>
          <w:color w:val="000000" w:themeColor="text1"/>
          <w:sz w:val="24"/>
          <w:szCs w:val="24"/>
        </w:rPr>
        <w:t xml:space="preserve"> </w:t>
      </w:r>
      <w:r w:rsidR="00BF42E1" w:rsidRPr="00FD3B89">
        <w:rPr>
          <w:rFonts w:ascii="Times New Roman" w:eastAsia="Times New Roman" w:hAnsi="Times New Roman" w:cs="Times New Roman"/>
          <w:b/>
          <w:bCs/>
          <w:color w:val="000000" w:themeColor="text1"/>
          <w:sz w:val="24"/>
          <w:szCs w:val="24"/>
        </w:rPr>
        <w:t xml:space="preserve">nove Sacri Monti </w:t>
      </w:r>
      <w:r w:rsidRPr="00FD3B89">
        <w:rPr>
          <w:rFonts w:ascii="Times New Roman" w:eastAsia="Times New Roman" w:hAnsi="Times New Roman" w:cs="Times New Roman"/>
          <w:b/>
          <w:bCs/>
          <w:color w:val="000000" w:themeColor="text1"/>
          <w:sz w:val="24"/>
          <w:szCs w:val="24"/>
        </w:rPr>
        <w:t>di Piemonte e Lombardia</w:t>
      </w:r>
      <w:r w:rsidR="00FC1CBC" w:rsidRPr="00FD3B89">
        <w:rPr>
          <w:rFonts w:ascii="Times New Roman" w:eastAsia="Times New Roman" w:hAnsi="Times New Roman" w:cs="Times New Roman"/>
          <w:b/>
          <w:bCs/>
          <w:color w:val="000000" w:themeColor="text1"/>
          <w:sz w:val="24"/>
          <w:szCs w:val="24"/>
        </w:rPr>
        <w:t>.</w:t>
      </w:r>
    </w:p>
    <w:tbl>
      <w:tblPr>
        <w:tblStyle w:val="Tablaconcuadrcula"/>
        <w:tblW w:w="8642" w:type="dxa"/>
        <w:jc w:val="center"/>
        <w:tblLook w:val="04A0" w:firstRow="1" w:lastRow="0" w:firstColumn="1" w:lastColumn="0" w:noHBand="0" w:noVBand="1"/>
      </w:tblPr>
      <w:tblGrid>
        <w:gridCol w:w="3964"/>
        <w:gridCol w:w="1276"/>
        <w:gridCol w:w="1134"/>
        <w:gridCol w:w="2268"/>
      </w:tblGrid>
      <w:tr w:rsidR="009F60CE" w:rsidRPr="0055048E" w14:paraId="1925A98F" w14:textId="77777777" w:rsidTr="00545242">
        <w:trPr>
          <w:trHeight w:val="286"/>
          <w:jc w:val="center"/>
        </w:trPr>
        <w:tc>
          <w:tcPr>
            <w:tcW w:w="3964" w:type="dxa"/>
            <w:noWrap/>
            <w:hideMark/>
          </w:tcPr>
          <w:p w14:paraId="320CDC33"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b/>
                <w:bCs/>
                <w:color w:val="000000" w:themeColor="text1"/>
                <w:sz w:val="20"/>
                <w:szCs w:val="20"/>
              </w:rPr>
            </w:pPr>
            <w:r w:rsidRPr="0055048E">
              <w:rPr>
                <w:rFonts w:ascii="Times New Roman" w:eastAsia="Times New Roman" w:hAnsi="Times New Roman" w:cs="Times New Roman"/>
                <w:b/>
                <w:bCs/>
                <w:color w:val="000000" w:themeColor="text1"/>
                <w:sz w:val="20"/>
                <w:szCs w:val="20"/>
              </w:rPr>
              <w:t>Sacro Monte</w:t>
            </w:r>
          </w:p>
        </w:tc>
        <w:tc>
          <w:tcPr>
            <w:tcW w:w="1276" w:type="dxa"/>
            <w:noWrap/>
            <w:hideMark/>
          </w:tcPr>
          <w:p w14:paraId="32686832"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b/>
                <w:bCs/>
                <w:color w:val="000000" w:themeColor="text1"/>
                <w:sz w:val="20"/>
                <w:szCs w:val="20"/>
              </w:rPr>
            </w:pPr>
            <w:r w:rsidRPr="0055048E">
              <w:rPr>
                <w:rFonts w:ascii="Times New Roman" w:eastAsia="Times New Roman" w:hAnsi="Times New Roman" w:cs="Times New Roman"/>
                <w:b/>
                <w:bCs/>
                <w:color w:val="000000" w:themeColor="text1"/>
                <w:sz w:val="20"/>
                <w:szCs w:val="20"/>
              </w:rPr>
              <w:t>Anno di costruzione</w:t>
            </w:r>
          </w:p>
        </w:tc>
        <w:tc>
          <w:tcPr>
            <w:tcW w:w="1134" w:type="dxa"/>
            <w:noWrap/>
            <w:hideMark/>
          </w:tcPr>
          <w:p w14:paraId="6A720D92"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b/>
                <w:bCs/>
                <w:color w:val="000000" w:themeColor="text1"/>
                <w:sz w:val="20"/>
                <w:szCs w:val="20"/>
              </w:rPr>
            </w:pPr>
            <w:r w:rsidRPr="0055048E">
              <w:rPr>
                <w:rFonts w:ascii="Times New Roman" w:eastAsia="Times New Roman" w:hAnsi="Times New Roman" w:cs="Times New Roman"/>
                <w:b/>
                <w:bCs/>
                <w:color w:val="000000" w:themeColor="text1"/>
                <w:sz w:val="20"/>
                <w:szCs w:val="20"/>
              </w:rPr>
              <w:t>Regione</w:t>
            </w:r>
          </w:p>
        </w:tc>
        <w:tc>
          <w:tcPr>
            <w:tcW w:w="2268" w:type="dxa"/>
            <w:noWrap/>
            <w:hideMark/>
          </w:tcPr>
          <w:p w14:paraId="347F77DA"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b/>
                <w:bCs/>
                <w:color w:val="000000" w:themeColor="text1"/>
                <w:sz w:val="20"/>
                <w:szCs w:val="20"/>
              </w:rPr>
            </w:pPr>
            <w:r w:rsidRPr="0055048E">
              <w:rPr>
                <w:rFonts w:ascii="Times New Roman" w:eastAsia="Times New Roman" w:hAnsi="Times New Roman" w:cs="Times New Roman"/>
                <w:b/>
                <w:bCs/>
                <w:color w:val="000000" w:themeColor="text1"/>
                <w:sz w:val="20"/>
                <w:szCs w:val="20"/>
              </w:rPr>
              <w:t>Comune</w:t>
            </w:r>
          </w:p>
        </w:tc>
      </w:tr>
      <w:tr w:rsidR="009F60CE" w:rsidRPr="0055048E" w14:paraId="559CF167" w14:textId="77777777" w:rsidTr="009F60CE">
        <w:trPr>
          <w:trHeight w:hRule="exact" w:val="312"/>
          <w:jc w:val="center"/>
        </w:trPr>
        <w:tc>
          <w:tcPr>
            <w:tcW w:w="3964" w:type="dxa"/>
            <w:noWrap/>
            <w:hideMark/>
          </w:tcPr>
          <w:p w14:paraId="54E691BD"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Nuova Gerusalemme</w:t>
            </w:r>
          </w:p>
        </w:tc>
        <w:tc>
          <w:tcPr>
            <w:tcW w:w="1276" w:type="dxa"/>
            <w:noWrap/>
            <w:hideMark/>
          </w:tcPr>
          <w:p w14:paraId="2C71E1BE"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1486</w:t>
            </w:r>
          </w:p>
        </w:tc>
        <w:tc>
          <w:tcPr>
            <w:tcW w:w="1134" w:type="dxa"/>
            <w:noWrap/>
            <w:hideMark/>
          </w:tcPr>
          <w:p w14:paraId="27EE06F3"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718D5258"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Varallo Sesia (VC)</w:t>
            </w:r>
          </w:p>
        </w:tc>
      </w:tr>
      <w:tr w:rsidR="009F60CE" w:rsidRPr="0055048E" w14:paraId="158E368A" w14:textId="77777777" w:rsidTr="009F60CE">
        <w:trPr>
          <w:trHeight w:hRule="exact" w:val="312"/>
          <w:jc w:val="center"/>
        </w:trPr>
        <w:tc>
          <w:tcPr>
            <w:tcW w:w="3964" w:type="dxa"/>
            <w:noWrap/>
            <w:hideMark/>
          </w:tcPr>
          <w:p w14:paraId="00E5EAF1"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Santa Maria Assunta</w:t>
            </w:r>
          </w:p>
        </w:tc>
        <w:tc>
          <w:tcPr>
            <w:tcW w:w="1276" w:type="dxa"/>
            <w:noWrap/>
            <w:hideMark/>
          </w:tcPr>
          <w:p w14:paraId="0F72CFF5"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1589</w:t>
            </w:r>
          </w:p>
        </w:tc>
        <w:tc>
          <w:tcPr>
            <w:tcW w:w="1134" w:type="dxa"/>
            <w:noWrap/>
            <w:hideMark/>
          </w:tcPr>
          <w:p w14:paraId="42A0AA85"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28BA7E5B"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Domodossola (VCO)</w:t>
            </w:r>
          </w:p>
        </w:tc>
      </w:tr>
      <w:tr w:rsidR="009F60CE" w:rsidRPr="0055048E" w14:paraId="7F9BAC5E" w14:textId="77777777" w:rsidTr="009F60CE">
        <w:trPr>
          <w:trHeight w:hRule="exact" w:val="312"/>
          <w:jc w:val="center"/>
        </w:trPr>
        <w:tc>
          <w:tcPr>
            <w:tcW w:w="3964" w:type="dxa"/>
            <w:noWrap/>
            <w:hideMark/>
          </w:tcPr>
          <w:p w14:paraId="0BCEF892" w14:textId="7FDA2F04" w:rsidR="009F60CE" w:rsidRPr="0055048E" w:rsidRDefault="000B70F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della Beata Vergine</w:t>
            </w:r>
          </w:p>
        </w:tc>
        <w:tc>
          <w:tcPr>
            <w:tcW w:w="1276" w:type="dxa"/>
            <w:noWrap/>
            <w:hideMark/>
          </w:tcPr>
          <w:p w14:paraId="1E22A181"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1590</w:t>
            </w:r>
          </w:p>
        </w:tc>
        <w:tc>
          <w:tcPr>
            <w:tcW w:w="1134" w:type="dxa"/>
            <w:noWrap/>
            <w:hideMark/>
          </w:tcPr>
          <w:p w14:paraId="319A88A3"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1078A697"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Serralunga di Crea (AL)</w:t>
            </w:r>
          </w:p>
        </w:tc>
      </w:tr>
      <w:tr w:rsidR="009F60CE" w:rsidRPr="0055048E" w14:paraId="1BFA6EFA" w14:textId="77777777" w:rsidTr="009F60CE">
        <w:trPr>
          <w:trHeight w:hRule="exact" w:val="312"/>
          <w:jc w:val="center"/>
        </w:trPr>
        <w:tc>
          <w:tcPr>
            <w:tcW w:w="3964" w:type="dxa"/>
            <w:noWrap/>
            <w:hideMark/>
          </w:tcPr>
          <w:p w14:paraId="12309739"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S. S. Trinità</w:t>
            </w:r>
          </w:p>
        </w:tc>
        <w:tc>
          <w:tcPr>
            <w:tcW w:w="1276" w:type="dxa"/>
            <w:noWrap/>
            <w:hideMark/>
          </w:tcPr>
          <w:p w14:paraId="6D262FF5"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1591</w:t>
            </w:r>
          </w:p>
        </w:tc>
        <w:tc>
          <w:tcPr>
            <w:tcW w:w="1134" w:type="dxa"/>
            <w:noWrap/>
            <w:hideMark/>
          </w:tcPr>
          <w:p w14:paraId="6D0ACA6E"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5204C4B0"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Oropa (BI)</w:t>
            </w:r>
          </w:p>
        </w:tc>
      </w:tr>
      <w:tr w:rsidR="009F60CE" w:rsidRPr="0055048E" w14:paraId="45BE52A1" w14:textId="77777777" w:rsidTr="009F60CE">
        <w:trPr>
          <w:trHeight w:hRule="exact" w:val="312"/>
          <w:jc w:val="center"/>
        </w:trPr>
        <w:tc>
          <w:tcPr>
            <w:tcW w:w="3964" w:type="dxa"/>
            <w:noWrap/>
            <w:hideMark/>
          </w:tcPr>
          <w:p w14:paraId="71803AE5" w14:textId="75E8D256" w:rsidR="009F60CE" w:rsidRPr="0055048E" w:rsidRDefault="000B70F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di San Francesco</w:t>
            </w:r>
          </w:p>
        </w:tc>
        <w:tc>
          <w:tcPr>
            <w:tcW w:w="1276" w:type="dxa"/>
            <w:noWrap/>
            <w:hideMark/>
          </w:tcPr>
          <w:p w14:paraId="5F60475E"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1617</w:t>
            </w:r>
          </w:p>
        </w:tc>
        <w:tc>
          <w:tcPr>
            <w:tcW w:w="1134" w:type="dxa"/>
            <w:noWrap/>
            <w:hideMark/>
          </w:tcPr>
          <w:p w14:paraId="0B9EDBCF"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686354EF"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Orta San Giulio (NO)</w:t>
            </w:r>
          </w:p>
        </w:tc>
      </w:tr>
      <w:tr w:rsidR="009F60CE" w:rsidRPr="0055048E" w14:paraId="39FB737B" w14:textId="77777777" w:rsidTr="009F60CE">
        <w:trPr>
          <w:trHeight w:hRule="exact" w:val="312"/>
          <w:jc w:val="center"/>
        </w:trPr>
        <w:tc>
          <w:tcPr>
            <w:tcW w:w="3964" w:type="dxa"/>
            <w:noWrap/>
            <w:hideMark/>
          </w:tcPr>
          <w:p w14:paraId="3174C35B"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Calvario</w:t>
            </w:r>
          </w:p>
        </w:tc>
        <w:tc>
          <w:tcPr>
            <w:tcW w:w="1276" w:type="dxa"/>
            <w:noWrap/>
            <w:hideMark/>
          </w:tcPr>
          <w:p w14:paraId="67773DDE"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1657</w:t>
            </w:r>
          </w:p>
        </w:tc>
        <w:tc>
          <w:tcPr>
            <w:tcW w:w="1134" w:type="dxa"/>
            <w:noWrap/>
            <w:hideMark/>
          </w:tcPr>
          <w:p w14:paraId="648D563F"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1D329E9B"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Ghiffa (VCO)</w:t>
            </w:r>
          </w:p>
        </w:tc>
      </w:tr>
      <w:tr w:rsidR="009F60CE" w:rsidRPr="0055048E" w14:paraId="3926AF83" w14:textId="77777777" w:rsidTr="009F60CE">
        <w:trPr>
          <w:trHeight w:hRule="exact" w:val="312"/>
          <w:jc w:val="center"/>
        </w:trPr>
        <w:tc>
          <w:tcPr>
            <w:tcW w:w="3964" w:type="dxa"/>
            <w:noWrap/>
            <w:hideMark/>
          </w:tcPr>
          <w:p w14:paraId="7E8A00FC"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di Belmonte</w:t>
            </w:r>
          </w:p>
        </w:tc>
        <w:tc>
          <w:tcPr>
            <w:tcW w:w="1276" w:type="dxa"/>
            <w:noWrap/>
            <w:hideMark/>
          </w:tcPr>
          <w:p w14:paraId="0F54B272"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1712</w:t>
            </w:r>
          </w:p>
        </w:tc>
        <w:tc>
          <w:tcPr>
            <w:tcW w:w="1134" w:type="dxa"/>
            <w:noWrap/>
            <w:hideMark/>
          </w:tcPr>
          <w:p w14:paraId="3F4E6C4C"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3E9D71E2"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Valperga (TO)</w:t>
            </w:r>
          </w:p>
        </w:tc>
      </w:tr>
      <w:tr w:rsidR="009F60CE" w:rsidRPr="0055048E" w14:paraId="697084E0" w14:textId="77777777" w:rsidTr="009F60CE">
        <w:trPr>
          <w:trHeight w:hRule="exact" w:val="312"/>
          <w:jc w:val="center"/>
        </w:trPr>
        <w:tc>
          <w:tcPr>
            <w:tcW w:w="3964" w:type="dxa"/>
            <w:noWrap/>
            <w:hideMark/>
          </w:tcPr>
          <w:p w14:paraId="1C280836"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del Rosario</w:t>
            </w:r>
          </w:p>
        </w:tc>
        <w:tc>
          <w:tcPr>
            <w:tcW w:w="1276" w:type="dxa"/>
            <w:noWrap/>
            <w:hideMark/>
          </w:tcPr>
          <w:p w14:paraId="46CFCE5E"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1598</w:t>
            </w:r>
          </w:p>
        </w:tc>
        <w:tc>
          <w:tcPr>
            <w:tcW w:w="1134" w:type="dxa"/>
            <w:noWrap/>
            <w:hideMark/>
          </w:tcPr>
          <w:p w14:paraId="2D2CC251"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Lombardia</w:t>
            </w:r>
          </w:p>
        </w:tc>
        <w:tc>
          <w:tcPr>
            <w:tcW w:w="2268" w:type="dxa"/>
            <w:noWrap/>
            <w:hideMark/>
          </w:tcPr>
          <w:p w14:paraId="292772EC"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Varese</w:t>
            </w:r>
          </w:p>
        </w:tc>
      </w:tr>
      <w:tr w:rsidR="009F60CE" w:rsidRPr="0055048E" w14:paraId="053564EE" w14:textId="77777777" w:rsidTr="009F60CE">
        <w:trPr>
          <w:trHeight w:hRule="exact" w:val="312"/>
          <w:jc w:val="center"/>
        </w:trPr>
        <w:tc>
          <w:tcPr>
            <w:tcW w:w="3964" w:type="dxa"/>
            <w:noWrap/>
            <w:hideMark/>
          </w:tcPr>
          <w:p w14:paraId="1CA6679C"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della Beta Vergine del Soccorso</w:t>
            </w:r>
          </w:p>
        </w:tc>
        <w:tc>
          <w:tcPr>
            <w:tcW w:w="1276" w:type="dxa"/>
            <w:noWrap/>
            <w:hideMark/>
          </w:tcPr>
          <w:p w14:paraId="36E1842B"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1635</w:t>
            </w:r>
          </w:p>
        </w:tc>
        <w:tc>
          <w:tcPr>
            <w:tcW w:w="1134" w:type="dxa"/>
            <w:noWrap/>
            <w:hideMark/>
          </w:tcPr>
          <w:p w14:paraId="04983DD1"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Lombardia</w:t>
            </w:r>
          </w:p>
        </w:tc>
        <w:tc>
          <w:tcPr>
            <w:tcW w:w="2268" w:type="dxa"/>
            <w:noWrap/>
            <w:hideMark/>
          </w:tcPr>
          <w:p w14:paraId="5F882662"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Ossuccio (CO)</w:t>
            </w:r>
          </w:p>
        </w:tc>
      </w:tr>
    </w:tbl>
    <w:p w14:paraId="5031F89F" w14:textId="6C6DC471" w:rsidR="00BF42E1" w:rsidRDefault="00FC1CBC" w:rsidP="009F60CE">
      <w:pPr>
        <w:autoSpaceDE w:val="0"/>
        <w:autoSpaceDN w:val="0"/>
        <w:adjustRightInd w:val="0"/>
        <w:spacing w:before="120" w:after="12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Fonte: Elaborazione da Sacri Monti, 2025</w:t>
      </w:r>
    </w:p>
    <w:p w14:paraId="6D789A1F" w14:textId="77777777" w:rsidR="00ED327C" w:rsidRDefault="00ED327C" w:rsidP="009F60CE">
      <w:pPr>
        <w:autoSpaceDE w:val="0"/>
        <w:autoSpaceDN w:val="0"/>
        <w:adjustRightInd w:val="0"/>
        <w:spacing w:before="120" w:after="120" w:line="240" w:lineRule="auto"/>
        <w:jc w:val="center"/>
        <w:rPr>
          <w:rFonts w:ascii="Times New Roman" w:eastAsia="Times New Roman" w:hAnsi="Times New Roman" w:cs="Times New Roman"/>
          <w:color w:val="000000" w:themeColor="text1"/>
          <w:sz w:val="24"/>
          <w:szCs w:val="24"/>
        </w:rPr>
      </w:pPr>
    </w:p>
    <w:p w14:paraId="6B4282D5" w14:textId="77777777" w:rsidR="00ED327C" w:rsidRPr="00073DE6" w:rsidRDefault="00ED327C" w:rsidP="00ED327C">
      <w:pPr>
        <w:pStyle w:val="NormalWeb"/>
        <w:spacing w:before="0" w:beforeAutospacing="0" w:after="120" w:afterAutospacing="0"/>
        <w:ind w:firstLine="425"/>
        <w:jc w:val="both"/>
      </w:pPr>
      <w:r w:rsidRPr="00073DE6">
        <w:t>Questi luoghi sono i cosiddetti “Sacri Monti”, cioè gruppi di cappelle e altri complessi architettonici eretti in luoghi d’altura, tra la fine del XV e il XVII secolo, destinati al pellegrinaggio o ad altri aspetti della vita di fede cattolica.</w:t>
      </w:r>
      <w:r>
        <w:t xml:space="preserve"> </w:t>
      </w:r>
      <w:r w:rsidRPr="00073DE6">
        <w:t>Sono prevalentemente concentrati nel contesto dell’Italia settentrionale e, in particolare, risultano rilevanti quelli localizzati in Piemonte e Lombardia perché nel 2003, per il loro valore artistico, paesaggistico e culturale, sono stati iscritti dall’UNESCO nella Lista del Patrimonio Mondiale. Questo prestigioso riconoscimento internazionale conferisce un valore universale a sette Sacri Monti piemontesi (Belmonte, Crea, Domodossola</w:t>
      </w:r>
      <w:r w:rsidRPr="00073DE6">
        <w:rPr>
          <w:rStyle w:val="Refdenotaalpie"/>
        </w:rPr>
        <w:footnoteReference w:id="4"/>
      </w:r>
      <w:r w:rsidRPr="00073DE6">
        <w:t>, Ghiffa, Oropa, Orta e Varallo) e a due lombardi (Ossuccio e Varese) (si vedano la tabella 1 e la figura 1).</w:t>
      </w:r>
    </w:p>
    <w:p w14:paraId="59F2C306" w14:textId="3F2526C2" w:rsidR="00BF1D3E" w:rsidRPr="00FD3B89" w:rsidRDefault="00BF1D3E" w:rsidP="00BF1D3E">
      <w:pPr>
        <w:autoSpaceDE w:val="0"/>
        <w:autoSpaceDN w:val="0"/>
        <w:adjustRightInd w:val="0"/>
        <w:spacing w:after="120" w:line="240" w:lineRule="auto"/>
        <w:ind w:firstLine="284"/>
        <w:jc w:val="center"/>
        <w:rPr>
          <w:rFonts w:ascii="Times New Roman" w:eastAsia="Times New Roman" w:hAnsi="Times New Roman" w:cs="Times New Roman"/>
          <w:b/>
          <w:bCs/>
          <w:color w:val="000000" w:themeColor="text1"/>
          <w:sz w:val="24"/>
          <w:szCs w:val="24"/>
        </w:rPr>
      </w:pPr>
      <w:r w:rsidRPr="00FD3B89">
        <w:rPr>
          <w:rFonts w:ascii="Times New Roman" w:eastAsia="Times New Roman" w:hAnsi="Times New Roman" w:cs="Times New Roman"/>
          <w:b/>
          <w:bCs/>
          <w:color w:val="000000" w:themeColor="text1"/>
          <w:sz w:val="24"/>
          <w:szCs w:val="24"/>
        </w:rPr>
        <w:lastRenderedPageBreak/>
        <w:t xml:space="preserve">Figura 1 </w:t>
      </w:r>
      <w:r w:rsidRPr="00FD3B89">
        <w:rPr>
          <w:rFonts w:ascii="Times New Roman" w:hAnsi="Times New Roman" w:cs="Times New Roman"/>
          <w:b/>
          <w:bCs/>
          <w:sz w:val="24"/>
          <w:szCs w:val="24"/>
        </w:rPr>
        <w:t>–</w:t>
      </w:r>
      <w:r w:rsidRPr="00FD3B89">
        <w:rPr>
          <w:rFonts w:ascii="Times New Roman" w:eastAsia="Times New Roman" w:hAnsi="Times New Roman" w:cs="Times New Roman"/>
          <w:b/>
          <w:bCs/>
          <w:color w:val="000000" w:themeColor="text1"/>
          <w:sz w:val="24"/>
          <w:szCs w:val="24"/>
        </w:rPr>
        <w:t xml:space="preserve"> </w:t>
      </w:r>
      <w:r w:rsidR="00316987" w:rsidRPr="00FD3B89">
        <w:rPr>
          <w:rFonts w:ascii="Times New Roman" w:eastAsia="Times New Roman" w:hAnsi="Times New Roman" w:cs="Times New Roman"/>
          <w:b/>
          <w:bCs/>
          <w:color w:val="000000" w:themeColor="text1"/>
          <w:sz w:val="24"/>
          <w:szCs w:val="24"/>
        </w:rPr>
        <w:t xml:space="preserve">La localizzazione dei </w:t>
      </w:r>
      <w:r w:rsidRPr="00FD3B89">
        <w:rPr>
          <w:rFonts w:ascii="Times New Roman" w:eastAsia="Times New Roman" w:hAnsi="Times New Roman" w:cs="Times New Roman"/>
          <w:b/>
          <w:bCs/>
          <w:color w:val="000000" w:themeColor="text1"/>
          <w:sz w:val="24"/>
          <w:szCs w:val="24"/>
        </w:rPr>
        <w:t xml:space="preserve">nove Sacri Monti </w:t>
      </w:r>
      <w:r w:rsidR="003430C9" w:rsidRPr="00FD3B89">
        <w:rPr>
          <w:rFonts w:ascii="Times New Roman" w:eastAsia="Times New Roman" w:hAnsi="Times New Roman" w:cs="Times New Roman"/>
          <w:b/>
          <w:bCs/>
          <w:color w:val="000000" w:themeColor="text1"/>
          <w:sz w:val="24"/>
          <w:szCs w:val="24"/>
        </w:rPr>
        <w:t>di Piemonte e Lombardia.</w:t>
      </w:r>
    </w:p>
    <w:p w14:paraId="525D529F" w14:textId="79DFCF1B" w:rsidR="00BF42E1" w:rsidRPr="004839F2" w:rsidRDefault="00BF42E1" w:rsidP="00FD3B89">
      <w:pPr>
        <w:autoSpaceDE w:val="0"/>
        <w:autoSpaceDN w:val="0"/>
        <w:adjustRightInd w:val="0"/>
        <w:spacing w:after="120" w:line="240" w:lineRule="auto"/>
        <w:jc w:val="center"/>
        <w:rPr>
          <w:rFonts w:ascii="Times New Roman" w:eastAsia="Times New Roman" w:hAnsi="Times New Roman" w:cs="Times New Roman"/>
          <w:color w:val="000000" w:themeColor="text1"/>
          <w:sz w:val="24"/>
          <w:szCs w:val="24"/>
        </w:rPr>
      </w:pPr>
      <w:r w:rsidRPr="004839F2">
        <w:rPr>
          <w:rFonts w:ascii="Times New Roman" w:eastAsia="Times New Roman" w:hAnsi="Times New Roman" w:cs="Times New Roman"/>
          <w:noProof/>
          <w:color w:val="000000" w:themeColor="text1"/>
          <w:sz w:val="24"/>
          <w:szCs w:val="24"/>
        </w:rPr>
        <w:drawing>
          <wp:inline distT="0" distB="0" distL="0" distR="0" wp14:anchorId="3019D956" wp14:editId="56A8C99F">
            <wp:extent cx="5444490" cy="3435216"/>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9534" cy="3476256"/>
                    </a:xfrm>
                    <a:prstGeom prst="rect">
                      <a:avLst/>
                    </a:prstGeom>
                    <a:noFill/>
                  </pic:spPr>
                </pic:pic>
              </a:graphicData>
            </a:graphic>
          </wp:inline>
        </w:drawing>
      </w:r>
    </w:p>
    <w:p w14:paraId="61378AEE" w14:textId="55E52358" w:rsidR="00BF42E1" w:rsidRPr="004839F2" w:rsidRDefault="00BF1D3E" w:rsidP="004839F2">
      <w:pPr>
        <w:autoSpaceDE w:val="0"/>
        <w:autoSpaceDN w:val="0"/>
        <w:adjustRightInd w:val="0"/>
        <w:spacing w:after="120" w:line="240" w:lineRule="auto"/>
        <w:ind w:firstLine="284"/>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Fonte: </w:t>
      </w:r>
      <w:r w:rsidR="00BF42E1" w:rsidRPr="004839F2">
        <w:rPr>
          <w:rFonts w:ascii="Times New Roman" w:eastAsia="Times New Roman" w:hAnsi="Times New Roman" w:cs="Times New Roman"/>
          <w:color w:val="000000" w:themeColor="text1"/>
          <w:sz w:val="24"/>
          <w:szCs w:val="24"/>
        </w:rPr>
        <w:t xml:space="preserve">Afferni, </w:t>
      </w:r>
      <w:r w:rsidR="001E24B8">
        <w:rPr>
          <w:rFonts w:ascii="Times New Roman" w:eastAsia="Times New Roman" w:hAnsi="Times New Roman" w:cs="Times New Roman"/>
          <w:color w:val="000000" w:themeColor="text1"/>
          <w:sz w:val="24"/>
          <w:szCs w:val="24"/>
        </w:rPr>
        <w:t>Ferrario</w:t>
      </w:r>
      <w:r w:rsidR="00925FD0">
        <w:rPr>
          <w:rFonts w:ascii="Times New Roman" w:eastAsia="Times New Roman" w:hAnsi="Times New Roman" w:cs="Times New Roman"/>
          <w:color w:val="000000" w:themeColor="text1"/>
          <w:sz w:val="24"/>
          <w:szCs w:val="24"/>
        </w:rPr>
        <w:t>, 2016</w:t>
      </w:r>
      <w:r w:rsidR="00FC1CBC">
        <w:rPr>
          <w:rFonts w:ascii="Times New Roman" w:eastAsia="Times New Roman" w:hAnsi="Times New Roman" w:cs="Times New Roman"/>
          <w:color w:val="000000" w:themeColor="text1"/>
          <w:sz w:val="24"/>
          <w:szCs w:val="24"/>
        </w:rPr>
        <w:t>.</w:t>
      </w:r>
    </w:p>
    <w:p w14:paraId="52A7C976" w14:textId="77777777" w:rsidR="00BD114A" w:rsidRDefault="00BD114A" w:rsidP="00BF1D3E">
      <w:pPr>
        <w:pStyle w:val="NormalWeb"/>
        <w:spacing w:before="0" w:beforeAutospacing="0" w:after="120" w:afterAutospacing="0"/>
        <w:ind w:firstLine="284"/>
        <w:jc w:val="both"/>
      </w:pPr>
    </w:p>
    <w:p w14:paraId="05E8B973" w14:textId="26334166" w:rsidR="00671840" w:rsidRPr="00073DE6" w:rsidRDefault="003A074C" w:rsidP="008B016A">
      <w:pPr>
        <w:pStyle w:val="NormalWeb"/>
        <w:spacing w:before="0" w:beforeAutospacing="0" w:after="120" w:afterAutospacing="0"/>
        <w:ind w:firstLine="425"/>
        <w:jc w:val="both"/>
      </w:pPr>
      <w:r w:rsidRPr="00073DE6">
        <w:t xml:space="preserve">Questi nove </w:t>
      </w:r>
      <w:r w:rsidR="00671840" w:rsidRPr="00073DE6">
        <w:t xml:space="preserve">complessi monumentali </w:t>
      </w:r>
      <w:r w:rsidRPr="00073DE6">
        <w:t>rappresentano un fulgido esempio di integrazione tra architettura e arti figurative in un paesaggio di straordinaria bellezza, realizzat</w:t>
      </w:r>
      <w:r w:rsidR="00671840" w:rsidRPr="00073DE6">
        <w:t>i</w:t>
      </w:r>
      <w:r w:rsidRPr="00073DE6">
        <w:t xml:space="preserve"> per finalità spirituali in un periodo cruciale della storia della Chiesa cattolica. Essi costituiscono, inoltre, l’espressione più significativa dell’inserimento dell’architettura e dell’arte sacra </w:t>
      </w:r>
      <w:r w:rsidR="00671840" w:rsidRPr="00073DE6">
        <w:t xml:space="preserve">nel paesaggio </w:t>
      </w:r>
      <w:r w:rsidRPr="00073DE6">
        <w:t xml:space="preserve">del Nord Italia </w:t>
      </w:r>
      <w:r w:rsidR="00671840" w:rsidRPr="00073DE6">
        <w:rPr>
          <w:i/>
          <w:iCs/>
        </w:rPr>
        <w:t xml:space="preserve">(contraddistinto da colline, foreste e laghi) </w:t>
      </w:r>
      <w:r w:rsidRPr="00073DE6">
        <w:t>e hanno esercitato un’influenza profonda sugli sviluppi successivi in altre regioni europee</w:t>
      </w:r>
      <w:r w:rsidR="00671840" w:rsidRPr="00073DE6">
        <w:t xml:space="preserve"> (World Heritage Committee, 2003).</w:t>
      </w:r>
    </w:p>
    <w:p w14:paraId="2E67D6AD" w14:textId="574C7B15" w:rsidR="009F60CE" w:rsidRPr="00BD114A" w:rsidRDefault="009F60CE" w:rsidP="008B016A">
      <w:pPr>
        <w:pStyle w:val="NormalWeb"/>
        <w:spacing w:before="0" w:beforeAutospacing="0" w:after="120" w:afterAutospacing="0"/>
        <w:ind w:firstLine="425"/>
        <w:jc w:val="both"/>
      </w:pPr>
      <w:r w:rsidRPr="00073DE6">
        <w:t xml:space="preserve">I nove Sacri Monti </w:t>
      </w:r>
      <w:r w:rsidR="0000597B" w:rsidRPr="00073DE6">
        <w:t>suddetti</w:t>
      </w:r>
      <w:r w:rsidRPr="00073DE6">
        <w:t xml:space="preserve"> sono costituiti da complessi di cappelle e manufatti architettonici disposti lungo un percorso</w:t>
      </w:r>
      <w:r w:rsidRPr="00BD114A">
        <w:t xml:space="preserve"> devozionale, la cosiddetta “Via Sacra”, che si conclude generalmente con un santuario. Ogni sito è dedicato a un tema specifico della fede cristiana (Sacri Monti, 2015). I contenuti variano dalla vita di Gesù (Sacro Monte di Varallo), agli episodi della Passione (Sacri Monti di Belmonte e Domodossola), al culto della Vergine Maria (Sacri Monti di Crea e Oropa), alla vita di un santo (San Francesco al Sacro Monte di Orta), alla Santissima Trinità (Sacro Monte di Ghiffa) o al Rosario (Sacri Monti di Varese e Ossuccio).</w:t>
      </w:r>
    </w:p>
    <w:p w14:paraId="2AD9BF41" w14:textId="6F815E47" w:rsidR="00BF1D3E" w:rsidRPr="00BD114A" w:rsidRDefault="00BF1D3E" w:rsidP="008B016A">
      <w:pPr>
        <w:pStyle w:val="NormalWeb"/>
        <w:spacing w:before="0" w:beforeAutospacing="0" w:after="120" w:afterAutospacing="0"/>
        <w:ind w:firstLine="425"/>
        <w:jc w:val="both"/>
      </w:pPr>
      <w:r w:rsidRPr="00BD114A">
        <w:t xml:space="preserve">Questi complessi architettonici, attraverso statue, affreschi e dipinti, narrano i principali misteri della fede, fondendosi con il paesaggio naturale circostante e creando un insieme unico. Essi rappresentano un esempio significativo di dialogo tra intervento umano e ambiente naturale: la loro spiritualità trova un senso ancora più profondo nella cornice delle Alpi, che accentua il valore simbolico e devozionale del percorso. Ogni </w:t>
      </w:r>
      <w:r w:rsidR="006C2343" w:rsidRPr="00BD114A">
        <w:t xml:space="preserve">complesso </w:t>
      </w:r>
      <w:r w:rsidRPr="00BD114A">
        <w:t xml:space="preserve">segue infatti un tracciato prestabilito, scandito da tappe monumentali, che insieme al paesaggio contribuiscono </w:t>
      </w:r>
      <w:r w:rsidRPr="00BD114A">
        <w:lastRenderedPageBreak/>
        <w:t>a definire l’identità culturale di ciascun sito (Barbero, 2001). Pur condividendo tratti comuni, i nove Sacri Monti si distinguono per caratteristiche proprie, determinate dal contesto culturale dei committenti, dagli artisti coinvolti e dalle aspettative delle comunità locali (Zanzi, 1995).</w:t>
      </w:r>
    </w:p>
    <w:p w14:paraId="7E8ADE93" w14:textId="39593F99" w:rsidR="00BF1D3E" w:rsidRPr="00BD114A" w:rsidRDefault="00BF1D3E" w:rsidP="008B016A">
      <w:pPr>
        <w:pStyle w:val="NormalWeb"/>
        <w:spacing w:before="0" w:beforeAutospacing="0" w:after="120" w:afterAutospacing="0"/>
        <w:ind w:firstLine="425"/>
        <w:jc w:val="both"/>
      </w:pPr>
      <w:r w:rsidRPr="00BD114A">
        <w:t>Un esempio emblematico è il Sacro Monte di Varallo, fondato nel 1486 dal frate francescano Bernardino Caimi di Milano. Reduce dalla Terra Santa, dove era stato custode del Santo Sepolcro, Caimi volle ricreare in Valsesia i luoghi santi della Palestina (Sacri Monti, 2015). L’iniziativa prese avvio con la costruzione della chiesa di Santa Maria delle Grazie, accanto al convento francescano, e con alcune prime cappelle. Dopo la morte del fondatore, l’opera continuò a svilupparsi grazie al favore riscosso presso i pellegrini e al sostegno del duca di Milano. Nel tempo subì diverse rielaborazioni progettuali, tra cui quella di Galeazzo Alessi, che trasformò radicalmente l’impianto originario, introducendo un modello ispirato allo spazio urbano: una piazza ottagonale con al centro la fontana della salvezza, accessibile attraverso la Porta Aurea.</w:t>
      </w:r>
    </w:p>
    <w:p w14:paraId="2E14F6C7" w14:textId="1EDF00AF" w:rsidR="002C148A" w:rsidRPr="00FC1CBC" w:rsidRDefault="008B390E" w:rsidP="008B016A">
      <w:pPr>
        <w:pStyle w:val="NormalWeb"/>
        <w:spacing w:before="0" w:beforeAutospacing="0" w:after="120" w:afterAutospacing="0"/>
        <w:ind w:firstLine="425"/>
        <w:jc w:val="both"/>
      </w:pPr>
      <w:r w:rsidRPr="00FC1CBC">
        <w:t>Nell’ambito della presente ricerca, l’attenzione sarà rivolta esclusivamente ai Sacri Monti del Piemonte, in quanto caratterizzati da un modello di gestione unitaria.</w:t>
      </w:r>
      <w:r w:rsidR="002D3994" w:rsidRPr="00FC1CBC">
        <w:t xml:space="preserve"> Quelli lombardi, </w:t>
      </w:r>
      <w:r w:rsidRPr="00FC1CBC">
        <w:t>sebbene anch’essi inclusi nel</w:t>
      </w:r>
      <w:r w:rsidR="008B016A">
        <w:t>la</w:t>
      </w:r>
      <w:r w:rsidRPr="00FC1CBC">
        <w:t xml:space="preserve"> mede</w:t>
      </w:r>
      <w:r w:rsidR="00F670E6">
        <w:t xml:space="preserve">sima </w:t>
      </w:r>
      <w:r w:rsidRPr="00FC1CBC">
        <w:t>Lista del Patrimonio Mondiale dell’UNESCO, non saranno oggetto di analisi, poiché presentano strutture gestionali autonome e non riconducibili a un’unica entità di coordinamento.</w:t>
      </w:r>
    </w:p>
    <w:p w14:paraId="4082DBC8" w14:textId="77777777" w:rsidR="008B390E" w:rsidRPr="00FC1CBC" w:rsidRDefault="008B390E" w:rsidP="004839F2">
      <w:pPr>
        <w:pStyle w:val="NormalWeb"/>
        <w:spacing w:before="0" w:beforeAutospacing="0" w:after="120" w:afterAutospacing="0"/>
        <w:ind w:firstLine="284"/>
        <w:jc w:val="both"/>
      </w:pPr>
    </w:p>
    <w:p w14:paraId="754BF42D" w14:textId="77777777" w:rsidR="002C148A" w:rsidRPr="00BD114A" w:rsidRDefault="002C148A" w:rsidP="008B016A">
      <w:pPr>
        <w:pStyle w:val="Prrafodelista"/>
        <w:numPr>
          <w:ilvl w:val="0"/>
          <w:numId w:val="2"/>
        </w:numPr>
        <w:autoSpaceDE w:val="0"/>
        <w:autoSpaceDN w:val="0"/>
        <w:adjustRightInd w:val="0"/>
        <w:spacing w:after="120" w:line="240" w:lineRule="auto"/>
        <w:ind w:left="284" w:hanging="284"/>
        <w:contextualSpacing w:val="0"/>
        <w:jc w:val="both"/>
        <w:rPr>
          <w:rFonts w:ascii="Times New Roman" w:hAnsi="Times New Roman" w:cs="Times New Roman"/>
          <w:b/>
          <w:color w:val="auto"/>
          <w:sz w:val="24"/>
          <w:szCs w:val="24"/>
        </w:rPr>
      </w:pPr>
      <w:r w:rsidRPr="00BD114A">
        <w:rPr>
          <w:rFonts w:ascii="Times New Roman" w:hAnsi="Times New Roman" w:cs="Times New Roman"/>
          <w:b/>
          <w:color w:val="auto"/>
          <w:sz w:val="24"/>
          <w:szCs w:val="24"/>
        </w:rPr>
        <w:t>I</w:t>
      </w:r>
      <w:r w:rsidR="00933822" w:rsidRPr="00BD114A">
        <w:rPr>
          <w:rFonts w:ascii="Times New Roman" w:hAnsi="Times New Roman" w:cs="Times New Roman"/>
          <w:b/>
          <w:color w:val="auto"/>
          <w:sz w:val="24"/>
          <w:szCs w:val="24"/>
        </w:rPr>
        <w:t>l patrimonio culturale nei Sacri Monti del Piemonte</w:t>
      </w:r>
    </w:p>
    <w:p w14:paraId="7DE351EA" w14:textId="36655539" w:rsidR="003362C7" w:rsidRPr="00BD114A" w:rsidRDefault="00933822" w:rsidP="008B016A">
      <w:pPr>
        <w:pStyle w:val="NormalWeb"/>
        <w:spacing w:before="0" w:beforeAutospacing="0" w:after="120" w:afterAutospacing="0"/>
        <w:ind w:firstLine="425"/>
        <w:jc w:val="both"/>
      </w:pPr>
      <w:r w:rsidRPr="00BD114A">
        <w:t xml:space="preserve">La cultura rappresenta una componente essenziale che non solo accresce l’attrattiva di una destinazione, ma contribuisce anche a definirne l’autenticità (Timothy, 2011). In particolare, il patrimonio culturale è considerato uno dei principali motori dello sviluppo turistico in molte regioni, poiché consente alle destinazioni di differenziarsi le une dalle altre in un contesto ormai globale e fortemente competitivo. Sebbene la letteratura sul turismo sia cresciuta rapidamente nei dibattiti accademici di molte discipline (solo per citarne alcune la geografia, l'economia, la sociologia) già dalla fine degli anni </w:t>
      </w:r>
      <w:r w:rsidR="006F7DB5">
        <w:t>Ottanta</w:t>
      </w:r>
      <w:r w:rsidRPr="00BD114A">
        <w:t>, molti autori (tra cui Corna-Pellegrini 2013, Cohen, Cohen, 2012; Timothy, 2006) includono l'argomento nei temi che meritano attenzione da parte dei ricercatori, in particolare in contesti quali i territori marginali</w:t>
      </w:r>
      <w:r w:rsidRPr="00BD114A">
        <w:rPr>
          <w:rStyle w:val="Refdenotaalpie"/>
        </w:rPr>
        <w:footnoteReference w:id="5"/>
      </w:r>
      <w:r w:rsidRPr="00BD114A">
        <w:t>, dove il suo sviluppo rappresenta sia una sfida sia un driver di crescita economica.</w:t>
      </w:r>
    </w:p>
    <w:p w14:paraId="14CA69AF" w14:textId="3C77552A" w:rsidR="00D16DA4" w:rsidRPr="00BD114A" w:rsidRDefault="00933822" w:rsidP="008B016A">
      <w:pPr>
        <w:pStyle w:val="NormalWeb"/>
        <w:spacing w:before="0" w:beforeAutospacing="0" w:after="120" w:afterAutospacing="0"/>
        <w:ind w:firstLine="425"/>
        <w:jc w:val="both"/>
      </w:pPr>
      <w:r w:rsidRPr="00BD114A">
        <w:t xml:space="preserve">In questa prospettiva, i luoghi di culto possono essere interpretati come motori di sviluppo locale, in quanto rappresentano testimonianze vive della memoria collettiva e custodi di quei valori simbolici, storici, culturali e spirituali che hanno contribuito a modellare l’identità dei territori. Essi costituiscono, inoltre, strumenti di lettura e interpretazione del paesaggio naturale e culturale (Afferni </w:t>
      </w:r>
      <w:r w:rsidRPr="00FB0DBC">
        <w:rPr>
          <w:i/>
          <w:iCs/>
        </w:rPr>
        <w:t>et al</w:t>
      </w:r>
      <w:r w:rsidR="006F7DB5" w:rsidRPr="00FB0DBC">
        <w:rPr>
          <w:i/>
          <w:iCs/>
        </w:rPr>
        <w:t>.</w:t>
      </w:r>
      <w:r w:rsidRPr="00BD114A">
        <w:t>, 2025), poiché consentono di comprendere l’evoluzione dei “luoghi” nel tempo. Queste risorse territoriali, pur possedendo una dimensione materiale tangibile, sono arricchite da un forte contenuto simbolico e da significati immateriali che ne accrescono la profondità culturale. Gli itinerari tematici e religiosi, più in generale, offrono un modo lineare e coerente di fruire del patrimonio e del paesaggio locale, contribuendo così alla valorizzazione complessiva del territorio.</w:t>
      </w:r>
      <w:r w:rsidR="00D16DA4" w:rsidRPr="00BD114A">
        <w:t xml:space="preserve"> </w:t>
      </w:r>
    </w:p>
    <w:p w14:paraId="344512CD" w14:textId="6CF48C0D" w:rsidR="00933822" w:rsidRDefault="00D16DA4" w:rsidP="008B016A">
      <w:pPr>
        <w:pStyle w:val="NormalWeb"/>
        <w:spacing w:before="0" w:beforeAutospacing="0" w:after="120" w:afterAutospacing="0"/>
        <w:ind w:firstLine="425"/>
        <w:jc w:val="both"/>
      </w:pPr>
      <w:r>
        <w:t xml:space="preserve">Religione, cultura e natura rappresentano le principali motivazioni per recarsi in questi luoghi. Per quanto riguarda la natura, una delle caratteristiche distintive di questi siti sacri nelle </w:t>
      </w:r>
      <w:r>
        <w:lastRenderedPageBreak/>
        <w:t>Prealpi è il loro inserimento nel paesaggio, un fattore che ha garantito una persistenza visiva e una memoria interna sia in passato sia ai giorni nostri (Argentiero e Armiraglio, 2008).</w:t>
      </w:r>
    </w:p>
    <w:p w14:paraId="7CADB658" w14:textId="50E25BB4" w:rsidR="00534AC1" w:rsidRDefault="00534AC1" w:rsidP="008B016A">
      <w:pPr>
        <w:pStyle w:val="NormalWeb"/>
        <w:spacing w:before="0" w:beforeAutospacing="0" w:after="120" w:afterAutospacing="0"/>
        <w:ind w:firstLine="425"/>
        <w:jc w:val="both"/>
      </w:pPr>
      <w:r w:rsidRPr="00534AC1">
        <w:t>Dopo aver influenzato lo sviluppo dell’architettura e delle arti sacre in siti analoghi in tutta Europa, i Sacri Monti hanno attraversato un periodo di declino tra la Seconda Guerra Mondiale e gli anni Ottanta del Novecento. Negli ultimi decenni, tuttavia, essi sono stati oggetto di programmi sistematici di tutela e valorizzazione, consolidando il loro ruolo non solo come luoghi di pellegrinaggio, ma anche come centri di dialogo interreligioso, ricerca e convegni, oltre che come mete di crescente interesse turistico religioso e culturale</w:t>
      </w:r>
      <w:r>
        <w:t xml:space="preserve"> (UNESCO, 2025).</w:t>
      </w:r>
    </w:p>
    <w:p w14:paraId="58EF0D1A" w14:textId="0499B5F2" w:rsidR="00D16DA4" w:rsidRDefault="000451CE" w:rsidP="008B016A">
      <w:pPr>
        <w:pStyle w:val="NormalWeb"/>
        <w:spacing w:before="0" w:beforeAutospacing="0" w:after="120" w:afterAutospacing="0"/>
        <w:ind w:firstLine="425"/>
        <w:jc w:val="both"/>
      </w:pPr>
      <w:r>
        <w:t xml:space="preserve">L’inclusione nella Lista UNESCO sottolinea il valore emblematico di questi </w:t>
      </w:r>
      <w:r w:rsidR="00021200">
        <w:t>Sacri Monti</w:t>
      </w:r>
      <w:r>
        <w:t>, il quale si manifesta, in parte, attraverso l’interazione dei visitatori con l’ambiente circostante (Di Giovine, 2009). Questo riconoscimento testimonia la capacità dei Sacri Monti di comunicare in maniera autorevole ed emozionale al presente riguardo al passato, offrendo al contempo orientamenti per il futuro. Un esempio evidente è dato dall’itinerario prestabilito che i visitatori percorrono lungo i sentieri dei complessi: un percorso simbolico e devozionale che conduce agli elementi monumentali realizzati in epoca passata e che, insieme al paesaggio circostante, costituiscono un’entità culturale inscindibile per ciascun sito (Barbero, 2001).</w:t>
      </w:r>
    </w:p>
    <w:p w14:paraId="367D5778" w14:textId="77777777" w:rsidR="00534AC1" w:rsidRDefault="00534AC1" w:rsidP="000451CE">
      <w:pPr>
        <w:pStyle w:val="NormalWeb"/>
        <w:spacing w:before="0" w:beforeAutospacing="0" w:after="120" w:afterAutospacing="0"/>
        <w:ind w:firstLine="284"/>
        <w:jc w:val="both"/>
      </w:pPr>
    </w:p>
    <w:p w14:paraId="65D674FC" w14:textId="77777777" w:rsidR="00933822" w:rsidRPr="00933822" w:rsidRDefault="00933822" w:rsidP="008B016A">
      <w:pPr>
        <w:pStyle w:val="Prrafodelista"/>
        <w:numPr>
          <w:ilvl w:val="0"/>
          <w:numId w:val="2"/>
        </w:numPr>
        <w:autoSpaceDE w:val="0"/>
        <w:autoSpaceDN w:val="0"/>
        <w:adjustRightInd w:val="0"/>
        <w:spacing w:after="120" w:line="240" w:lineRule="auto"/>
        <w:ind w:left="284" w:hanging="284"/>
        <w:contextualSpacing w:val="0"/>
        <w:jc w:val="both"/>
        <w:rPr>
          <w:rFonts w:ascii="Times New Roman" w:hAnsi="Times New Roman" w:cs="Times New Roman"/>
          <w:b/>
          <w:sz w:val="24"/>
          <w:szCs w:val="24"/>
        </w:rPr>
      </w:pPr>
      <w:r w:rsidRPr="001017AA">
        <w:rPr>
          <w:rFonts w:ascii="Times New Roman" w:hAnsi="Times New Roman" w:cs="Times New Roman"/>
          <w:b/>
          <w:sz w:val="24"/>
          <w:szCs w:val="24"/>
        </w:rPr>
        <w:t>I</w:t>
      </w:r>
      <w:r>
        <w:rPr>
          <w:rFonts w:ascii="Times New Roman" w:hAnsi="Times New Roman" w:cs="Times New Roman"/>
          <w:b/>
          <w:sz w:val="24"/>
          <w:szCs w:val="24"/>
        </w:rPr>
        <w:t>l turi</w:t>
      </w:r>
      <w:r w:rsidR="001B4103">
        <w:rPr>
          <w:rFonts w:ascii="Times New Roman" w:hAnsi="Times New Roman" w:cs="Times New Roman"/>
          <w:b/>
          <w:sz w:val="24"/>
          <w:szCs w:val="24"/>
        </w:rPr>
        <w:t>sta</w:t>
      </w:r>
      <w:r>
        <w:rPr>
          <w:rFonts w:ascii="Times New Roman" w:hAnsi="Times New Roman" w:cs="Times New Roman"/>
          <w:b/>
          <w:sz w:val="24"/>
          <w:szCs w:val="24"/>
        </w:rPr>
        <w:t xml:space="preserve"> </w:t>
      </w:r>
      <w:r w:rsidR="001B4103">
        <w:rPr>
          <w:rFonts w:ascii="Times New Roman" w:hAnsi="Times New Roman" w:cs="Times New Roman"/>
          <w:b/>
          <w:sz w:val="24"/>
          <w:szCs w:val="24"/>
        </w:rPr>
        <w:t>d</w:t>
      </w:r>
      <w:r>
        <w:rPr>
          <w:rFonts w:ascii="Times New Roman" w:hAnsi="Times New Roman" w:cs="Times New Roman"/>
          <w:b/>
          <w:sz w:val="24"/>
          <w:szCs w:val="24"/>
        </w:rPr>
        <w:t>ei Sacri Monti del Piemonte</w:t>
      </w:r>
    </w:p>
    <w:p w14:paraId="6F52DFE1" w14:textId="3BA2E544" w:rsidR="00933822" w:rsidRPr="004839F2" w:rsidRDefault="00933822" w:rsidP="008B016A">
      <w:pPr>
        <w:pStyle w:val="NormalWeb"/>
        <w:spacing w:before="0" w:beforeAutospacing="0" w:after="120" w:afterAutospacing="0"/>
        <w:ind w:firstLine="425"/>
        <w:jc w:val="both"/>
      </w:pPr>
      <w:r w:rsidRPr="00BD114A">
        <w:t xml:space="preserve">L’attrattività dei Sacri Monti è legata sia agli elementi religiosi e devozionali sia alle risorse </w:t>
      </w:r>
      <w:r w:rsidR="006C2343" w:rsidRPr="00BD114A">
        <w:t xml:space="preserve">materiali di carattere </w:t>
      </w:r>
      <w:r w:rsidRPr="00BD114A">
        <w:t>storico-artistic</w:t>
      </w:r>
      <w:r w:rsidR="006C2343" w:rsidRPr="00BD114A">
        <w:t>o</w:t>
      </w:r>
      <w:r w:rsidRPr="00BD114A">
        <w:t>, cultural</w:t>
      </w:r>
      <w:r w:rsidR="006C2343" w:rsidRPr="00BD114A">
        <w:t>e</w:t>
      </w:r>
      <w:r w:rsidRPr="00BD114A">
        <w:t xml:space="preserve"> e naturalistic</w:t>
      </w:r>
      <w:r w:rsidR="006C2343" w:rsidRPr="00BD114A">
        <w:t>o</w:t>
      </w:r>
      <w:r w:rsidRPr="00BD114A">
        <w:t xml:space="preserve">. Accanto all’esperienza spirituale, infatti, anche </w:t>
      </w:r>
      <w:r w:rsidR="006C2343" w:rsidRPr="00BD114A">
        <w:t>la fruizione d</w:t>
      </w:r>
      <w:r w:rsidRPr="00BD114A">
        <w:t xml:space="preserve">i sentieri escursionistici, </w:t>
      </w:r>
      <w:r w:rsidR="006C2343" w:rsidRPr="00BD114A">
        <w:t xml:space="preserve">la possibilità di fare </w:t>
      </w:r>
      <w:r w:rsidRPr="00BD114A">
        <w:t xml:space="preserve">le passeggiate nella natura e le opportunità di relax costituiscono </w:t>
      </w:r>
      <w:r w:rsidR="006C2343" w:rsidRPr="00BD114A">
        <w:t xml:space="preserve">delle </w:t>
      </w:r>
      <w:r w:rsidRPr="00BD114A">
        <w:t>motivazioni rilevanti e comparabili a quelle strettamente religiose</w:t>
      </w:r>
      <w:r w:rsidRPr="004839F2">
        <w:t>.</w:t>
      </w:r>
      <w:r>
        <w:t xml:space="preserve"> </w:t>
      </w:r>
    </w:p>
    <w:p w14:paraId="5963B000" w14:textId="32561A70" w:rsidR="001342D6" w:rsidRPr="00BD114A" w:rsidRDefault="001342D6" w:rsidP="008B016A">
      <w:pPr>
        <w:pStyle w:val="NormalWeb"/>
        <w:spacing w:before="0" w:beforeAutospacing="0" w:after="120" w:afterAutospacing="0"/>
        <w:ind w:firstLine="425"/>
        <w:jc w:val="both"/>
      </w:pPr>
      <w:r w:rsidRPr="00BD114A">
        <w:t xml:space="preserve">In letteratura esiste un ricco filone di ricerca che indaga </w:t>
      </w:r>
      <w:r w:rsidR="006C2343" w:rsidRPr="00BD114A">
        <w:t xml:space="preserve">il </w:t>
      </w:r>
      <w:r w:rsidRPr="00BD114A">
        <w:t>rapporto fra religione e turismo, analizzandolo come un fenomeno sociale (Cohen, 1992a, 1992b)</w:t>
      </w:r>
      <w:r w:rsidR="006C2343" w:rsidRPr="00BD114A">
        <w:t>;</w:t>
      </w:r>
      <w:r w:rsidRPr="00BD114A">
        <w:t xml:space="preserve"> molti di questi studi esaminano i legami e le differenze fra i pellegrini ed i turisti (Cohen, 1992b, 1998). I viaggi verso i siti sacri sono una delle più antiche forme di esperienza di viaggio, e la relazione tra l</w:t>
      </w:r>
      <w:r w:rsidR="00B422E3">
        <w:t>’</w:t>
      </w:r>
      <w:r w:rsidRPr="00BD114A">
        <w:t>esperienza dell</w:t>
      </w:r>
      <w:r w:rsidR="00B422E3">
        <w:t>’</w:t>
      </w:r>
      <w:r w:rsidRPr="00BD114A">
        <w:t>antico pellegrino e quella del turista moderno ha ispirato alcune delle più innovative opere nello studio del turismo (ad esempio, Turner - Turner, 1978; Graburn 1989, 2001; Dann - Cohen, 1991; Cohen, 1992, 1998; Nolan - Nolan, 1992; Coleman - Elsner, 1995; Bauman, 1996; Timothy - Olsen; 2006).</w:t>
      </w:r>
    </w:p>
    <w:p w14:paraId="6063D42D" w14:textId="422641E4" w:rsidR="001E24B8" w:rsidRPr="00BD114A" w:rsidRDefault="001342D6" w:rsidP="008B016A">
      <w:pPr>
        <w:pStyle w:val="NormalWeb"/>
        <w:spacing w:before="0" w:beforeAutospacing="0" w:after="120" w:afterAutospacing="0"/>
        <w:ind w:firstLine="425"/>
        <w:jc w:val="both"/>
      </w:pPr>
      <w:r w:rsidRPr="00BD114A">
        <w:t xml:space="preserve">Il turismo religioso e il pellegrinaggio sono due concetti distinti, </w:t>
      </w:r>
      <w:r w:rsidR="006C2343" w:rsidRPr="00BD114A">
        <w:t xml:space="preserve">che sono spesso associati all’interno di </w:t>
      </w:r>
      <w:r w:rsidR="005B08A2" w:rsidRPr="00BD114A">
        <w:t xml:space="preserve">luoghi </w:t>
      </w:r>
      <w:r w:rsidR="006C2343" w:rsidRPr="00BD114A">
        <w:t xml:space="preserve">come i Sacri Monti, </w:t>
      </w:r>
      <w:r w:rsidR="005B08A2" w:rsidRPr="00BD114A">
        <w:t xml:space="preserve">in cui si confrontano e si intrecciano </w:t>
      </w:r>
      <w:r w:rsidR="006C2343" w:rsidRPr="00BD114A">
        <w:t xml:space="preserve">anche </w:t>
      </w:r>
      <w:r w:rsidR="005B08A2" w:rsidRPr="00BD114A">
        <w:t>interessi e motivazioni differenti. La presenza di numerosi pellegrini è testimoniata, ad esempio, dalla grande quantità di ex-voto conservati nei santuari e dalla persistenza di tradizioni devozionali, come la processione che da Malnate, un paese poco distante da Varese, conduce al Sacro Monte. Accanto a questi</w:t>
      </w:r>
      <w:r w:rsidR="006C2343" w:rsidRPr="00BD114A">
        <w:t xml:space="preserve"> visitatori</w:t>
      </w:r>
      <w:r w:rsidR="005B08A2" w:rsidRPr="00BD114A">
        <w:t xml:space="preserve">, non mancano </w:t>
      </w:r>
      <w:r w:rsidR="006C2343" w:rsidRPr="00BD114A">
        <w:t xml:space="preserve">coloro che sono </w:t>
      </w:r>
      <w:r w:rsidR="005B08A2" w:rsidRPr="00BD114A">
        <w:t xml:space="preserve">mossi da finalità non strettamente religiose, attratti soprattutto dal patrimonio artistico, dalla bellezza architettonica delle cappelle e dal contesto paesaggistico in cui i complessi si inseriscono. </w:t>
      </w:r>
      <w:r w:rsidRPr="00BD114A">
        <w:t>È importante sottolineare che l’incidenza dell’escursionismo è particolarmente elevata, poiché gran parte dei visitatori proviene da aree di prossimità, soprattutto dal Piemonte e dalla Lombardia. Dal punto di vista dei flussi turistici complessivi, tuttavia, i Sacri Monti restano realtà ancora lontane dalle grandi destinazioni consolidate.</w:t>
      </w:r>
    </w:p>
    <w:p w14:paraId="70CFBCED" w14:textId="77777777" w:rsidR="00D16DA4" w:rsidRPr="00BD114A" w:rsidRDefault="00D16DA4"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Il termine «pellegrinaggio» connota un viaggio religioso e la sua derivazione latina </w:t>
      </w:r>
      <w:r w:rsidRPr="00BD114A">
        <w:rPr>
          <w:rFonts w:ascii="Times New Roman" w:eastAsia="Times New Roman" w:hAnsi="Times New Roman" w:cs="Times New Roman"/>
          <w:i/>
          <w:iCs/>
          <w:color w:val="auto"/>
          <w:sz w:val="24"/>
          <w:szCs w:val="24"/>
        </w:rPr>
        <w:t>ire per agros</w:t>
      </w:r>
      <w:r w:rsidRPr="00BD114A">
        <w:rPr>
          <w:rFonts w:ascii="Times New Roman" w:eastAsia="Times New Roman" w:hAnsi="Times New Roman" w:cs="Times New Roman"/>
          <w:color w:val="auto"/>
          <w:sz w:val="24"/>
          <w:szCs w:val="24"/>
        </w:rPr>
        <w:t xml:space="preserve"> consente molte interpretazioni, tra cui straniero, vagabondo, esule, viaggiatore, ma anche </w:t>
      </w:r>
      <w:r w:rsidRPr="00BD114A">
        <w:rPr>
          <w:rFonts w:ascii="Times New Roman" w:eastAsia="Times New Roman" w:hAnsi="Times New Roman" w:cs="Times New Roman"/>
          <w:color w:val="auto"/>
          <w:sz w:val="24"/>
          <w:szCs w:val="24"/>
        </w:rPr>
        <w:lastRenderedPageBreak/>
        <w:t>nuovo arrivato o forestiero. Il termine «turista» indica un individuo che compie un viaggio circolare, generalmente per piacere, e ritorna al punto di partenza (Collins-Kreiner e Kliot, 2000). Gli studi si sono concentrati sulle somiglianze e differenze tra il turista e il pellegrino (Cohen, 1992, 1998; Collins-Kreiner e Kliot, 2000; Digance, 2003, 2006; MacCannell, 1973; Olsen, 2013; Smith, 1992; Timothy e Olsen, 2006; Turner e Turner, 1978; Urry, 2001; Vukoni’c, 1996, 2002). In particolare, Cohen (1992) suggerisce che esiste una differenza tra pellegrinaggio e turismo riguardo alla direzione del viaggio intrapreso. Il «pellegrino» si dirige verso il proprio centro socio-culturale, mentre il «turista» si muove in direzione opposta (Collins-Kreiner, 2010).</w:t>
      </w:r>
    </w:p>
    <w:p w14:paraId="6C8FD697" w14:textId="77777777" w:rsidR="00933822" w:rsidRDefault="00933822" w:rsidP="008B016A">
      <w:pPr>
        <w:pStyle w:val="NormalWeb"/>
        <w:spacing w:before="0" w:beforeAutospacing="0" w:after="120" w:afterAutospacing="0"/>
        <w:ind w:firstLine="425"/>
        <w:jc w:val="both"/>
      </w:pPr>
      <w:r w:rsidRPr="00933822">
        <w:t>La figura del visitatore può essere articolata in diverse tipologie, in linea con la classificazione proposta da Smith (1992), che colloca il pellegrino e il turista culturale agli estremi di un continuum. In una versione semplificata, è possibile individuare tre principali tipologie di visitatori, distinte in base alle loro motivazioni e al grado di coinvolgimento spirituale o affettivo nei confronti del luogo visitato.</w:t>
      </w:r>
    </w:p>
    <w:p w14:paraId="652860DB" w14:textId="77777777" w:rsidR="00D16DA4" w:rsidRDefault="00933822" w:rsidP="008B016A">
      <w:pPr>
        <w:spacing w:after="120" w:line="240" w:lineRule="auto"/>
        <w:ind w:firstLine="425"/>
        <w:jc w:val="both"/>
        <w:rPr>
          <w:rFonts w:ascii="Times New Roman" w:eastAsia="Times New Roman" w:hAnsi="Times New Roman" w:cs="Times New Roman"/>
          <w:color w:val="auto"/>
          <w:sz w:val="24"/>
          <w:szCs w:val="24"/>
        </w:rPr>
      </w:pPr>
      <w:r w:rsidRPr="007B1FBA">
        <w:rPr>
          <w:rFonts w:ascii="Times New Roman" w:eastAsia="Times New Roman" w:hAnsi="Times New Roman" w:cs="Times New Roman"/>
          <w:color w:val="auto"/>
          <w:sz w:val="24"/>
          <w:szCs w:val="24"/>
        </w:rPr>
        <w:t>La prima tipologia è quella del pellegrino, per il quale il viaggio ha scopo esclusivamente spirituale o religioso. L’esperienza permette al pellegrino di trar</w:t>
      </w:r>
      <w:r w:rsidR="001B4103">
        <w:t>n</w:t>
      </w:r>
      <w:r w:rsidRPr="007B1FBA">
        <w:rPr>
          <w:rFonts w:ascii="Times New Roman" w:eastAsia="Times New Roman" w:hAnsi="Times New Roman" w:cs="Times New Roman"/>
          <w:color w:val="auto"/>
          <w:sz w:val="24"/>
          <w:szCs w:val="24"/>
        </w:rPr>
        <w:t xml:space="preserve">e benefici spirituali, sia che cerchi indulgenze sia che voglia approfondire le fonti della propria fede. In passato, il pellegrino era riconoscibile dal suo abbigliamento e dal fatto che viaggiasse insieme ai mercanti (Gazzini, 2002; Vercauteren, 1964). Oggi, il modo di organizzare un pellegrinaggio è cambiato radicalmente. I pellegrini moderni sono specializzati; richiedono servizi di qualità (assistenza, alloggio, mezzi di trasporto, ecc.) e la soddisfazione delle loro necessità crea un legame inscindibile tra elementi religiosi (la motivazione) e elementi </w:t>
      </w:r>
      <w:r w:rsidRPr="00BD114A">
        <w:rPr>
          <w:rFonts w:ascii="Times New Roman" w:eastAsia="Times New Roman" w:hAnsi="Times New Roman" w:cs="Times New Roman"/>
          <w:color w:val="auto"/>
          <w:sz w:val="24"/>
          <w:szCs w:val="24"/>
        </w:rPr>
        <w:t>«profani»</w:t>
      </w:r>
      <w:r w:rsidRPr="007B1FBA">
        <w:rPr>
          <w:rFonts w:ascii="Times New Roman" w:eastAsia="Times New Roman" w:hAnsi="Times New Roman" w:cs="Times New Roman"/>
          <w:color w:val="auto"/>
          <w:sz w:val="24"/>
          <w:szCs w:val="24"/>
        </w:rPr>
        <w:t xml:space="preserve"> (trasporto rapido e confortevole, sistemazioni organizzate, ecc.) (Ferrario, 2010).</w:t>
      </w:r>
      <w:r w:rsidR="00D16DA4" w:rsidRPr="00D16DA4">
        <w:rPr>
          <w:rFonts w:ascii="Times New Roman" w:eastAsia="Times New Roman" w:hAnsi="Times New Roman" w:cs="Times New Roman"/>
          <w:color w:val="auto"/>
          <w:sz w:val="24"/>
          <w:szCs w:val="24"/>
        </w:rPr>
        <w:t xml:space="preserve"> </w:t>
      </w:r>
      <w:r w:rsidR="00D16DA4">
        <w:rPr>
          <w:rFonts w:ascii="Times New Roman" w:eastAsia="Times New Roman" w:hAnsi="Times New Roman" w:cs="Times New Roman"/>
          <w:color w:val="auto"/>
          <w:sz w:val="24"/>
          <w:szCs w:val="24"/>
        </w:rPr>
        <w:t>I</w:t>
      </w:r>
      <w:r w:rsidR="00D16DA4" w:rsidRPr="007B1FBA">
        <w:rPr>
          <w:rFonts w:ascii="Times New Roman" w:eastAsia="Times New Roman" w:hAnsi="Times New Roman" w:cs="Times New Roman"/>
          <w:color w:val="auto"/>
          <w:sz w:val="24"/>
          <w:szCs w:val="24"/>
        </w:rPr>
        <w:t xml:space="preserve">l pellegrinaggio </w:t>
      </w:r>
      <w:r w:rsidR="00D16DA4">
        <w:rPr>
          <w:rFonts w:ascii="Times New Roman" w:eastAsia="Times New Roman" w:hAnsi="Times New Roman" w:cs="Times New Roman"/>
          <w:color w:val="auto"/>
          <w:sz w:val="24"/>
          <w:szCs w:val="24"/>
        </w:rPr>
        <w:t>è</w:t>
      </w:r>
      <w:r w:rsidR="00D16DA4" w:rsidRPr="007B1FBA">
        <w:rPr>
          <w:rFonts w:ascii="Times New Roman" w:eastAsia="Times New Roman" w:hAnsi="Times New Roman" w:cs="Times New Roman"/>
          <w:color w:val="auto"/>
          <w:sz w:val="24"/>
          <w:szCs w:val="24"/>
        </w:rPr>
        <w:t xml:space="preserve"> un viaggio rituale dalla vita quotidiana verso un luogo sacro, un atto di devozione religios</w:t>
      </w:r>
      <w:r w:rsidR="00D16DA4">
        <w:rPr>
          <w:rFonts w:ascii="Times New Roman" w:eastAsia="Times New Roman" w:hAnsi="Times New Roman" w:cs="Times New Roman"/>
          <w:color w:val="auto"/>
          <w:sz w:val="24"/>
          <w:szCs w:val="24"/>
        </w:rPr>
        <w:t>a o di</w:t>
      </w:r>
      <w:r w:rsidR="00D16DA4" w:rsidRPr="007B1FBA">
        <w:rPr>
          <w:rFonts w:ascii="Times New Roman" w:eastAsia="Times New Roman" w:hAnsi="Times New Roman" w:cs="Times New Roman"/>
          <w:color w:val="auto"/>
          <w:sz w:val="24"/>
          <w:szCs w:val="24"/>
        </w:rPr>
        <w:t xml:space="preserve"> ricerca di un’esperienza s</w:t>
      </w:r>
      <w:r w:rsidR="00D16DA4">
        <w:rPr>
          <w:rFonts w:ascii="Times New Roman" w:eastAsia="Times New Roman" w:hAnsi="Times New Roman" w:cs="Times New Roman"/>
          <w:color w:val="auto"/>
          <w:sz w:val="24"/>
          <w:szCs w:val="24"/>
        </w:rPr>
        <w:t>pirituale</w:t>
      </w:r>
      <w:r w:rsidR="00D16DA4" w:rsidRPr="007B1FBA">
        <w:rPr>
          <w:rFonts w:ascii="Times New Roman" w:eastAsia="Times New Roman" w:hAnsi="Times New Roman" w:cs="Times New Roman"/>
          <w:color w:val="auto"/>
          <w:sz w:val="24"/>
          <w:szCs w:val="24"/>
        </w:rPr>
        <w:t xml:space="preserve">. In quanto viaggiatore, il pellegrino ha una meta e spesso si aspetta un risultato particolare dal viaggio; il suo percorso è </w:t>
      </w:r>
      <w:r w:rsidR="00D16DA4">
        <w:rPr>
          <w:rFonts w:ascii="Times New Roman" w:eastAsia="Times New Roman" w:hAnsi="Times New Roman" w:cs="Times New Roman"/>
          <w:color w:val="auto"/>
          <w:sz w:val="24"/>
          <w:szCs w:val="24"/>
        </w:rPr>
        <w:t>di solito</w:t>
      </w:r>
      <w:r w:rsidR="00D16DA4" w:rsidRPr="007B1FBA">
        <w:rPr>
          <w:rFonts w:ascii="Times New Roman" w:eastAsia="Times New Roman" w:hAnsi="Times New Roman" w:cs="Times New Roman"/>
          <w:color w:val="auto"/>
          <w:sz w:val="24"/>
          <w:szCs w:val="24"/>
        </w:rPr>
        <w:t xml:space="preserve"> carico di passione e di significato profondo, spesso immerso in simboli e azioni allegoriche. </w:t>
      </w:r>
    </w:p>
    <w:p w14:paraId="59189117" w14:textId="25291427" w:rsidR="00D16DA4" w:rsidRDefault="00D16DA4" w:rsidP="008B016A">
      <w:pPr>
        <w:spacing w:after="120" w:line="240" w:lineRule="auto"/>
        <w:ind w:firstLine="425"/>
        <w:jc w:val="both"/>
        <w:rPr>
          <w:rFonts w:ascii="Times New Roman" w:eastAsia="Times New Roman" w:hAnsi="Times New Roman" w:cs="Times New Roman"/>
          <w:color w:val="auto"/>
          <w:sz w:val="24"/>
          <w:szCs w:val="24"/>
        </w:rPr>
      </w:pPr>
      <w:r w:rsidRPr="007B1FBA">
        <w:rPr>
          <w:rFonts w:ascii="Times New Roman" w:eastAsia="Times New Roman" w:hAnsi="Times New Roman" w:cs="Times New Roman"/>
          <w:color w:val="auto"/>
          <w:sz w:val="24"/>
          <w:szCs w:val="24"/>
        </w:rPr>
        <w:t>In passato, secondo Baber (1993), il pellegrinaggio era</w:t>
      </w:r>
      <w:r>
        <w:rPr>
          <w:rFonts w:ascii="Times New Roman" w:eastAsia="Times New Roman" w:hAnsi="Times New Roman" w:cs="Times New Roman"/>
          <w:color w:val="auto"/>
          <w:sz w:val="24"/>
          <w:szCs w:val="24"/>
        </w:rPr>
        <w:t xml:space="preserve"> </w:t>
      </w:r>
      <w:r w:rsidRPr="007B1FBA">
        <w:rPr>
          <w:rFonts w:ascii="Times New Roman" w:eastAsia="Times New Roman" w:hAnsi="Times New Roman" w:cs="Times New Roman"/>
          <w:color w:val="auto"/>
          <w:sz w:val="24"/>
          <w:szCs w:val="24"/>
        </w:rPr>
        <w:t>un viaggio motivato da</w:t>
      </w:r>
      <w:r>
        <w:rPr>
          <w:rFonts w:ascii="Times New Roman" w:eastAsia="Times New Roman" w:hAnsi="Times New Roman" w:cs="Times New Roman"/>
          <w:color w:val="auto"/>
          <w:sz w:val="24"/>
          <w:szCs w:val="24"/>
        </w:rPr>
        <w:t>lla sola</w:t>
      </w:r>
      <w:r w:rsidRPr="007B1FBA">
        <w:rPr>
          <w:rFonts w:ascii="Times New Roman" w:eastAsia="Times New Roman" w:hAnsi="Times New Roman" w:cs="Times New Roman"/>
          <w:color w:val="auto"/>
          <w:sz w:val="24"/>
          <w:szCs w:val="24"/>
        </w:rPr>
        <w:t xml:space="preserve"> caus</w:t>
      </w:r>
      <w:r w:rsidR="00BD114A">
        <w:rPr>
          <w:rFonts w:ascii="Times New Roman" w:eastAsia="Times New Roman" w:hAnsi="Times New Roman" w:cs="Times New Roman"/>
          <w:color w:val="auto"/>
          <w:sz w:val="24"/>
          <w:szCs w:val="24"/>
        </w:rPr>
        <w:t>a</w:t>
      </w:r>
      <w:r w:rsidRPr="007B1FBA">
        <w:rPr>
          <w:rFonts w:ascii="Times New Roman" w:eastAsia="Times New Roman" w:hAnsi="Times New Roman" w:cs="Times New Roman"/>
          <w:color w:val="auto"/>
          <w:sz w:val="24"/>
          <w:szCs w:val="24"/>
        </w:rPr>
        <w:t xml:space="preserve"> religios</w:t>
      </w:r>
      <w:r>
        <w:rPr>
          <w:rFonts w:ascii="Times New Roman" w:eastAsia="Times New Roman" w:hAnsi="Times New Roman" w:cs="Times New Roman"/>
          <w:color w:val="auto"/>
          <w:sz w:val="24"/>
          <w:szCs w:val="24"/>
        </w:rPr>
        <w:t>a, ma con una forte relazione con lo spazio: andare</w:t>
      </w:r>
      <w:r w:rsidRPr="007B1FBA">
        <w:rPr>
          <w:rFonts w:ascii="Times New Roman" w:eastAsia="Times New Roman" w:hAnsi="Times New Roman" w:cs="Times New Roman"/>
          <w:color w:val="auto"/>
          <w:sz w:val="24"/>
          <w:szCs w:val="24"/>
        </w:rPr>
        <w:t xml:space="preserve"> verso un luogo sacro e internamente per fini spirituali e </w:t>
      </w:r>
      <w:r>
        <w:rPr>
          <w:rFonts w:ascii="Times New Roman" w:eastAsia="Times New Roman" w:hAnsi="Times New Roman" w:cs="Times New Roman"/>
          <w:color w:val="auto"/>
          <w:sz w:val="24"/>
          <w:szCs w:val="24"/>
        </w:rPr>
        <w:t>introspezione</w:t>
      </w:r>
      <w:r w:rsidRPr="007B1FBA">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Pr="00D16DA4">
        <w:rPr>
          <w:rFonts w:ascii="Times New Roman" w:eastAsia="Times New Roman" w:hAnsi="Times New Roman" w:cs="Times New Roman"/>
          <w:color w:val="auto"/>
          <w:sz w:val="24"/>
          <w:szCs w:val="24"/>
        </w:rPr>
        <w:t>Oggi, il pellegrinaggio sta vivendo una nuova fase di prosperità a livello globale, grazie sia ai santuari storici, che continuano ad attrarre coloro che sono in cerca di realizzazione spirituale (Digance, 2003), sia a grandi eventi religiosi come il Giubileo. Nell’epoca contemporanea, l’aumento dei viaggi con motivazioni spirituali o devozionali si è sviluppato parallelamente alla crescita del turismo, mostrando come le pratiche religiose e quelle turistiche tendano sempre più a intrecciarsi e a sovrapporsi (Timothy e Olsen, 2006).</w:t>
      </w:r>
    </w:p>
    <w:p w14:paraId="1E830FE6" w14:textId="77777777" w:rsidR="00933822" w:rsidRDefault="00933822" w:rsidP="008B016A">
      <w:pPr>
        <w:spacing w:after="120" w:line="240" w:lineRule="auto"/>
        <w:ind w:firstLine="425"/>
        <w:jc w:val="both"/>
        <w:rPr>
          <w:rFonts w:ascii="Times New Roman" w:eastAsia="Times New Roman" w:hAnsi="Times New Roman" w:cs="Times New Roman"/>
          <w:color w:val="auto"/>
          <w:sz w:val="24"/>
          <w:szCs w:val="24"/>
        </w:rPr>
      </w:pPr>
      <w:r w:rsidRPr="007B1FBA">
        <w:rPr>
          <w:rFonts w:ascii="Times New Roman" w:eastAsia="Times New Roman" w:hAnsi="Times New Roman" w:cs="Times New Roman"/>
          <w:color w:val="auto"/>
          <w:sz w:val="24"/>
          <w:szCs w:val="24"/>
        </w:rPr>
        <w:t>La seconda tipologia di visitatore è il turista per il quale il sito sacro rappresenta la destinazione principale, ma non solo per motivi religiosi o spirituali, bensì anche per interessi culturali o ambientali (Ferrario, 2010). Questo specifico tipo di turismo comprende molte categorie che definiscono il turista in base agli obiettivi della sua visita.</w:t>
      </w:r>
    </w:p>
    <w:p w14:paraId="2505BDA7" w14:textId="2EAB9CA6" w:rsidR="00933822" w:rsidRPr="00BD114A" w:rsidRDefault="00933822"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La terza tipologia di visitatore è il viaggiatore, un tipo particolare di turista laico. Si tratta di una persona la cui destinazione </w:t>
      </w:r>
      <w:r w:rsidR="00E21B88" w:rsidRPr="00BD114A">
        <w:rPr>
          <w:rFonts w:ascii="Times New Roman" w:eastAsia="Times New Roman" w:hAnsi="Times New Roman" w:cs="Times New Roman"/>
          <w:color w:val="auto"/>
          <w:sz w:val="24"/>
          <w:szCs w:val="24"/>
        </w:rPr>
        <w:t xml:space="preserve">principale </w:t>
      </w:r>
      <w:r w:rsidRPr="00BD114A">
        <w:rPr>
          <w:rFonts w:ascii="Times New Roman" w:eastAsia="Times New Roman" w:hAnsi="Times New Roman" w:cs="Times New Roman"/>
          <w:color w:val="auto"/>
          <w:sz w:val="24"/>
          <w:szCs w:val="24"/>
        </w:rPr>
        <w:t xml:space="preserve">non è </w:t>
      </w:r>
      <w:r w:rsidR="00E21B88" w:rsidRPr="00BD114A">
        <w:rPr>
          <w:rFonts w:ascii="Times New Roman" w:eastAsia="Times New Roman" w:hAnsi="Times New Roman" w:cs="Times New Roman"/>
          <w:color w:val="auto"/>
          <w:sz w:val="24"/>
          <w:szCs w:val="24"/>
        </w:rPr>
        <w:t xml:space="preserve">il </w:t>
      </w:r>
      <w:r w:rsidRPr="00BD114A">
        <w:rPr>
          <w:rFonts w:ascii="Times New Roman" w:eastAsia="Times New Roman" w:hAnsi="Times New Roman" w:cs="Times New Roman"/>
          <w:color w:val="auto"/>
          <w:sz w:val="24"/>
          <w:szCs w:val="24"/>
        </w:rPr>
        <w:t xml:space="preserve">sito sacro, ma che, per caso, visita </w:t>
      </w:r>
      <w:r w:rsidR="00E21B88" w:rsidRPr="00BD114A">
        <w:rPr>
          <w:rFonts w:ascii="Times New Roman" w:eastAsia="Times New Roman" w:hAnsi="Times New Roman" w:cs="Times New Roman"/>
          <w:color w:val="auto"/>
          <w:sz w:val="24"/>
          <w:szCs w:val="24"/>
        </w:rPr>
        <w:t xml:space="preserve">tale </w:t>
      </w:r>
      <w:r w:rsidRPr="00BD114A">
        <w:rPr>
          <w:rFonts w:ascii="Times New Roman" w:eastAsia="Times New Roman" w:hAnsi="Times New Roman" w:cs="Times New Roman"/>
          <w:color w:val="auto"/>
          <w:sz w:val="24"/>
          <w:szCs w:val="24"/>
        </w:rPr>
        <w:t xml:space="preserve">sito lungo il percorso verso un’altra meta o, comunque, </w:t>
      </w:r>
      <w:r w:rsidR="00E21B88" w:rsidRPr="00BD114A">
        <w:rPr>
          <w:rFonts w:ascii="Times New Roman" w:eastAsia="Times New Roman" w:hAnsi="Times New Roman" w:cs="Times New Roman"/>
          <w:color w:val="auto"/>
          <w:sz w:val="24"/>
          <w:szCs w:val="24"/>
        </w:rPr>
        <w:t xml:space="preserve">il cui interesse è sintetizzabile nella </w:t>
      </w:r>
      <w:r w:rsidRPr="00BD114A">
        <w:rPr>
          <w:rFonts w:ascii="Times New Roman" w:eastAsia="Times New Roman" w:hAnsi="Times New Roman" w:cs="Times New Roman"/>
          <w:color w:val="auto"/>
          <w:sz w:val="24"/>
          <w:szCs w:val="24"/>
        </w:rPr>
        <w:t xml:space="preserve">curiosità o </w:t>
      </w:r>
      <w:r w:rsidR="00E21B88" w:rsidRPr="00BD114A">
        <w:rPr>
          <w:rFonts w:ascii="Times New Roman" w:eastAsia="Times New Roman" w:hAnsi="Times New Roman" w:cs="Times New Roman"/>
          <w:color w:val="auto"/>
          <w:sz w:val="24"/>
          <w:szCs w:val="24"/>
        </w:rPr>
        <w:t xml:space="preserve">nei </w:t>
      </w:r>
      <w:r w:rsidRPr="00BD114A">
        <w:rPr>
          <w:rFonts w:ascii="Times New Roman" w:eastAsia="Times New Roman" w:hAnsi="Times New Roman" w:cs="Times New Roman"/>
          <w:color w:val="auto"/>
          <w:sz w:val="24"/>
          <w:szCs w:val="24"/>
        </w:rPr>
        <w:t>motivi culturali.</w:t>
      </w:r>
    </w:p>
    <w:p w14:paraId="68497400" w14:textId="77777777" w:rsidR="00F96FAE" w:rsidRDefault="001B4103" w:rsidP="008B016A">
      <w:pPr>
        <w:pStyle w:val="NormalWeb"/>
        <w:spacing w:before="0" w:beforeAutospacing="0" w:after="120" w:afterAutospacing="0"/>
        <w:ind w:firstLine="425"/>
        <w:jc w:val="both"/>
      </w:pPr>
      <w:r>
        <w:t xml:space="preserve">Secondo </w:t>
      </w:r>
      <w:r w:rsidR="00F96FAE">
        <w:t xml:space="preserve">Bywater (1993), all’interno di questa categoria </w:t>
      </w:r>
      <w:r>
        <w:t>del turista religioso rientrano l</w:t>
      </w:r>
      <w:r w:rsidR="00F96FAE">
        <w:t>e motivazio</w:t>
      </w:r>
      <w:r>
        <w:t xml:space="preserve">ni </w:t>
      </w:r>
      <w:r w:rsidR="00F96FAE">
        <w:t xml:space="preserve">spirituali e religiose, </w:t>
      </w:r>
      <w:r>
        <w:t>ma alche tutte le</w:t>
      </w:r>
      <w:r w:rsidR="00F96FAE">
        <w:t xml:space="preserve"> espression</w:t>
      </w:r>
      <w:r>
        <w:t>i</w:t>
      </w:r>
      <w:r w:rsidR="00F96FAE">
        <w:t xml:space="preserve"> di un interesse per la cultura, la </w:t>
      </w:r>
      <w:r w:rsidR="00F96FAE">
        <w:lastRenderedPageBreak/>
        <w:t>storia e le tradizioni di un territorio.</w:t>
      </w:r>
      <w:r>
        <w:t xml:space="preserve"> </w:t>
      </w:r>
      <w:r w:rsidR="00F96FAE">
        <w:t xml:space="preserve">Sulla base della centralità delle motivazioni e riprendendo la classificazione </w:t>
      </w:r>
      <w:r>
        <w:t xml:space="preserve">l’autore </w:t>
      </w:r>
      <w:r w:rsidR="00F96FAE">
        <w:t>individua tre principali categorie di visitatori:</w:t>
      </w:r>
    </w:p>
    <w:p w14:paraId="6239D022" w14:textId="77777777" w:rsidR="008B016A" w:rsidRDefault="00F96FAE" w:rsidP="008B016A">
      <w:pPr>
        <w:pStyle w:val="NormalWeb"/>
        <w:numPr>
          <w:ilvl w:val="0"/>
          <w:numId w:val="5"/>
        </w:numPr>
        <w:spacing w:before="0" w:beforeAutospacing="0" w:after="0" w:afterAutospacing="0"/>
        <w:jc w:val="both"/>
      </w:pPr>
      <w:r>
        <w:t>Turisti motivati culturalmente</w:t>
      </w:r>
      <w:r w:rsidR="00925FD0">
        <w:t xml:space="preserve">: </w:t>
      </w:r>
      <w:r>
        <w:t xml:space="preserve">interessati soprattutto agli aspetti artistici, storici e paesaggistici del complesso. Essi partecipano a visite guidate, apprezzano la qualità estetica delle cappelle e delle sculture lignee, e percepiscono il sito come un vero e proprio </w:t>
      </w:r>
      <w:r w:rsidRPr="00BD114A">
        <w:t>“museo a cielo aperto”.</w:t>
      </w:r>
    </w:p>
    <w:p w14:paraId="70A8B174" w14:textId="77777777" w:rsidR="008B016A" w:rsidRDefault="00F96FAE" w:rsidP="008B016A">
      <w:pPr>
        <w:pStyle w:val="NormalWeb"/>
        <w:numPr>
          <w:ilvl w:val="0"/>
          <w:numId w:val="5"/>
        </w:numPr>
        <w:spacing w:before="0" w:beforeAutospacing="0" w:after="0" w:afterAutospacing="0"/>
        <w:jc w:val="both"/>
      </w:pPr>
      <w:r>
        <w:t>Turisti culturalmente ispirati o pellegrini</w:t>
      </w:r>
      <w:r w:rsidR="00925FD0">
        <w:t xml:space="preserve">: </w:t>
      </w:r>
      <w:r>
        <w:t>comprendono coloro che, pur mossi da motivazioni culturali, vivono l’esperienza in una prospettiva spirituale o devozionale. Per molti di loro, il viaggio a Varallo rappresenta un momento di riflessione interiore, un’occasione per rinnovare la fede o per ottenere benefici spirituali, come avviene nei tradizionali pellegrinaggi.</w:t>
      </w:r>
    </w:p>
    <w:p w14:paraId="0EA290F3" w14:textId="212A5918" w:rsidR="00F96FAE" w:rsidRDefault="00F96FAE" w:rsidP="008B016A">
      <w:pPr>
        <w:pStyle w:val="NormalWeb"/>
        <w:numPr>
          <w:ilvl w:val="0"/>
          <w:numId w:val="5"/>
        </w:numPr>
        <w:spacing w:before="0" w:beforeAutospacing="0" w:after="120" w:afterAutospacing="0"/>
        <w:ind w:left="782" w:hanging="357"/>
        <w:jc w:val="both"/>
      </w:pPr>
      <w:r>
        <w:t>Turisti culturali occasionali</w:t>
      </w:r>
      <w:r w:rsidR="00925FD0">
        <w:t xml:space="preserve">: </w:t>
      </w:r>
      <w:r>
        <w:t>giungono al sito in maniera fortuita, ad esempio durante una vacanza in Valsesia, oppure attratti dalla curiosità per il luogo o dall’offerta culturale della zona. In questi casi, l’esperienza spirituale risulta marginale, ma il contatto con il luogo può comunque suscitare emozioni e curiosità legate alla sua atmosfera sacra.</w:t>
      </w:r>
    </w:p>
    <w:p w14:paraId="0D9F6CEF" w14:textId="7F691A3C" w:rsidR="00933822" w:rsidRPr="00BD114A" w:rsidRDefault="00067FBA" w:rsidP="008B016A">
      <w:pPr>
        <w:pStyle w:val="NormalWeb"/>
        <w:spacing w:before="0" w:beforeAutospacing="0" w:after="120" w:afterAutospacing="0"/>
        <w:ind w:firstLine="425"/>
        <w:jc w:val="both"/>
      </w:pPr>
      <w:r w:rsidRPr="00BD114A">
        <w:t xml:space="preserve">Le </w:t>
      </w:r>
      <w:r w:rsidR="00F96FAE" w:rsidRPr="00BD114A">
        <w:t>classificazion</w:t>
      </w:r>
      <w:r w:rsidR="001B4103" w:rsidRPr="00BD114A">
        <w:t>i</w:t>
      </w:r>
      <w:r w:rsidRPr="00BD114A">
        <w:t xml:space="preserve"> illustrate</w:t>
      </w:r>
      <w:r w:rsidR="001B4103" w:rsidRPr="00BD114A">
        <w:t>,</w:t>
      </w:r>
      <w:r w:rsidR="00F96FAE" w:rsidRPr="00BD114A">
        <w:t xml:space="preserve"> basat</w:t>
      </w:r>
      <w:r w:rsidR="001B4103" w:rsidRPr="00BD114A">
        <w:t>e</w:t>
      </w:r>
      <w:r w:rsidR="00F96FAE" w:rsidRPr="00BD114A">
        <w:t xml:space="preserve"> sulle motivazioni dichiarate e sull’intensità del coinvolgimento religioso, consent</w:t>
      </w:r>
      <w:r w:rsidR="001B4103" w:rsidRPr="00BD114A">
        <w:t>ono</w:t>
      </w:r>
      <w:r w:rsidR="00F96FAE" w:rsidRPr="00BD114A">
        <w:t xml:space="preserve"> di comprendere come i Sacr</w:t>
      </w:r>
      <w:r w:rsidR="001B4103" w:rsidRPr="00BD114A">
        <w:t>i</w:t>
      </w:r>
      <w:r w:rsidR="00F96FAE" w:rsidRPr="00BD114A">
        <w:t xml:space="preserve"> Mont</w:t>
      </w:r>
      <w:r w:rsidR="001B4103" w:rsidRPr="00BD114A">
        <w:t>i</w:t>
      </w:r>
      <w:r w:rsidR="00F96FAE" w:rsidRPr="00BD114A">
        <w:t xml:space="preserve"> continui</w:t>
      </w:r>
      <w:r w:rsidR="001B4103" w:rsidRPr="00BD114A">
        <w:t>no</w:t>
      </w:r>
      <w:r w:rsidR="00F96FAE" w:rsidRPr="00BD114A">
        <w:t xml:space="preserve"> a svolgere un ruolo polisemico, capac</w:t>
      </w:r>
      <w:r w:rsidR="001B4103" w:rsidRPr="00BD114A">
        <w:t>i</w:t>
      </w:r>
      <w:r w:rsidR="00F96FAE" w:rsidRPr="00BD114A">
        <w:t xml:space="preserve"> di accogliere forme di fruizione differenti ma tra loro complementari.</w:t>
      </w:r>
    </w:p>
    <w:p w14:paraId="3822CF36" w14:textId="6C8AB0BF" w:rsidR="001B4103" w:rsidRDefault="00067FBA"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I </w:t>
      </w:r>
      <w:r w:rsidR="001B4103" w:rsidRPr="00BD114A">
        <w:rPr>
          <w:rFonts w:ascii="Times New Roman" w:eastAsia="Times New Roman" w:hAnsi="Times New Roman" w:cs="Times New Roman"/>
          <w:color w:val="auto"/>
          <w:sz w:val="24"/>
          <w:szCs w:val="24"/>
        </w:rPr>
        <w:t xml:space="preserve">Sacri Monti rappresentano </w:t>
      </w:r>
      <w:r w:rsidR="001B4103" w:rsidRPr="001B4103">
        <w:rPr>
          <w:rFonts w:ascii="Times New Roman" w:eastAsia="Times New Roman" w:hAnsi="Times New Roman" w:cs="Times New Roman"/>
          <w:color w:val="auto"/>
          <w:sz w:val="24"/>
          <w:szCs w:val="24"/>
        </w:rPr>
        <w:t>luoghi in cui si intrecciano diverse tipologie di visitatori, sia dal punto di vista temporale</w:t>
      </w:r>
      <w:r w:rsidR="001B4103">
        <w:rPr>
          <w:rFonts w:ascii="Times New Roman" w:eastAsia="Times New Roman" w:hAnsi="Times New Roman" w:cs="Times New Roman"/>
          <w:color w:val="auto"/>
          <w:sz w:val="24"/>
          <w:szCs w:val="24"/>
        </w:rPr>
        <w:t xml:space="preserve">, </w:t>
      </w:r>
      <w:r w:rsidR="001B4103" w:rsidRPr="001B4103">
        <w:rPr>
          <w:rFonts w:ascii="Times New Roman" w:eastAsia="Times New Roman" w:hAnsi="Times New Roman" w:cs="Times New Roman"/>
          <w:color w:val="auto"/>
          <w:sz w:val="24"/>
          <w:szCs w:val="24"/>
        </w:rPr>
        <w:t>comprendendo turisti ed escursionisti</w:t>
      </w:r>
      <w:r w:rsidR="001B4103">
        <w:rPr>
          <w:rFonts w:ascii="Times New Roman" w:eastAsia="Times New Roman" w:hAnsi="Times New Roman" w:cs="Times New Roman"/>
          <w:color w:val="auto"/>
          <w:sz w:val="24"/>
          <w:szCs w:val="24"/>
        </w:rPr>
        <w:t xml:space="preserve">, </w:t>
      </w:r>
      <w:r w:rsidR="001B4103" w:rsidRPr="001B4103">
        <w:rPr>
          <w:rFonts w:ascii="Times New Roman" w:eastAsia="Times New Roman" w:hAnsi="Times New Roman" w:cs="Times New Roman"/>
          <w:color w:val="auto"/>
          <w:sz w:val="24"/>
          <w:szCs w:val="24"/>
        </w:rPr>
        <w:t xml:space="preserve">sia da quello motivazionale, includendo pellegrini e persone attratte da interessi culturali. Il loro valore, come sottolinea </w:t>
      </w:r>
      <w:r w:rsidR="001B4103" w:rsidRPr="00BD114A">
        <w:rPr>
          <w:rFonts w:ascii="Times New Roman" w:eastAsia="Times New Roman" w:hAnsi="Times New Roman" w:cs="Times New Roman"/>
          <w:color w:val="auto"/>
          <w:sz w:val="24"/>
          <w:szCs w:val="24"/>
        </w:rPr>
        <w:t>Digance (2003), è “conteso”, cioè riconosciuto da una pluralità di gruppi e individui, ciascuno mosso da differenti ragioni di visita.</w:t>
      </w:r>
    </w:p>
    <w:p w14:paraId="57D55B0E" w14:textId="1CF463F7" w:rsidR="007B78BB" w:rsidRDefault="00E82629" w:rsidP="008B016A">
      <w:pPr>
        <w:shd w:val="clear" w:color="auto" w:fill="FFFFFF"/>
        <w:spacing w:after="120" w:line="240" w:lineRule="auto"/>
        <w:ind w:firstLine="425"/>
        <w:jc w:val="both"/>
        <w:rPr>
          <w:rFonts w:ascii="Times New Roman" w:eastAsia="Times New Roman" w:hAnsi="Times New Roman" w:cs="Times New Roman"/>
          <w:color w:val="auto"/>
          <w:sz w:val="24"/>
          <w:szCs w:val="24"/>
        </w:rPr>
      </w:pPr>
      <w:r w:rsidRPr="00E82629">
        <w:rPr>
          <w:rFonts w:ascii="Times New Roman" w:eastAsia="Times New Roman" w:hAnsi="Times New Roman" w:cs="Times New Roman"/>
          <w:color w:val="auto"/>
          <w:sz w:val="24"/>
          <w:szCs w:val="24"/>
        </w:rPr>
        <w:t>In via riassuntiva, i visitatori dei Sacri Monti sono mossi da motivazioni diverse: alcune di natura religiosa, come la devozione o la richiesta di grazie, e altre più laiche, legate alla curiosità, al desiderio di scoprire nuove culture e alla conoscenza del valore storico e artistico delle opere presenti.</w:t>
      </w:r>
    </w:p>
    <w:p w14:paraId="0FF58284" w14:textId="4A0FB164" w:rsidR="000451CE" w:rsidRPr="007B78BB" w:rsidRDefault="000451CE" w:rsidP="007B78BB">
      <w:pPr>
        <w:shd w:val="clear" w:color="auto" w:fill="FFFFFF"/>
        <w:spacing w:after="0" w:line="240" w:lineRule="auto"/>
        <w:ind w:firstLine="284"/>
        <w:jc w:val="both"/>
        <w:rPr>
          <w:rFonts w:ascii="Times New Roman" w:eastAsia="Times New Roman" w:hAnsi="Times New Roman" w:cs="Times New Roman"/>
          <w:color w:val="auto"/>
          <w:sz w:val="24"/>
          <w:szCs w:val="24"/>
        </w:rPr>
      </w:pPr>
    </w:p>
    <w:p w14:paraId="732B9EB9" w14:textId="4C48C49A" w:rsidR="00E82629" w:rsidRPr="00FD3B89" w:rsidRDefault="00E82629" w:rsidP="00E82629">
      <w:pPr>
        <w:shd w:val="clear" w:color="auto" w:fill="FFFFFF"/>
        <w:spacing w:after="0" w:line="240" w:lineRule="auto"/>
        <w:ind w:firstLine="284"/>
        <w:jc w:val="center"/>
        <w:rPr>
          <w:rFonts w:ascii="Times New Roman" w:eastAsia="Times New Roman" w:hAnsi="Times New Roman" w:cs="Times New Roman"/>
          <w:b/>
          <w:bCs/>
          <w:color w:val="auto"/>
          <w:sz w:val="24"/>
          <w:szCs w:val="24"/>
        </w:rPr>
      </w:pPr>
      <w:r w:rsidRPr="00FD3B89">
        <w:rPr>
          <w:rFonts w:ascii="Times New Roman" w:eastAsia="Times New Roman" w:hAnsi="Times New Roman" w:cs="Times New Roman"/>
          <w:b/>
          <w:bCs/>
          <w:color w:val="auto"/>
          <w:sz w:val="24"/>
          <w:szCs w:val="24"/>
        </w:rPr>
        <w:t>Figura 2 – andamento delle presenze turistiche in Piemonte dal 2014 al 2024</w:t>
      </w:r>
    </w:p>
    <w:p w14:paraId="256FEAB4" w14:textId="1EAB3186" w:rsidR="00E82629" w:rsidRDefault="00ED327C" w:rsidP="00B422E3">
      <w:pPr>
        <w:shd w:val="clear" w:color="auto" w:fill="FFFFFF"/>
        <w:spacing w:before="120" w:after="120" w:line="240" w:lineRule="auto"/>
        <w:ind w:firstLine="284"/>
        <w:jc w:val="center"/>
        <w:rPr>
          <w:rFonts w:ascii="Times New Roman" w:eastAsia="Times New Roman" w:hAnsi="Times New Roman" w:cs="Times New Roman"/>
          <w:color w:val="222222"/>
          <w:sz w:val="24"/>
          <w:szCs w:val="24"/>
        </w:rPr>
      </w:pPr>
      <w:r w:rsidRPr="00FD3B89">
        <w:rPr>
          <w:rFonts w:ascii="Tahoma" w:eastAsia="Times New Roman" w:hAnsi="Tahoma" w:cs="Tahoma"/>
          <w:b/>
          <w:bCs/>
          <w:noProof/>
          <w:color w:val="222222"/>
          <w:sz w:val="24"/>
          <w:szCs w:val="24"/>
        </w:rPr>
        <w:drawing>
          <wp:anchor distT="0" distB="0" distL="114300" distR="114300" simplePos="0" relativeHeight="251658240" behindDoc="0" locked="0" layoutInCell="1" allowOverlap="1" wp14:anchorId="4AADEDAD" wp14:editId="660DAF05">
            <wp:simplePos x="0" y="0"/>
            <wp:positionH relativeFrom="margin">
              <wp:posOffset>895350</wp:posOffset>
            </wp:positionH>
            <wp:positionV relativeFrom="paragraph">
              <wp:posOffset>218440</wp:posOffset>
            </wp:positionV>
            <wp:extent cx="4016375" cy="2220595"/>
            <wp:effectExtent l="0" t="0" r="3175" b="825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6375" cy="2220595"/>
                    </a:xfrm>
                    <a:prstGeom prst="rect">
                      <a:avLst/>
                    </a:prstGeom>
                    <a:noFill/>
                  </pic:spPr>
                </pic:pic>
              </a:graphicData>
            </a:graphic>
            <wp14:sizeRelH relativeFrom="margin">
              <wp14:pctWidth>0</wp14:pctWidth>
            </wp14:sizeRelH>
            <wp14:sizeRelV relativeFrom="margin">
              <wp14:pctHeight>0</wp14:pctHeight>
            </wp14:sizeRelV>
          </wp:anchor>
        </w:drawing>
      </w:r>
      <w:r w:rsidR="00E82629">
        <w:rPr>
          <w:rFonts w:ascii="Times New Roman" w:eastAsia="Times New Roman" w:hAnsi="Times New Roman" w:cs="Times New Roman"/>
          <w:color w:val="222222"/>
          <w:sz w:val="24"/>
          <w:szCs w:val="24"/>
        </w:rPr>
        <w:t xml:space="preserve">Fonte: </w:t>
      </w:r>
      <w:r w:rsidR="00373B90">
        <w:rPr>
          <w:rFonts w:ascii="Times New Roman" w:eastAsia="Times New Roman" w:hAnsi="Times New Roman" w:cs="Times New Roman"/>
          <w:color w:val="222222"/>
          <w:sz w:val="24"/>
          <w:szCs w:val="24"/>
        </w:rPr>
        <w:t xml:space="preserve">Elaborazione da </w:t>
      </w:r>
      <w:r w:rsidR="00E82629">
        <w:rPr>
          <w:rFonts w:ascii="Times New Roman" w:eastAsia="Times New Roman" w:hAnsi="Times New Roman" w:cs="Times New Roman"/>
          <w:color w:val="222222"/>
          <w:sz w:val="24"/>
          <w:szCs w:val="24"/>
        </w:rPr>
        <w:t>Visit Piemonte, 2025</w:t>
      </w:r>
    </w:p>
    <w:p w14:paraId="32683691" w14:textId="20D39EEC" w:rsidR="00B422E3" w:rsidRPr="00FC1CBC" w:rsidRDefault="00B422E3" w:rsidP="008B016A">
      <w:pPr>
        <w:shd w:val="clear" w:color="auto" w:fill="FFFFFF"/>
        <w:spacing w:after="120" w:line="240" w:lineRule="auto"/>
        <w:ind w:firstLine="425"/>
        <w:jc w:val="both"/>
        <w:rPr>
          <w:rFonts w:ascii="Times New Roman" w:eastAsia="Times New Roman" w:hAnsi="Times New Roman" w:cs="Times New Roman"/>
          <w:color w:val="auto"/>
          <w:sz w:val="24"/>
          <w:szCs w:val="24"/>
        </w:rPr>
      </w:pPr>
      <w:r w:rsidRPr="00FC1CBC">
        <w:rPr>
          <w:rFonts w:ascii="Times New Roman" w:eastAsia="Times New Roman" w:hAnsi="Times New Roman" w:cs="Times New Roman"/>
          <w:color w:val="auto"/>
          <w:sz w:val="24"/>
          <w:szCs w:val="24"/>
        </w:rPr>
        <w:lastRenderedPageBreak/>
        <w:t xml:space="preserve">I Sacri Monti del Piemonte costituiscono siti di rilevante valore culturale e spirituale e pur non registrando flussi turistici paragonabili a quelli delle principali destinazioni italiane, negli ultimi decenni si è osservato un incremento significativo delle visite, in particolare da parte di escursionisti. Ogni anno una media di 500.000 visitatori a cui si aggiungono le 500.000 presenze del solo Santuario di Oropa visitano questi luoghi sacri (Afferni </w:t>
      </w:r>
      <w:r w:rsidRPr="00FC1CBC">
        <w:rPr>
          <w:rFonts w:ascii="Times New Roman" w:eastAsia="Times New Roman" w:hAnsi="Times New Roman" w:cs="Times New Roman"/>
          <w:i/>
          <w:iCs/>
          <w:color w:val="auto"/>
          <w:sz w:val="24"/>
          <w:szCs w:val="24"/>
        </w:rPr>
        <w:t>et al</w:t>
      </w:r>
      <w:r w:rsidRPr="00FC1CBC">
        <w:rPr>
          <w:rFonts w:ascii="Times New Roman" w:eastAsia="Times New Roman" w:hAnsi="Times New Roman" w:cs="Times New Roman"/>
          <w:color w:val="auto"/>
          <w:sz w:val="24"/>
          <w:szCs w:val="24"/>
        </w:rPr>
        <w:t xml:space="preserve">., 2025). La crescita suddetta può essere ricondotta, almeno in parte, alle politiche di valorizzazione e promozione del turismo implementate dalla Regione Piemonte. Escludendo il periodo critico legato alla pandemia da Covid-19, l’analisi del </w:t>
      </w:r>
      <w:r w:rsidRPr="00FC1CBC">
        <w:rPr>
          <w:rFonts w:ascii="Times New Roman" w:eastAsia="Times New Roman" w:hAnsi="Times New Roman" w:cs="Times New Roman"/>
          <w:i/>
          <w:iCs/>
          <w:color w:val="auto"/>
          <w:sz w:val="24"/>
          <w:szCs w:val="24"/>
        </w:rPr>
        <w:t>trend</w:t>
      </w:r>
      <w:r w:rsidRPr="00FC1CBC">
        <w:rPr>
          <w:rFonts w:ascii="Times New Roman" w:eastAsia="Times New Roman" w:hAnsi="Times New Roman" w:cs="Times New Roman"/>
          <w:color w:val="auto"/>
          <w:sz w:val="24"/>
          <w:szCs w:val="24"/>
        </w:rPr>
        <w:t xml:space="preserve"> delle presenze tra il 2014 e il 2024 evidenzia un andamento complessivamente positivo (Figura 2).</w:t>
      </w:r>
    </w:p>
    <w:p w14:paraId="63021C8F" w14:textId="3B5B471E" w:rsidR="00B422E3" w:rsidRPr="00FC1CBC" w:rsidRDefault="00B422E3" w:rsidP="008B016A">
      <w:pPr>
        <w:shd w:val="clear" w:color="auto" w:fill="FFFFFF"/>
        <w:spacing w:after="120" w:line="240" w:lineRule="auto"/>
        <w:ind w:firstLine="425"/>
        <w:jc w:val="both"/>
        <w:rPr>
          <w:rFonts w:ascii="Times New Roman" w:eastAsia="Times New Roman" w:hAnsi="Times New Roman" w:cs="Times New Roman"/>
          <w:color w:val="auto"/>
          <w:sz w:val="24"/>
          <w:szCs w:val="24"/>
        </w:rPr>
      </w:pPr>
      <w:r w:rsidRPr="00FC1CBC">
        <w:rPr>
          <w:rFonts w:ascii="Times New Roman" w:eastAsia="Times New Roman" w:hAnsi="Times New Roman" w:cs="Times New Roman"/>
          <w:color w:val="auto"/>
          <w:sz w:val="24"/>
          <w:szCs w:val="24"/>
        </w:rPr>
        <w:t>Questa dinamica locale si inserisce in un quadro nazionale più ampio di progressivo incremento del turismo religioso, che ha mostrato negli ultimi anni segnali di consolidamento. In tal senso, i dati del Ministero del Turismo (2024) indicano che, nel 2023, l’Italia ha accolto circa 6 milioni di turisti con motivazione religiosa, generando 25 milioni di presenze. Le proiezioni per il 2025, sostenute dall’istituzione del Giubileo straordinario, suggeriscono un ulteriore incremento dei flussi e confermano il ruolo strategico del turismo religioso all’interno dell’offerta turistica nazionale.</w:t>
      </w:r>
    </w:p>
    <w:p w14:paraId="2A7421E9" w14:textId="4BF7175E" w:rsidR="00D16DA4" w:rsidRPr="008B390E" w:rsidRDefault="00D16DA4" w:rsidP="008B016A">
      <w:pPr>
        <w:spacing w:after="120" w:line="240" w:lineRule="auto"/>
        <w:ind w:firstLine="425"/>
        <w:jc w:val="both"/>
        <w:rPr>
          <w:rFonts w:ascii="Times New Roman" w:eastAsia="Times New Roman" w:hAnsi="Times New Roman" w:cs="Times New Roman"/>
          <w:color w:val="auto"/>
          <w:sz w:val="24"/>
          <w:szCs w:val="24"/>
        </w:rPr>
      </w:pPr>
      <w:r w:rsidRPr="008B390E">
        <w:rPr>
          <w:rFonts w:ascii="Times New Roman" w:eastAsia="Times New Roman" w:hAnsi="Times New Roman" w:cs="Times New Roman"/>
          <w:color w:val="auto"/>
          <w:sz w:val="24"/>
          <w:szCs w:val="24"/>
        </w:rPr>
        <w:t>Dopo aver esaminato le diverse tipologie di visitatori dei Sacri Monti, diventa fondamentale approfondire le modalità di gestione di questi siti. Comprendere come essi vengano amministrati e valorizzati è cruciale per diversi motivi. Anzitutto, la gestione incide direttamente sulla qualità dell’esperienza, sia turistica sia devozionale, determinando la capacità dei Sacri Monti di accogliere in modo equilibrato pellegrini, visitatori culturali ed escursionisti. Inoltre, l’analisi dei modelli gestionali permette di individuare buone pratiche e criticità connesse al coordinamento tra enti pubblici, istituzioni religiose e operatori privati. Infine, lo studio della governance di questi complessi offre l’opportunità di comprendere come le politiche di tutela, promozione e fruizione possano contribuire allo sviluppo sostenibile del territorio, nel rispetto dei valori spirituali, storici e paesaggistici che li caratterizzano.</w:t>
      </w:r>
    </w:p>
    <w:p w14:paraId="4445B293" w14:textId="77777777" w:rsidR="00D16DA4" w:rsidRPr="008B390E" w:rsidRDefault="00D16DA4" w:rsidP="008B016A">
      <w:pPr>
        <w:spacing w:after="120" w:line="240" w:lineRule="auto"/>
        <w:ind w:firstLine="425"/>
        <w:jc w:val="both"/>
        <w:rPr>
          <w:rFonts w:ascii="Times New Roman" w:eastAsia="Times New Roman" w:hAnsi="Times New Roman" w:cs="Times New Roman"/>
          <w:color w:val="auto"/>
          <w:sz w:val="24"/>
          <w:szCs w:val="24"/>
        </w:rPr>
      </w:pPr>
      <w:r w:rsidRPr="008B390E">
        <w:rPr>
          <w:rFonts w:ascii="Times New Roman" w:eastAsia="Times New Roman" w:hAnsi="Times New Roman" w:cs="Times New Roman"/>
          <w:color w:val="auto"/>
          <w:sz w:val="24"/>
          <w:szCs w:val="24"/>
        </w:rPr>
        <w:t>In sintesi, i capitoli successivi analizzeranno i Sacri Monti del Piemonte da una duplice prospettiva: da un lato, come promotori di un turismo religioso e culturale, consapevole ed esperienziale; dall’altro, come strumenti per la valorizzazione e la riscoperta dell’autenticità del patrimonio locale, attraverso la collaborazione tra l’Ente di gestione dei Sacri Monti del Piemonte e i diversi attori pubblici e privati del territorio.</w:t>
      </w:r>
    </w:p>
    <w:p w14:paraId="5498BE93" w14:textId="77777777" w:rsidR="00807E92" w:rsidRPr="00B422E3" w:rsidRDefault="00807E92" w:rsidP="00B422E3">
      <w:pPr>
        <w:spacing w:after="120" w:line="240" w:lineRule="auto"/>
        <w:jc w:val="both"/>
        <w:rPr>
          <w:rFonts w:ascii="Times New Roman" w:hAnsi="Times New Roman" w:cs="Times New Roman"/>
          <w:color w:val="auto"/>
          <w:sz w:val="24"/>
          <w:szCs w:val="24"/>
        </w:rPr>
      </w:pPr>
    </w:p>
    <w:p w14:paraId="02D4024B" w14:textId="37116C19" w:rsidR="00807E92" w:rsidRPr="00807E92" w:rsidRDefault="00807E92" w:rsidP="008B016A">
      <w:pPr>
        <w:pStyle w:val="Prrafodelista"/>
        <w:numPr>
          <w:ilvl w:val="0"/>
          <w:numId w:val="2"/>
        </w:numPr>
        <w:autoSpaceDE w:val="0"/>
        <w:autoSpaceDN w:val="0"/>
        <w:adjustRightInd w:val="0"/>
        <w:spacing w:after="120" w:line="240" w:lineRule="auto"/>
        <w:ind w:left="284" w:hanging="284"/>
        <w:contextualSpacing w:val="0"/>
      </w:pPr>
      <w:r>
        <w:rPr>
          <w:rFonts w:ascii="Times New Roman" w:hAnsi="Times New Roman" w:cs="Times New Roman"/>
          <w:b/>
          <w:sz w:val="24"/>
          <w:szCs w:val="24"/>
        </w:rPr>
        <w:t>L</w:t>
      </w:r>
      <w:r w:rsidR="00363838">
        <w:rPr>
          <w:rFonts w:ascii="Times New Roman" w:hAnsi="Times New Roman" w:cs="Times New Roman"/>
          <w:b/>
          <w:sz w:val="24"/>
          <w:szCs w:val="24"/>
        </w:rPr>
        <w:t xml:space="preserve">a </w:t>
      </w:r>
      <w:r>
        <w:rPr>
          <w:rFonts w:ascii="Times New Roman" w:hAnsi="Times New Roman" w:cs="Times New Roman"/>
          <w:b/>
          <w:sz w:val="24"/>
          <w:szCs w:val="24"/>
        </w:rPr>
        <w:t>gestione dei Sacri Monti</w:t>
      </w:r>
    </w:p>
    <w:p w14:paraId="1A68B883" w14:textId="576A1546" w:rsidR="00807E92" w:rsidRPr="00807E92" w:rsidRDefault="00807E92" w:rsidP="008B016A">
      <w:pPr>
        <w:spacing w:after="120" w:line="240" w:lineRule="auto"/>
        <w:ind w:firstLine="425"/>
        <w:jc w:val="both"/>
        <w:rPr>
          <w:rFonts w:ascii="Times New Roman" w:eastAsia="Times New Roman" w:hAnsi="Times New Roman" w:cs="Times New Roman"/>
          <w:color w:val="auto"/>
          <w:sz w:val="24"/>
          <w:szCs w:val="24"/>
        </w:rPr>
      </w:pPr>
      <w:r w:rsidRPr="00807E92">
        <w:rPr>
          <w:rFonts w:ascii="Times New Roman" w:eastAsia="Times New Roman" w:hAnsi="Times New Roman" w:cs="Times New Roman"/>
          <w:color w:val="auto"/>
          <w:sz w:val="24"/>
          <w:szCs w:val="24"/>
        </w:rPr>
        <w:t xml:space="preserve">Nel 2012 la Regione Piemonte ha istituito l’Ente di Gestione dei Sacri Monti (EGSM) con l’obiettivo di tutelare e valorizzare i sette complessi piemontesi riconosciuti dall’UNESCO. È importante sottolineare che questi siti non </w:t>
      </w:r>
      <w:r>
        <w:rPr>
          <w:rFonts w:ascii="Times New Roman" w:eastAsia="Times New Roman" w:hAnsi="Times New Roman" w:cs="Times New Roman"/>
          <w:color w:val="auto"/>
          <w:sz w:val="24"/>
          <w:szCs w:val="24"/>
        </w:rPr>
        <w:t xml:space="preserve">costituiscono una proprietà </w:t>
      </w:r>
      <w:r w:rsidRPr="00807E92">
        <w:rPr>
          <w:rFonts w:ascii="Times New Roman" w:eastAsia="Times New Roman" w:hAnsi="Times New Roman" w:cs="Times New Roman"/>
          <w:color w:val="auto"/>
          <w:sz w:val="24"/>
          <w:szCs w:val="24"/>
        </w:rPr>
        <w:t>unitaria</w:t>
      </w:r>
      <w:r>
        <w:rPr>
          <w:rFonts w:ascii="Times New Roman" w:eastAsia="Times New Roman" w:hAnsi="Times New Roman" w:cs="Times New Roman"/>
          <w:color w:val="auto"/>
          <w:sz w:val="24"/>
          <w:szCs w:val="24"/>
        </w:rPr>
        <w:t xml:space="preserve"> della Regione</w:t>
      </w:r>
      <w:r w:rsidRPr="00807E92">
        <w:rPr>
          <w:rFonts w:ascii="Times New Roman" w:eastAsia="Times New Roman" w:hAnsi="Times New Roman" w:cs="Times New Roman"/>
          <w:color w:val="auto"/>
          <w:sz w:val="24"/>
          <w:szCs w:val="24"/>
        </w:rPr>
        <w:t xml:space="preserve">, essendo di titolarità differenziata: alcuni appartengono a diocesi o congregazioni religiose (ad esempio Crea alla diocesi di Casale Monferrato e Domodossola alla congregazione dei Padri Rosminiani), altri ai </w:t>
      </w:r>
      <w:r w:rsidR="00433B51" w:rsidRPr="006F7DB5">
        <w:rPr>
          <w:rFonts w:ascii="Times New Roman" w:eastAsia="Times New Roman" w:hAnsi="Times New Roman" w:cs="Times New Roman"/>
          <w:color w:val="auto"/>
          <w:sz w:val="24"/>
          <w:szCs w:val="24"/>
        </w:rPr>
        <w:t>C</w:t>
      </w:r>
      <w:r w:rsidRPr="00807E92">
        <w:rPr>
          <w:rFonts w:ascii="Times New Roman" w:eastAsia="Times New Roman" w:hAnsi="Times New Roman" w:cs="Times New Roman"/>
          <w:color w:val="auto"/>
          <w:sz w:val="24"/>
          <w:szCs w:val="24"/>
        </w:rPr>
        <w:t>omuni (Varallo, Orta, Ghiffa), Oropa all’Ente Autonomo Laicale di Culto (composto dal Santuario e dal Comune di Biella), mentre Belmonte è di proprietà privata, in capo all’erede del conte di Valperga e Caluso. Tale pluralità di titolarità richiede all’EGSM un costante coordinamento con i proprietari per assicurare interventi di manutenzione e programmi di valorizzazione culturale coerenti con le esigenze di ciascun soggetto</w:t>
      </w:r>
      <w:r w:rsidR="003362C7">
        <w:rPr>
          <w:rFonts w:ascii="Times New Roman" w:eastAsia="Times New Roman" w:hAnsi="Times New Roman" w:cs="Times New Roman"/>
          <w:color w:val="auto"/>
          <w:sz w:val="24"/>
          <w:szCs w:val="24"/>
        </w:rPr>
        <w:t xml:space="preserve"> (Ente di Gestione dei Sacri Monti, 2025).</w:t>
      </w:r>
    </w:p>
    <w:p w14:paraId="3E7B3516" w14:textId="365F3559" w:rsidR="00807E92" w:rsidRPr="00BD114A" w:rsidRDefault="00807E92"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lastRenderedPageBreak/>
        <w:t>A livello interregionale, il riconoscimento UNESCO ha previsto un coordinamento tra Piemonte e Lombardia, gestito da una “Conferenza permanente” e supportato operativamente da un Gruppo di Lavoro (GLOP). In Lombardia, a differenza del Piemonte, non esiste un ente unitario di coordinamento; la gestione dei Sacri Monti di Varese e Ossuccio è affidata a strutture differenti. L’</w:t>
      </w:r>
      <w:r w:rsidR="00433B51" w:rsidRPr="00BD114A">
        <w:rPr>
          <w:rFonts w:ascii="Times New Roman" w:eastAsia="Times New Roman" w:hAnsi="Times New Roman" w:cs="Times New Roman"/>
          <w:color w:val="auto"/>
          <w:sz w:val="24"/>
          <w:szCs w:val="24"/>
        </w:rPr>
        <w:t>E</w:t>
      </w:r>
      <w:r w:rsidRPr="00BD114A">
        <w:rPr>
          <w:rFonts w:ascii="Times New Roman" w:eastAsia="Times New Roman" w:hAnsi="Times New Roman" w:cs="Times New Roman"/>
          <w:color w:val="auto"/>
          <w:sz w:val="24"/>
          <w:szCs w:val="24"/>
        </w:rPr>
        <w:t>nte di gestione piemontese, invece, si caratterizza per una struttura centralizzata, che gli consente di operare con un certo grado di autonomia: l’ente può bandire gare, stipulare convenzioni e sviluppare progetti finanziati attraverso strumenti quali la legge 77/2006 o altri programmi interregionali, finalizzati a sostenere restauri e iniziative di valorizzazione. Tuttavia, l’adozione di procedure formali, quali delibere, determina di spesa e monitoraggi, garantisce trasparenza, sebbene talvolta rallenti l’attuazione degli interventi, anche quelli di entità limitata</w:t>
      </w:r>
      <w:r w:rsidR="003362C7" w:rsidRPr="00BD114A">
        <w:rPr>
          <w:rFonts w:ascii="Times New Roman" w:eastAsia="Times New Roman" w:hAnsi="Times New Roman" w:cs="Times New Roman"/>
          <w:color w:val="auto"/>
          <w:sz w:val="24"/>
          <w:szCs w:val="24"/>
        </w:rPr>
        <w:t xml:space="preserve"> (</w:t>
      </w:r>
      <w:r w:rsidR="003362C7" w:rsidRPr="00BD114A">
        <w:rPr>
          <w:rFonts w:ascii="Times New Roman" w:eastAsia="Times New Roman" w:hAnsi="Times New Roman" w:cs="Times New Roman"/>
          <w:i/>
          <w:color w:val="auto"/>
          <w:sz w:val="24"/>
          <w:szCs w:val="24"/>
        </w:rPr>
        <w:t>ibidem,</w:t>
      </w:r>
      <w:r w:rsidR="003362C7" w:rsidRPr="00BD114A">
        <w:rPr>
          <w:rFonts w:ascii="Times New Roman" w:eastAsia="Times New Roman" w:hAnsi="Times New Roman" w:cs="Times New Roman"/>
          <w:color w:val="auto"/>
          <w:sz w:val="24"/>
          <w:szCs w:val="24"/>
        </w:rPr>
        <w:t xml:space="preserve"> 2025)</w:t>
      </w:r>
      <w:r w:rsidR="00433B51" w:rsidRPr="00BD114A">
        <w:rPr>
          <w:rFonts w:ascii="Times New Roman" w:eastAsia="Times New Roman" w:hAnsi="Times New Roman" w:cs="Times New Roman"/>
          <w:color w:val="auto"/>
          <w:sz w:val="24"/>
          <w:szCs w:val="24"/>
        </w:rPr>
        <w:t>.</w:t>
      </w:r>
    </w:p>
    <w:p w14:paraId="17B06004" w14:textId="7E205FE3" w:rsidR="00807E92" w:rsidRPr="00807E92" w:rsidRDefault="00807E92"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Normativamente, l’EGSM opera sulla base della Legge Regionale n. 9/2009, successivamente modificata dalla </w:t>
      </w:r>
      <w:r w:rsidR="00433B51" w:rsidRPr="00BD114A">
        <w:rPr>
          <w:rFonts w:ascii="Times New Roman" w:eastAsia="Times New Roman" w:hAnsi="Times New Roman" w:cs="Times New Roman"/>
          <w:color w:val="auto"/>
          <w:sz w:val="24"/>
          <w:szCs w:val="24"/>
        </w:rPr>
        <w:t xml:space="preserve">L.R. </w:t>
      </w:r>
      <w:r w:rsidRPr="00BD114A">
        <w:rPr>
          <w:rFonts w:ascii="Times New Roman" w:eastAsia="Times New Roman" w:hAnsi="Times New Roman" w:cs="Times New Roman"/>
          <w:color w:val="auto"/>
          <w:sz w:val="24"/>
          <w:szCs w:val="24"/>
        </w:rPr>
        <w:t xml:space="preserve">n. 9/2015, con l’obiettivo di gestire le sette Riserve Speciali dei Sacri Monti, perseguendo finalità </w:t>
      </w:r>
      <w:r w:rsidRPr="00807E92">
        <w:rPr>
          <w:rFonts w:ascii="Times New Roman" w:eastAsia="Times New Roman" w:hAnsi="Times New Roman" w:cs="Times New Roman"/>
          <w:color w:val="auto"/>
          <w:sz w:val="24"/>
          <w:szCs w:val="24"/>
        </w:rPr>
        <w:t>che spaziano dalla conservazione, gestione e valorizzazione dei complessi alla promozione della conoscenza, della ricerca, della documentazione e della tutela delle caratteristiche di eccezionale valore universale riconosciute dall’UNESCO</w:t>
      </w:r>
      <w:r w:rsidR="004D2208">
        <w:rPr>
          <w:rFonts w:ascii="Times New Roman" w:eastAsia="Times New Roman" w:hAnsi="Times New Roman" w:cs="Times New Roman"/>
          <w:color w:val="auto"/>
          <w:sz w:val="24"/>
          <w:szCs w:val="24"/>
        </w:rPr>
        <w:t xml:space="preserve"> (Consiglio Regionale del Piemonte, 2025).</w:t>
      </w:r>
    </w:p>
    <w:p w14:paraId="646036D1" w14:textId="4A8B72E8" w:rsidR="003362C7" w:rsidRPr="00BD114A" w:rsidRDefault="00807E92"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La </w:t>
      </w:r>
      <w:r w:rsidRPr="00BD114A">
        <w:rPr>
          <w:rFonts w:ascii="Times New Roman" w:eastAsia="Times New Roman" w:hAnsi="Times New Roman" w:cs="Times New Roman"/>
          <w:i/>
          <w:color w:val="auto"/>
          <w:sz w:val="24"/>
          <w:szCs w:val="24"/>
        </w:rPr>
        <w:t>governance</w:t>
      </w:r>
      <w:r w:rsidRPr="00BD114A">
        <w:rPr>
          <w:rFonts w:ascii="Times New Roman" w:eastAsia="Times New Roman" w:hAnsi="Times New Roman" w:cs="Times New Roman"/>
          <w:color w:val="auto"/>
          <w:sz w:val="24"/>
          <w:szCs w:val="24"/>
        </w:rPr>
        <w:t xml:space="preserve"> dell’</w:t>
      </w:r>
      <w:r w:rsidR="00433B51" w:rsidRPr="00BD114A">
        <w:rPr>
          <w:rFonts w:ascii="Times New Roman" w:eastAsia="Times New Roman" w:hAnsi="Times New Roman" w:cs="Times New Roman"/>
          <w:color w:val="auto"/>
          <w:sz w:val="24"/>
          <w:szCs w:val="24"/>
        </w:rPr>
        <w:t>E</w:t>
      </w:r>
      <w:r w:rsidRPr="00BD114A">
        <w:rPr>
          <w:rFonts w:ascii="Times New Roman" w:eastAsia="Times New Roman" w:hAnsi="Times New Roman" w:cs="Times New Roman"/>
          <w:color w:val="auto"/>
          <w:sz w:val="24"/>
          <w:szCs w:val="24"/>
        </w:rPr>
        <w:t xml:space="preserve">nte è affidata a un Consiglio di Amministrazione composto da </w:t>
      </w:r>
      <w:r w:rsidR="004D2208" w:rsidRPr="00BD114A">
        <w:rPr>
          <w:rFonts w:ascii="Times New Roman" w:eastAsia="Times New Roman" w:hAnsi="Times New Roman" w:cs="Times New Roman"/>
          <w:color w:val="auto"/>
          <w:sz w:val="24"/>
          <w:szCs w:val="24"/>
        </w:rPr>
        <w:t>quindici</w:t>
      </w:r>
      <w:r w:rsidRPr="00BD114A">
        <w:rPr>
          <w:rFonts w:ascii="Times New Roman" w:eastAsia="Times New Roman" w:hAnsi="Times New Roman" w:cs="Times New Roman"/>
          <w:color w:val="auto"/>
          <w:sz w:val="24"/>
          <w:szCs w:val="24"/>
        </w:rPr>
        <w:t xml:space="preserve"> membri</w:t>
      </w:r>
      <w:r w:rsidR="004D2208" w:rsidRPr="00BD114A">
        <w:rPr>
          <w:rFonts w:ascii="Times New Roman" w:eastAsia="Times New Roman" w:hAnsi="Times New Roman" w:cs="Times New Roman"/>
          <w:color w:val="auto"/>
          <w:sz w:val="24"/>
          <w:szCs w:val="24"/>
        </w:rPr>
        <w:t>:</w:t>
      </w:r>
      <w:r w:rsidRPr="00BD114A">
        <w:rPr>
          <w:rFonts w:ascii="Times New Roman" w:eastAsia="Times New Roman" w:hAnsi="Times New Roman" w:cs="Times New Roman"/>
          <w:color w:val="auto"/>
          <w:sz w:val="24"/>
          <w:szCs w:val="24"/>
        </w:rPr>
        <w:t xml:space="preserve"> il Presidente, il Vicepresidente e delegati nominati dalle amministrazioni comunali e dalle realtà religiose in cui sorgono i Sacri Monti. Il Presidente, </w:t>
      </w:r>
      <w:r w:rsidR="00433B51" w:rsidRPr="00BD114A">
        <w:rPr>
          <w:rFonts w:ascii="Times New Roman" w:eastAsia="Times New Roman" w:hAnsi="Times New Roman" w:cs="Times New Roman"/>
          <w:color w:val="auto"/>
          <w:sz w:val="24"/>
          <w:szCs w:val="24"/>
        </w:rPr>
        <w:t xml:space="preserve">selezionato mediante un bando regionale e </w:t>
      </w:r>
      <w:r w:rsidRPr="00BD114A">
        <w:rPr>
          <w:rFonts w:ascii="Times New Roman" w:eastAsia="Times New Roman" w:hAnsi="Times New Roman" w:cs="Times New Roman"/>
          <w:color w:val="auto"/>
          <w:sz w:val="24"/>
          <w:szCs w:val="24"/>
        </w:rPr>
        <w:t xml:space="preserve">nominato dal Presidente </w:t>
      </w:r>
      <w:r w:rsidR="00433B51" w:rsidRPr="00BD114A">
        <w:rPr>
          <w:rFonts w:ascii="Times New Roman" w:eastAsia="Times New Roman" w:hAnsi="Times New Roman" w:cs="Times New Roman"/>
          <w:color w:val="auto"/>
          <w:sz w:val="24"/>
          <w:szCs w:val="24"/>
        </w:rPr>
        <w:t>della Giunta Regionale</w:t>
      </w:r>
      <w:r w:rsidRPr="00BD114A">
        <w:rPr>
          <w:rFonts w:ascii="Times New Roman" w:eastAsia="Times New Roman" w:hAnsi="Times New Roman" w:cs="Times New Roman"/>
          <w:color w:val="auto"/>
          <w:sz w:val="24"/>
          <w:szCs w:val="24"/>
        </w:rPr>
        <w:t>, coordina le attività dell’ente e garantisce l’unitarietà dell’indirizzo gestionale</w:t>
      </w:r>
      <w:r w:rsidR="003362C7" w:rsidRPr="00BD114A">
        <w:rPr>
          <w:rFonts w:ascii="Times New Roman" w:eastAsia="Times New Roman" w:hAnsi="Times New Roman" w:cs="Times New Roman"/>
          <w:color w:val="auto"/>
          <w:sz w:val="24"/>
          <w:szCs w:val="24"/>
        </w:rPr>
        <w:t xml:space="preserve"> (Ente di gestione dei Sacri Monti, 2025).</w:t>
      </w:r>
    </w:p>
    <w:p w14:paraId="2E64234F" w14:textId="12C24FAA" w:rsidR="00363838" w:rsidRPr="00BD114A" w:rsidRDefault="004D2208"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L’ente collabora inoltre con numerosi soggetti istituzionali e culturali locali, tra cui </w:t>
      </w:r>
      <w:r w:rsidR="00433B51" w:rsidRPr="00BD114A">
        <w:rPr>
          <w:rFonts w:ascii="Times New Roman" w:eastAsia="Times New Roman" w:hAnsi="Times New Roman" w:cs="Times New Roman"/>
          <w:color w:val="auto"/>
          <w:sz w:val="24"/>
          <w:szCs w:val="24"/>
        </w:rPr>
        <w:t>i C</w:t>
      </w:r>
      <w:r w:rsidRPr="00BD114A">
        <w:rPr>
          <w:rFonts w:ascii="Times New Roman" w:eastAsia="Times New Roman" w:hAnsi="Times New Roman" w:cs="Times New Roman"/>
          <w:color w:val="auto"/>
          <w:sz w:val="24"/>
          <w:szCs w:val="24"/>
        </w:rPr>
        <w:t xml:space="preserve">omuni, </w:t>
      </w:r>
      <w:r w:rsidR="00433B51" w:rsidRPr="00BD114A">
        <w:rPr>
          <w:rFonts w:ascii="Times New Roman" w:eastAsia="Times New Roman" w:hAnsi="Times New Roman" w:cs="Times New Roman"/>
          <w:color w:val="auto"/>
          <w:sz w:val="24"/>
          <w:szCs w:val="24"/>
        </w:rPr>
        <w:t xml:space="preserve">i </w:t>
      </w:r>
      <w:r w:rsidRPr="00BD114A">
        <w:rPr>
          <w:rFonts w:ascii="Times New Roman" w:eastAsia="Times New Roman" w:hAnsi="Times New Roman" w:cs="Times New Roman"/>
          <w:color w:val="auto"/>
          <w:sz w:val="24"/>
          <w:szCs w:val="24"/>
        </w:rPr>
        <w:t xml:space="preserve">musei (Pinacoteca di Varallo, Biblioteca di Varallo, Pinacoteca di Casale, Ecomuseo del Lago d’Orta, Musei Civici di Domodossola), il Parco Nazionale della Valgrande, il Geoparco Valsesia-Valgrande, </w:t>
      </w:r>
      <w:r w:rsidR="00433B51" w:rsidRPr="00BD114A">
        <w:rPr>
          <w:rFonts w:ascii="Times New Roman" w:eastAsia="Times New Roman" w:hAnsi="Times New Roman" w:cs="Times New Roman"/>
          <w:color w:val="auto"/>
          <w:sz w:val="24"/>
          <w:szCs w:val="24"/>
        </w:rPr>
        <w:t>l’U</w:t>
      </w:r>
      <w:r w:rsidRPr="00BD114A">
        <w:rPr>
          <w:rFonts w:ascii="Times New Roman" w:eastAsia="Times New Roman" w:hAnsi="Times New Roman" w:cs="Times New Roman"/>
          <w:color w:val="auto"/>
          <w:sz w:val="24"/>
          <w:szCs w:val="24"/>
        </w:rPr>
        <w:t>niversità</w:t>
      </w:r>
      <w:r w:rsidR="00433B51" w:rsidRPr="00BD114A">
        <w:rPr>
          <w:rFonts w:ascii="Times New Roman" w:eastAsia="Times New Roman" w:hAnsi="Times New Roman" w:cs="Times New Roman"/>
          <w:color w:val="auto"/>
          <w:sz w:val="24"/>
          <w:szCs w:val="24"/>
        </w:rPr>
        <w:t>,</w:t>
      </w:r>
      <w:r w:rsidRPr="00BD114A">
        <w:rPr>
          <w:rFonts w:ascii="Times New Roman" w:eastAsia="Times New Roman" w:hAnsi="Times New Roman" w:cs="Times New Roman"/>
          <w:color w:val="auto"/>
          <w:sz w:val="24"/>
          <w:szCs w:val="24"/>
        </w:rPr>
        <w:t xml:space="preserve"> </w:t>
      </w:r>
      <w:r w:rsidR="00433B51" w:rsidRPr="00BD114A">
        <w:rPr>
          <w:rFonts w:ascii="Times New Roman" w:eastAsia="Times New Roman" w:hAnsi="Times New Roman" w:cs="Times New Roman"/>
          <w:color w:val="auto"/>
          <w:sz w:val="24"/>
          <w:szCs w:val="24"/>
        </w:rPr>
        <w:t>i P</w:t>
      </w:r>
      <w:r w:rsidRPr="00BD114A">
        <w:rPr>
          <w:rFonts w:ascii="Times New Roman" w:eastAsia="Times New Roman" w:hAnsi="Times New Roman" w:cs="Times New Roman"/>
          <w:color w:val="auto"/>
          <w:sz w:val="24"/>
          <w:szCs w:val="24"/>
        </w:rPr>
        <w:t>olitecnici di Milano e Torino e la Scuola Universitaria Professionale della Svizzera Italiana.</w:t>
      </w:r>
    </w:p>
    <w:p w14:paraId="52AB6703" w14:textId="26D194F7" w:rsidR="00927263" w:rsidRPr="00BD114A" w:rsidRDefault="00363838" w:rsidP="008B016A">
      <w:pPr>
        <w:spacing w:after="120" w:line="240" w:lineRule="auto"/>
        <w:ind w:firstLine="425"/>
        <w:jc w:val="both"/>
        <w:rPr>
          <w:rFonts w:ascii="Times New Roman" w:eastAsia="Times New Roman" w:hAnsi="Times New Roman" w:cs="Times New Roman"/>
          <w:color w:val="auto"/>
          <w:sz w:val="24"/>
          <w:szCs w:val="24"/>
        </w:rPr>
      </w:pPr>
      <w:r w:rsidRPr="00363838">
        <w:rPr>
          <w:rFonts w:ascii="Times New Roman" w:eastAsia="Times New Roman" w:hAnsi="Times New Roman" w:cs="Times New Roman"/>
          <w:color w:val="auto"/>
          <w:sz w:val="24"/>
          <w:szCs w:val="24"/>
        </w:rPr>
        <w:t xml:space="preserve">Uno degli effetti più evidenti dell’unificazione della gestione dei Sacri Monti è stato il ridotto coinvolgimento diretto delle comunità locali nelle decisioni quotidiane di amministrazione dei siti. Contestualmente, il numero di interlocutori istituzionali è aumentato: l’EGSM deve oggi coordinare relazioni con sette diversi proprietari, ciascuno dei quali </w:t>
      </w:r>
      <w:r w:rsidR="00BD114A" w:rsidRPr="00363838">
        <w:rPr>
          <w:rFonts w:ascii="Times New Roman" w:eastAsia="Times New Roman" w:hAnsi="Times New Roman" w:cs="Times New Roman"/>
          <w:color w:val="auto"/>
          <w:sz w:val="24"/>
          <w:szCs w:val="24"/>
        </w:rPr>
        <w:t>manifest</w:t>
      </w:r>
      <w:r w:rsidR="00BD114A">
        <w:rPr>
          <w:rFonts w:ascii="Times New Roman" w:eastAsia="Times New Roman" w:hAnsi="Times New Roman" w:cs="Times New Roman"/>
          <w:color w:val="auto"/>
          <w:sz w:val="24"/>
          <w:szCs w:val="24"/>
        </w:rPr>
        <w:t>a</w:t>
      </w:r>
      <w:r w:rsidR="00BD114A" w:rsidRPr="00363838">
        <w:rPr>
          <w:rFonts w:ascii="Times New Roman" w:eastAsia="Times New Roman" w:hAnsi="Times New Roman" w:cs="Times New Roman"/>
          <w:color w:val="auto"/>
          <w:sz w:val="24"/>
          <w:szCs w:val="24"/>
        </w:rPr>
        <w:t xml:space="preserve"> interessi locali specifici</w:t>
      </w:r>
      <w:r w:rsidRPr="00363838">
        <w:rPr>
          <w:rFonts w:ascii="Times New Roman" w:eastAsia="Times New Roman" w:hAnsi="Times New Roman" w:cs="Times New Roman"/>
          <w:color w:val="auto"/>
          <w:sz w:val="24"/>
          <w:szCs w:val="24"/>
        </w:rPr>
        <w:t xml:space="preserve"> che richiedono approcci personalizzati. </w:t>
      </w:r>
      <w:r w:rsidRPr="00BD114A">
        <w:rPr>
          <w:rFonts w:ascii="Times New Roman" w:eastAsia="Times New Roman" w:hAnsi="Times New Roman" w:cs="Times New Roman"/>
          <w:color w:val="auto"/>
          <w:sz w:val="24"/>
          <w:szCs w:val="24"/>
        </w:rPr>
        <w:t>L’</w:t>
      </w:r>
      <w:r w:rsidR="00433B51" w:rsidRPr="00BD114A">
        <w:rPr>
          <w:rFonts w:ascii="Times New Roman" w:eastAsia="Times New Roman" w:hAnsi="Times New Roman" w:cs="Times New Roman"/>
          <w:color w:val="auto"/>
          <w:sz w:val="24"/>
          <w:szCs w:val="24"/>
        </w:rPr>
        <w:t>E</w:t>
      </w:r>
      <w:r w:rsidRPr="00BD114A">
        <w:rPr>
          <w:rFonts w:ascii="Times New Roman" w:eastAsia="Times New Roman" w:hAnsi="Times New Roman" w:cs="Times New Roman"/>
          <w:color w:val="auto"/>
          <w:sz w:val="24"/>
          <w:szCs w:val="24"/>
        </w:rPr>
        <w:t>nte interagisce inoltre con diverse Soprintendenze del Ministero della Cultura, oltre a quelle delle diocesi competenti, le quali impongono il rispetto di normative e criteri di restauro complessi, talvolta divergenti tra le varie aree a causa di interpretazioni non omogenee.</w:t>
      </w:r>
    </w:p>
    <w:p w14:paraId="149BCBB7" w14:textId="57ABC37A" w:rsidR="00927263" w:rsidRPr="00BD114A" w:rsidRDefault="00363838"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Oltre a confrontarsi con Soprintendenze e diocesi, l’EGSM interagisce con istituzioni scolastiche, musei e associazioni culturali. Fondazioni bancarie quali Cariplo, Compagnia di San Paolo e CRT, insieme a fondazioni comunitarie e banche locali, svolgono un ruolo determinante nel finanziamento delle attività dell’</w:t>
      </w:r>
      <w:r w:rsidR="00433B51" w:rsidRPr="00BD114A">
        <w:rPr>
          <w:rFonts w:ascii="Times New Roman" w:eastAsia="Times New Roman" w:hAnsi="Times New Roman" w:cs="Times New Roman"/>
          <w:color w:val="auto"/>
          <w:sz w:val="24"/>
          <w:szCs w:val="24"/>
        </w:rPr>
        <w:t>E</w:t>
      </w:r>
      <w:r w:rsidRPr="00BD114A">
        <w:rPr>
          <w:rFonts w:ascii="Times New Roman" w:eastAsia="Times New Roman" w:hAnsi="Times New Roman" w:cs="Times New Roman"/>
          <w:color w:val="auto"/>
          <w:sz w:val="24"/>
          <w:szCs w:val="24"/>
        </w:rPr>
        <w:t>nte.</w:t>
      </w:r>
    </w:p>
    <w:p w14:paraId="37E2D4FE" w14:textId="77777777" w:rsidR="00927263" w:rsidRDefault="00927263" w:rsidP="00927263">
      <w:pPr>
        <w:spacing w:after="120" w:line="240" w:lineRule="auto"/>
        <w:jc w:val="both"/>
        <w:rPr>
          <w:rFonts w:ascii="Times New Roman" w:eastAsia="Times New Roman" w:hAnsi="Times New Roman" w:cs="Times New Roman"/>
          <w:color w:val="auto"/>
          <w:sz w:val="24"/>
          <w:szCs w:val="24"/>
        </w:rPr>
      </w:pPr>
    </w:p>
    <w:p w14:paraId="1411DFE1" w14:textId="77777777" w:rsidR="00927263" w:rsidRPr="00927263" w:rsidRDefault="00927263" w:rsidP="008B016A">
      <w:pPr>
        <w:pStyle w:val="Prrafodelista"/>
        <w:numPr>
          <w:ilvl w:val="0"/>
          <w:numId w:val="2"/>
        </w:numPr>
        <w:autoSpaceDE w:val="0"/>
        <w:autoSpaceDN w:val="0"/>
        <w:adjustRightInd w:val="0"/>
        <w:spacing w:after="120" w:line="240" w:lineRule="auto"/>
        <w:ind w:left="284" w:hanging="284"/>
      </w:pPr>
      <w:r>
        <w:rPr>
          <w:rFonts w:ascii="Times New Roman" w:hAnsi="Times New Roman" w:cs="Times New Roman"/>
          <w:b/>
          <w:sz w:val="24"/>
          <w:szCs w:val="24"/>
        </w:rPr>
        <w:t>L’attività dell’Ente di Gestione dei sacri Monti</w:t>
      </w:r>
    </w:p>
    <w:p w14:paraId="0CC678C8" w14:textId="7FC21F46" w:rsidR="00363838" w:rsidRPr="00BD114A" w:rsidRDefault="00927263"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L’</w:t>
      </w:r>
      <w:r w:rsidR="00363838" w:rsidRPr="00BD114A">
        <w:rPr>
          <w:rFonts w:ascii="Times New Roman" w:eastAsia="Times New Roman" w:hAnsi="Times New Roman" w:cs="Times New Roman"/>
          <w:color w:val="auto"/>
          <w:sz w:val="24"/>
          <w:szCs w:val="24"/>
        </w:rPr>
        <w:t>EGSM ha avviato un processo di rafforzamento della valorizzazione culturale dei Sacri Monti, sviluppando una narrazione interna gestita direttamente dall’</w:t>
      </w:r>
      <w:r w:rsidR="00433B51" w:rsidRPr="00BD114A">
        <w:rPr>
          <w:rFonts w:ascii="Times New Roman" w:eastAsia="Times New Roman" w:hAnsi="Times New Roman" w:cs="Times New Roman"/>
          <w:color w:val="auto"/>
          <w:sz w:val="24"/>
          <w:szCs w:val="24"/>
        </w:rPr>
        <w:t>E</w:t>
      </w:r>
      <w:r w:rsidR="00363838" w:rsidRPr="00BD114A">
        <w:rPr>
          <w:rFonts w:ascii="Times New Roman" w:eastAsia="Times New Roman" w:hAnsi="Times New Roman" w:cs="Times New Roman"/>
          <w:color w:val="auto"/>
          <w:sz w:val="24"/>
          <w:szCs w:val="24"/>
        </w:rPr>
        <w:t>nte</w:t>
      </w:r>
      <w:r w:rsidRPr="00BD114A">
        <w:rPr>
          <w:rFonts w:ascii="Times New Roman" w:eastAsia="Times New Roman" w:hAnsi="Times New Roman" w:cs="Times New Roman"/>
          <w:color w:val="auto"/>
          <w:sz w:val="24"/>
          <w:szCs w:val="24"/>
        </w:rPr>
        <w:t xml:space="preserve">. </w:t>
      </w:r>
      <w:r w:rsidR="00363838" w:rsidRPr="00BD114A">
        <w:rPr>
          <w:rFonts w:ascii="Times New Roman" w:eastAsia="Times New Roman" w:hAnsi="Times New Roman" w:cs="Times New Roman"/>
          <w:color w:val="auto"/>
          <w:sz w:val="24"/>
          <w:szCs w:val="24"/>
        </w:rPr>
        <w:t xml:space="preserve">Questa scelta mira a riportare la gestione della storia e dell’arte dei siti a una struttura interna specializzata, capace </w:t>
      </w:r>
      <w:r w:rsidR="00363838" w:rsidRPr="00BD114A">
        <w:rPr>
          <w:rFonts w:ascii="Times New Roman" w:eastAsia="Times New Roman" w:hAnsi="Times New Roman" w:cs="Times New Roman"/>
          <w:color w:val="auto"/>
          <w:sz w:val="24"/>
          <w:szCs w:val="24"/>
        </w:rPr>
        <w:lastRenderedPageBreak/>
        <w:t xml:space="preserve">di mantenere rapporti costanti con le comunità locali e di consolidare collaborazioni con istituzioni museali (tra cui </w:t>
      </w:r>
      <w:r w:rsidR="00433B51" w:rsidRPr="00BD114A">
        <w:rPr>
          <w:rFonts w:ascii="Times New Roman" w:eastAsia="Times New Roman" w:hAnsi="Times New Roman" w:cs="Times New Roman"/>
          <w:color w:val="auto"/>
          <w:sz w:val="24"/>
          <w:szCs w:val="24"/>
        </w:rPr>
        <w:t xml:space="preserve">la </w:t>
      </w:r>
      <w:r w:rsidR="00363838" w:rsidRPr="00BD114A">
        <w:rPr>
          <w:rFonts w:ascii="Times New Roman" w:eastAsia="Times New Roman" w:hAnsi="Times New Roman" w:cs="Times New Roman"/>
          <w:color w:val="auto"/>
          <w:sz w:val="24"/>
          <w:szCs w:val="24"/>
        </w:rPr>
        <w:t xml:space="preserve">Pinacoteca di Varallo, </w:t>
      </w:r>
      <w:r w:rsidR="00433B51" w:rsidRPr="00BD114A">
        <w:rPr>
          <w:rFonts w:ascii="Times New Roman" w:eastAsia="Times New Roman" w:hAnsi="Times New Roman" w:cs="Times New Roman"/>
          <w:color w:val="auto"/>
          <w:sz w:val="24"/>
          <w:szCs w:val="24"/>
        </w:rPr>
        <w:t xml:space="preserve">i </w:t>
      </w:r>
      <w:r w:rsidR="00363838" w:rsidRPr="00BD114A">
        <w:rPr>
          <w:rFonts w:ascii="Times New Roman" w:eastAsia="Times New Roman" w:hAnsi="Times New Roman" w:cs="Times New Roman"/>
          <w:color w:val="auto"/>
          <w:sz w:val="24"/>
          <w:szCs w:val="24"/>
        </w:rPr>
        <w:t xml:space="preserve">Musei Civici di Domodossola, </w:t>
      </w:r>
      <w:r w:rsidR="00433B51" w:rsidRPr="00BD114A">
        <w:rPr>
          <w:rFonts w:ascii="Times New Roman" w:eastAsia="Times New Roman" w:hAnsi="Times New Roman" w:cs="Times New Roman"/>
          <w:color w:val="auto"/>
          <w:sz w:val="24"/>
          <w:szCs w:val="24"/>
        </w:rPr>
        <w:t>l’</w:t>
      </w:r>
      <w:r w:rsidR="00363838" w:rsidRPr="00BD114A">
        <w:rPr>
          <w:rFonts w:ascii="Times New Roman" w:eastAsia="Times New Roman" w:hAnsi="Times New Roman" w:cs="Times New Roman"/>
          <w:color w:val="auto"/>
          <w:sz w:val="24"/>
          <w:szCs w:val="24"/>
        </w:rPr>
        <w:t>Ecomuseo del Lago d’Orta). Tale strategia ha permesso di promuovere progetti congiunti e di posizionare l’ente come interlocutore privilegiato per la promozione turistica sostenibile, culturale e la realizzazione di eventi tematici, come i cammini di Oropa, San Carlo, San Bernardo, il Gran Tour del Lago d’Orta e i futuri cammini del Monferrato e Crea-Vezzolano-Superga, nonché il Festival “Sacre Selve”.</w:t>
      </w:r>
    </w:p>
    <w:p w14:paraId="3514536B" w14:textId="77777777" w:rsidR="00927263" w:rsidRPr="00BD114A" w:rsidRDefault="00FE4F36"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Alcune delle iniziative concrete e significative sviluppate per tradurre questa strategia in interventi operativi sono state:</w:t>
      </w:r>
    </w:p>
    <w:p w14:paraId="67D103A4" w14:textId="2A1F869A" w:rsidR="00363838" w:rsidRPr="00BD114A" w:rsidRDefault="00363838" w:rsidP="008B016A">
      <w:pPr>
        <w:pStyle w:val="Prrafodelista"/>
        <w:numPr>
          <w:ilvl w:val="0"/>
          <w:numId w:val="10"/>
        </w:numPr>
        <w:spacing w:after="120" w:line="240" w:lineRule="auto"/>
        <w:ind w:left="851" w:hanging="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L’introduzione di </w:t>
      </w:r>
      <w:r w:rsidR="00FE4F36" w:rsidRPr="00BD114A">
        <w:rPr>
          <w:rFonts w:ascii="Times New Roman" w:eastAsia="Times New Roman" w:hAnsi="Times New Roman" w:cs="Times New Roman"/>
          <w:color w:val="auto"/>
          <w:sz w:val="24"/>
          <w:szCs w:val="24"/>
        </w:rPr>
        <w:t>figure professionali</w:t>
      </w:r>
      <w:r w:rsidRPr="00BD114A">
        <w:rPr>
          <w:rFonts w:ascii="Times New Roman" w:eastAsia="Times New Roman" w:hAnsi="Times New Roman" w:cs="Times New Roman"/>
          <w:color w:val="auto"/>
          <w:sz w:val="24"/>
          <w:szCs w:val="24"/>
        </w:rPr>
        <w:t xml:space="preserve"> format</w:t>
      </w:r>
      <w:r w:rsidR="00FE4F36" w:rsidRPr="00BD114A">
        <w:rPr>
          <w:rFonts w:ascii="Times New Roman" w:eastAsia="Times New Roman" w:hAnsi="Times New Roman" w:cs="Times New Roman"/>
          <w:color w:val="auto"/>
          <w:sz w:val="24"/>
          <w:szCs w:val="24"/>
        </w:rPr>
        <w:t>e</w:t>
      </w:r>
      <w:r w:rsidRPr="00BD114A">
        <w:rPr>
          <w:rFonts w:ascii="Times New Roman" w:eastAsia="Times New Roman" w:hAnsi="Times New Roman" w:cs="Times New Roman"/>
          <w:color w:val="auto"/>
          <w:sz w:val="24"/>
          <w:szCs w:val="24"/>
        </w:rPr>
        <w:t xml:space="preserve">, anche multilingue, nei punti di accoglienza di Orta e Varallo, e l’impiego di guide locali presso il Calvario di Domodossola, </w:t>
      </w:r>
      <w:r w:rsidR="00960585" w:rsidRPr="00BD114A">
        <w:rPr>
          <w:rFonts w:ascii="Times New Roman" w:eastAsia="Times New Roman" w:hAnsi="Times New Roman" w:cs="Times New Roman"/>
          <w:color w:val="auto"/>
          <w:sz w:val="24"/>
          <w:szCs w:val="24"/>
        </w:rPr>
        <w:t xml:space="preserve">che </w:t>
      </w:r>
      <w:r w:rsidRPr="00BD114A">
        <w:rPr>
          <w:rFonts w:ascii="Times New Roman" w:eastAsia="Times New Roman" w:hAnsi="Times New Roman" w:cs="Times New Roman"/>
          <w:color w:val="auto"/>
          <w:sz w:val="24"/>
          <w:szCs w:val="24"/>
        </w:rPr>
        <w:t>ha</w:t>
      </w:r>
      <w:r w:rsidR="00960585" w:rsidRPr="00BD114A">
        <w:rPr>
          <w:rFonts w:ascii="Times New Roman" w:eastAsia="Times New Roman" w:hAnsi="Times New Roman" w:cs="Times New Roman"/>
          <w:color w:val="auto"/>
          <w:sz w:val="24"/>
          <w:szCs w:val="24"/>
        </w:rPr>
        <w:t>nno</w:t>
      </w:r>
      <w:r w:rsidRPr="00BD114A">
        <w:rPr>
          <w:rFonts w:ascii="Times New Roman" w:eastAsia="Times New Roman" w:hAnsi="Times New Roman" w:cs="Times New Roman"/>
          <w:color w:val="auto"/>
          <w:sz w:val="24"/>
          <w:szCs w:val="24"/>
        </w:rPr>
        <w:t xml:space="preserve"> migliorato significativamente l’esperienza dei visitatori, consentendo una gestione più efficace dei flussi turistici.</w:t>
      </w:r>
    </w:p>
    <w:p w14:paraId="58858743" w14:textId="6B9CB10D" w:rsidR="00FE4F36" w:rsidRPr="00BD114A" w:rsidRDefault="00960585" w:rsidP="008B016A">
      <w:pPr>
        <w:pStyle w:val="Prrafodelista"/>
        <w:numPr>
          <w:ilvl w:val="0"/>
          <w:numId w:val="10"/>
        </w:numPr>
        <w:spacing w:after="120" w:line="240" w:lineRule="auto"/>
        <w:ind w:left="851" w:hanging="425"/>
        <w:jc w:val="both"/>
        <w:rPr>
          <w:color w:val="auto"/>
        </w:rPr>
      </w:pPr>
      <w:r w:rsidRPr="00BD114A">
        <w:rPr>
          <w:rFonts w:ascii="Times New Roman" w:eastAsia="Times New Roman" w:hAnsi="Times New Roman" w:cs="Times New Roman"/>
          <w:color w:val="auto"/>
          <w:sz w:val="24"/>
          <w:szCs w:val="24"/>
        </w:rPr>
        <w:t>L’i</w:t>
      </w:r>
      <w:r w:rsidR="00363838" w:rsidRPr="00BD114A">
        <w:rPr>
          <w:rFonts w:ascii="Times New Roman" w:eastAsia="Times New Roman" w:hAnsi="Times New Roman" w:cs="Times New Roman"/>
          <w:color w:val="auto"/>
          <w:sz w:val="24"/>
          <w:szCs w:val="24"/>
        </w:rPr>
        <w:t>ntrod</w:t>
      </w:r>
      <w:r w:rsidR="00927263" w:rsidRPr="00BD114A">
        <w:rPr>
          <w:rFonts w:ascii="Times New Roman" w:eastAsia="Times New Roman" w:hAnsi="Times New Roman" w:cs="Times New Roman"/>
          <w:color w:val="auto"/>
          <w:sz w:val="24"/>
          <w:szCs w:val="24"/>
        </w:rPr>
        <w:t xml:space="preserve">uzione di </w:t>
      </w:r>
      <w:r w:rsidR="00363838" w:rsidRPr="00BD114A">
        <w:rPr>
          <w:rFonts w:ascii="Times New Roman" w:eastAsia="Times New Roman" w:hAnsi="Times New Roman" w:cs="Times New Roman"/>
          <w:color w:val="auto"/>
          <w:sz w:val="24"/>
          <w:szCs w:val="24"/>
        </w:rPr>
        <w:t>servizi a pagamento rivolti a</w:t>
      </w:r>
      <w:r w:rsidRPr="00BD114A">
        <w:rPr>
          <w:rFonts w:ascii="Times New Roman" w:eastAsia="Times New Roman" w:hAnsi="Times New Roman" w:cs="Times New Roman"/>
          <w:color w:val="auto"/>
          <w:sz w:val="24"/>
          <w:szCs w:val="24"/>
        </w:rPr>
        <w:t>i</w:t>
      </w:r>
      <w:r w:rsidR="00363838" w:rsidRPr="00BD114A">
        <w:rPr>
          <w:rFonts w:ascii="Times New Roman" w:eastAsia="Times New Roman" w:hAnsi="Times New Roman" w:cs="Times New Roman"/>
          <w:color w:val="auto"/>
          <w:sz w:val="24"/>
          <w:szCs w:val="24"/>
        </w:rPr>
        <w:t xml:space="preserve"> visitatori individuali e </w:t>
      </w:r>
      <w:r w:rsidRPr="00BD114A">
        <w:rPr>
          <w:rFonts w:ascii="Times New Roman" w:eastAsia="Times New Roman" w:hAnsi="Times New Roman" w:cs="Times New Roman"/>
          <w:color w:val="auto"/>
          <w:sz w:val="24"/>
          <w:szCs w:val="24"/>
        </w:rPr>
        <w:t xml:space="preserve">alle </w:t>
      </w:r>
      <w:r w:rsidR="00363838" w:rsidRPr="00BD114A">
        <w:rPr>
          <w:rFonts w:ascii="Times New Roman" w:eastAsia="Times New Roman" w:hAnsi="Times New Roman" w:cs="Times New Roman"/>
          <w:color w:val="auto"/>
          <w:sz w:val="24"/>
          <w:szCs w:val="24"/>
        </w:rPr>
        <w:t>scuole, senza alterare la dimensione spirituale dei Sacri Monti</w:t>
      </w:r>
      <w:r w:rsidR="00927263" w:rsidRPr="00BD114A">
        <w:rPr>
          <w:rFonts w:ascii="Times New Roman" w:eastAsia="Times New Roman" w:hAnsi="Times New Roman" w:cs="Times New Roman"/>
          <w:color w:val="auto"/>
          <w:sz w:val="24"/>
          <w:szCs w:val="24"/>
        </w:rPr>
        <w:t xml:space="preserve"> (il percorso devozionale è rimasto a libero accesso). </w:t>
      </w:r>
      <w:r w:rsidR="00363838" w:rsidRPr="00BD114A">
        <w:rPr>
          <w:rFonts w:ascii="Times New Roman" w:eastAsia="Times New Roman" w:hAnsi="Times New Roman" w:cs="Times New Roman"/>
          <w:color w:val="auto"/>
          <w:sz w:val="24"/>
          <w:szCs w:val="24"/>
        </w:rPr>
        <w:t>Tra questi rientrano progetti didattici con istituti scolastici, visite guidate a pagamento, vendita di pubblicazioni, concessione di spazi per eventi compatibili con le norme dei proprietari</w:t>
      </w:r>
      <w:r w:rsidR="00FE4F36" w:rsidRPr="00BD114A">
        <w:rPr>
          <w:rFonts w:ascii="Times New Roman" w:eastAsia="Times New Roman" w:hAnsi="Times New Roman" w:cs="Times New Roman"/>
          <w:color w:val="auto"/>
          <w:sz w:val="24"/>
          <w:szCs w:val="24"/>
        </w:rPr>
        <w:t>.</w:t>
      </w:r>
    </w:p>
    <w:p w14:paraId="15A309A2" w14:textId="77777777" w:rsidR="00927263" w:rsidRPr="00BD114A" w:rsidRDefault="00FE4F36" w:rsidP="008B016A">
      <w:pPr>
        <w:pStyle w:val="Prrafodelista"/>
        <w:numPr>
          <w:ilvl w:val="0"/>
          <w:numId w:val="10"/>
        </w:numPr>
        <w:spacing w:after="120" w:line="240" w:lineRule="auto"/>
        <w:ind w:left="851" w:hanging="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La realizzazione del </w:t>
      </w:r>
      <w:r w:rsidR="00927263" w:rsidRPr="00BD114A">
        <w:rPr>
          <w:rFonts w:ascii="Times New Roman" w:eastAsia="Times New Roman" w:hAnsi="Times New Roman" w:cs="Times New Roman"/>
          <w:color w:val="auto"/>
          <w:sz w:val="24"/>
          <w:szCs w:val="24"/>
        </w:rPr>
        <w:t>progetto “Per una nuova fruizione del Sacro Monte di Orta: restauro, valorizzazione e tutela del patrimonio monumentale, ambientale e paesaggistico”, finanziato dal bando “Emblematici Provinciali 2022” della Fondazione Cariplo. L’iniziativa ha combinato interventi di restauro conservativo delle venti cappelle e delle statue policrome con azioni di promozione culturale, miglioramento della fruibilità dei percorsi e coinvolgimento delle comunità locali.</w:t>
      </w:r>
    </w:p>
    <w:p w14:paraId="2AB53BBB" w14:textId="77777777" w:rsidR="00FE4F36" w:rsidRPr="00BD114A" w:rsidRDefault="00FE4F36" w:rsidP="008B016A">
      <w:pPr>
        <w:pStyle w:val="Prrafodelista"/>
        <w:numPr>
          <w:ilvl w:val="0"/>
          <w:numId w:val="10"/>
        </w:numPr>
        <w:spacing w:after="120" w:line="240" w:lineRule="auto"/>
        <w:ind w:left="851" w:hanging="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L’attuazione del progetto “Per una nuova fruizione del Sacro Monte di Orta” rappresenta un modello di gestione integrata, in cui tutela del patrimonio, valorizzazione paesaggistica e sviluppo turistico sostenibile convergono in un approccio coordinato e partecipativo. Gli interventi hanno combinato il restauro di cappelle e strutture, la riqualificazione dei punti di accoglienza, la promozione culturale tramite laboratori, mostre e visite guidate, e il coinvolgimento della comunità locale attraverso il progetto “Territori in Luce”, ampliando la fruibilità del sito anche in orario serale grazie all’illuminazione delle Cappelle I e II</w:t>
      </w:r>
      <w:r w:rsidR="00AB7628" w:rsidRPr="00BD114A">
        <w:rPr>
          <w:rFonts w:ascii="Times New Roman" w:eastAsia="Times New Roman" w:hAnsi="Times New Roman" w:cs="Times New Roman"/>
          <w:color w:val="auto"/>
          <w:sz w:val="24"/>
          <w:szCs w:val="24"/>
        </w:rPr>
        <w:t xml:space="preserve"> (Sacri Monti, 2025).</w:t>
      </w:r>
    </w:p>
    <w:p w14:paraId="05C15166" w14:textId="1213BFA7" w:rsidR="00FE4F36" w:rsidRPr="00BD114A" w:rsidRDefault="00FE4F36" w:rsidP="008B016A">
      <w:pPr>
        <w:pStyle w:val="Prrafodelista"/>
        <w:numPr>
          <w:ilvl w:val="0"/>
          <w:numId w:val="10"/>
        </w:numPr>
        <w:spacing w:after="120" w:line="240" w:lineRule="auto"/>
        <w:ind w:left="851" w:hanging="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La partecipazione al </w:t>
      </w:r>
      <w:r w:rsidR="00363838" w:rsidRPr="00BD114A">
        <w:rPr>
          <w:rFonts w:ascii="Times New Roman" w:eastAsia="Times New Roman" w:hAnsi="Times New Roman" w:cs="Times New Roman"/>
          <w:color w:val="auto"/>
          <w:sz w:val="24"/>
          <w:szCs w:val="24"/>
        </w:rPr>
        <w:t xml:space="preserve">progetto Interreg “MAIN10ANCE”, </w:t>
      </w:r>
      <w:r w:rsidRPr="00BD114A">
        <w:rPr>
          <w:rFonts w:ascii="Times New Roman" w:eastAsia="Times New Roman" w:hAnsi="Times New Roman" w:cs="Times New Roman"/>
          <w:color w:val="auto"/>
          <w:sz w:val="24"/>
          <w:szCs w:val="24"/>
        </w:rPr>
        <w:t xml:space="preserve">con lo scopo di </w:t>
      </w:r>
      <w:r w:rsidR="00363838" w:rsidRPr="00BD114A">
        <w:rPr>
          <w:rFonts w:ascii="Times New Roman" w:eastAsia="Times New Roman" w:hAnsi="Times New Roman" w:cs="Times New Roman"/>
          <w:color w:val="auto"/>
          <w:sz w:val="24"/>
          <w:szCs w:val="24"/>
        </w:rPr>
        <w:t xml:space="preserve">valorizzare il sapere costruttivo tradizionale e l’impiego di materiali e maestranze locali, ha coinvolto partner di rilievo quali </w:t>
      </w:r>
      <w:r w:rsidR="00960585" w:rsidRPr="00BD114A">
        <w:rPr>
          <w:rFonts w:ascii="Times New Roman" w:eastAsia="Times New Roman" w:hAnsi="Times New Roman" w:cs="Times New Roman"/>
          <w:color w:val="auto"/>
          <w:sz w:val="24"/>
          <w:szCs w:val="24"/>
        </w:rPr>
        <w:t>l’</w:t>
      </w:r>
      <w:r w:rsidR="00363838" w:rsidRPr="00BD114A">
        <w:rPr>
          <w:rFonts w:ascii="Times New Roman" w:eastAsia="Times New Roman" w:hAnsi="Times New Roman" w:cs="Times New Roman"/>
          <w:color w:val="auto"/>
          <w:sz w:val="24"/>
          <w:szCs w:val="24"/>
        </w:rPr>
        <w:t xml:space="preserve">Università del Piemonte Orientale, </w:t>
      </w:r>
      <w:r w:rsidR="00960585" w:rsidRPr="00BD114A">
        <w:rPr>
          <w:rFonts w:ascii="Times New Roman" w:eastAsia="Times New Roman" w:hAnsi="Times New Roman" w:cs="Times New Roman"/>
          <w:color w:val="auto"/>
          <w:sz w:val="24"/>
          <w:szCs w:val="24"/>
        </w:rPr>
        <w:t xml:space="preserve">il </w:t>
      </w:r>
      <w:r w:rsidR="00363838" w:rsidRPr="00BD114A">
        <w:rPr>
          <w:rFonts w:ascii="Times New Roman" w:eastAsia="Times New Roman" w:hAnsi="Times New Roman" w:cs="Times New Roman"/>
          <w:color w:val="auto"/>
          <w:sz w:val="24"/>
          <w:szCs w:val="24"/>
        </w:rPr>
        <w:t xml:space="preserve">Politecnico di Torino, </w:t>
      </w:r>
      <w:r w:rsidR="00960585" w:rsidRPr="00BD114A">
        <w:rPr>
          <w:rFonts w:ascii="Times New Roman" w:eastAsia="Times New Roman" w:hAnsi="Times New Roman" w:cs="Times New Roman"/>
          <w:color w:val="auto"/>
          <w:sz w:val="24"/>
          <w:szCs w:val="24"/>
        </w:rPr>
        <w:t xml:space="preserve">la </w:t>
      </w:r>
      <w:r w:rsidR="00363838" w:rsidRPr="00BD114A">
        <w:rPr>
          <w:rFonts w:ascii="Times New Roman" w:eastAsia="Times New Roman" w:hAnsi="Times New Roman" w:cs="Times New Roman"/>
          <w:color w:val="auto"/>
          <w:sz w:val="24"/>
          <w:szCs w:val="24"/>
        </w:rPr>
        <w:t>Supsi</w:t>
      </w:r>
      <w:r w:rsidR="00960585" w:rsidRPr="00BD114A">
        <w:rPr>
          <w:rFonts w:ascii="Times New Roman" w:eastAsia="Times New Roman" w:hAnsi="Times New Roman" w:cs="Times New Roman"/>
          <w:color w:val="auto"/>
          <w:sz w:val="24"/>
          <w:szCs w:val="24"/>
        </w:rPr>
        <w:t xml:space="preserve"> – Scuola universitaria professionale della Svizzera italiana</w:t>
      </w:r>
      <w:r w:rsidR="00363838" w:rsidRPr="00BD114A">
        <w:rPr>
          <w:rFonts w:ascii="Times New Roman" w:eastAsia="Times New Roman" w:hAnsi="Times New Roman" w:cs="Times New Roman"/>
          <w:color w:val="auto"/>
          <w:sz w:val="24"/>
          <w:szCs w:val="24"/>
        </w:rPr>
        <w:t xml:space="preserve">, </w:t>
      </w:r>
      <w:r w:rsidR="00960585" w:rsidRPr="00BD114A">
        <w:rPr>
          <w:rFonts w:ascii="Times New Roman" w:eastAsia="Times New Roman" w:hAnsi="Times New Roman" w:cs="Times New Roman"/>
          <w:color w:val="auto"/>
          <w:sz w:val="24"/>
          <w:szCs w:val="24"/>
        </w:rPr>
        <w:t xml:space="preserve">il </w:t>
      </w:r>
      <w:r w:rsidR="00363838" w:rsidRPr="00BD114A">
        <w:rPr>
          <w:rFonts w:ascii="Times New Roman" w:eastAsia="Times New Roman" w:hAnsi="Times New Roman" w:cs="Times New Roman"/>
          <w:color w:val="auto"/>
          <w:sz w:val="24"/>
          <w:szCs w:val="24"/>
        </w:rPr>
        <w:t xml:space="preserve">Centro per la Conservazione e il Restauro dei Beni Culturali “La Venaria Reale” e </w:t>
      </w:r>
      <w:r w:rsidR="00960585" w:rsidRPr="00BD114A">
        <w:rPr>
          <w:rFonts w:ascii="Times New Roman" w:eastAsia="Times New Roman" w:hAnsi="Times New Roman" w:cs="Times New Roman"/>
          <w:color w:val="auto"/>
          <w:sz w:val="24"/>
          <w:szCs w:val="24"/>
        </w:rPr>
        <w:t>l’</w:t>
      </w:r>
      <w:r w:rsidR="00363838" w:rsidRPr="00BD114A">
        <w:rPr>
          <w:rFonts w:ascii="Times New Roman" w:eastAsia="Times New Roman" w:hAnsi="Times New Roman" w:cs="Times New Roman"/>
          <w:color w:val="auto"/>
          <w:sz w:val="24"/>
          <w:szCs w:val="24"/>
        </w:rPr>
        <w:t>Ufficio dei beni culturali di Bellinzona, rafforzando il ruolo dei Sacri Monti come poli di innovazione nella gestione del patrimonio culturale</w:t>
      </w:r>
      <w:r w:rsidR="003362C7" w:rsidRPr="00BD114A">
        <w:rPr>
          <w:rFonts w:ascii="Times New Roman" w:eastAsia="Times New Roman" w:hAnsi="Times New Roman" w:cs="Times New Roman"/>
          <w:color w:val="auto"/>
          <w:sz w:val="24"/>
          <w:szCs w:val="24"/>
        </w:rPr>
        <w:t xml:space="preserve"> (Interreg Italia-Svizzera, 2025).</w:t>
      </w:r>
    </w:p>
    <w:p w14:paraId="645C6F13" w14:textId="62AE783E" w:rsidR="00FE4F36" w:rsidRDefault="00FE4F36"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Oltre ai progetti sopradescritti, nel triennio 2022-2024, l’EGSM ha realizzato numerosi interventi di conservazione e valorizzazione grazie a fondi europei e al sostegno di fondazioni bancarie</w:t>
      </w:r>
      <w:r w:rsidR="00BD114A" w:rsidRPr="00BD114A">
        <w:rPr>
          <w:rFonts w:ascii="Times New Roman" w:eastAsia="Times New Roman" w:hAnsi="Times New Roman" w:cs="Times New Roman"/>
          <w:color w:val="auto"/>
          <w:sz w:val="24"/>
          <w:szCs w:val="24"/>
        </w:rPr>
        <w:t>.</w:t>
      </w:r>
    </w:p>
    <w:p w14:paraId="491E0E82" w14:textId="77777777" w:rsidR="000D22E8" w:rsidRDefault="00FE4F36" w:rsidP="008B016A">
      <w:pPr>
        <w:spacing w:after="120" w:line="240" w:lineRule="auto"/>
        <w:ind w:firstLine="425"/>
        <w:jc w:val="both"/>
        <w:rPr>
          <w:rFonts w:ascii="Times New Roman" w:eastAsia="Times New Roman" w:hAnsi="Times New Roman" w:cs="Times New Roman"/>
          <w:color w:val="auto"/>
          <w:sz w:val="24"/>
          <w:szCs w:val="24"/>
        </w:rPr>
      </w:pPr>
      <w:r w:rsidRPr="00FE4F36">
        <w:rPr>
          <w:rFonts w:ascii="Times New Roman" w:eastAsia="Times New Roman" w:hAnsi="Times New Roman" w:cs="Times New Roman"/>
          <w:color w:val="auto"/>
          <w:sz w:val="24"/>
          <w:szCs w:val="24"/>
        </w:rPr>
        <w:t>Le esperienze descritte in precedenza evidenziano come l’unificazione della gestione dei complessi sotto l’E</w:t>
      </w:r>
      <w:r w:rsidR="00E76ACC">
        <w:rPr>
          <w:rFonts w:ascii="Times New Roman" w:eastAsia="Times New Roman" w:hAnsi="Times New Roman" w:cs="Times New Roman"/>
          <w:color w:val="auto"/>
          <w:sz w:val="24"/>
          <w:szCs w:val="24"/>
        </w:rPr>
        <w:t xml:space="preserve">nte di </w:t>
      </w:r>
      <w:r w:rsidRPr="00FE4F36">
        <w:rPr>
          <w:rFonts w:ascii="Times New Roman" w:eastAsia="Times New Roman" w:hAnsi="Times New Roman" w:cs="Times New Roman"/>
          <w:color w:val="auto"/>
          <w:sz w:val="24"/>
          <w:szCs w:val="24"/>
        </w:rPr>
        <w:t>G</w:t>
      </w:r>
      <w:r w:rsidR="00E76ACC">
        <w:rPr>
          <w:rFonts w:ascii="Times New Roman" w:eastAsia="Times New Roman" w:hAnsi="Times New Roman" w:cs="Times New Roman"/>
          <w:color w:val="auto"/>
          <w:sz w:val="24"/>
          <w:szCs w:val="24"/>
        </w:rPr>
        <w:t xml:space="preserve">estione dei </w:t>
      </w:r>
      <w:r w:rsidRPr="00FE4F36">
        <w:rPr>
          <w:rFonts w:ascii="Times New Roman" w:eastAsia="Times New Roman" w:hAnsi="Times New Roman" w:cs="Times New Roman"/>
          <w:color w:val="auto"/>
          <w:sz w:val="24"/>
          <w:szCs w:val="24"/>
        </w:rPr>
        <w:t>S</w:t>
      </w:r>
      <w:r w:rsidR="00E76ACC">
        <w:rPr>
          <w:rFonts w:ascii="Times New Roman" w:eastAsia="Times New Roman" w:hAnsi="Times New Roman" w:cs="Times New Roman"/>
          <w:color w:val="auto"/>
          <w:sz w:val="24"/>
          <w:szCs w:val="24"/>
        </w:rPr>
        <w:t xml:space="preserve">acri </w:t>
      </w:r>
      <w:r w:rsidRPr="00FE4F36">
        <w:rPr>
          <w:rFonts w:ascii="Times New Roman" w:eastAsia="Times New Roman" w:hAnsi="Times New Roman" w:cs="Times New Roman"/>
          <w:color w:val="auto"/>
          <w:sz w:val="24"/>
          <w:szCs w:val="24"/>
        </w:rPr>
        <w:t>M</w:t>
      </w:r>
      <w:r w:rsidR="00E76ACC">
        <w:rPr>
          <w:rFonts w:ascii="Times New Roman" w:eastAsia="Times New Roman" w:hAnsi="Times New Roman" w:cs="Times New Roman"/>
          <w:color w:val="auto"/>
          <w:sz w:val="24"/>
          <w:szCs w:val="24"/>
        </w:rPr>
        <w:t>onti</w:t>
      </w:r>
      <w:r w:rsidRPr="00FE4F36">
        <w:rPr>
          <w:rFonts w:ascii="Times New Roman" w:eastAsia="Times New Roman" w:hAnsi="Times New Roman" w:cs="Times New Roman"/>
          <w:color w:val="auto"/>
          <w:sz w:val="24"/>
          <w:szCs w:val="24"/>
        </w:rPr>
        <w:t xml:space="preserve">, pur comportando una riduzione del contatto diretto con le comunità locali, abbia determinato una maggiore efficienza nell’allocazione delle risorse, facilitato l’accesso a nuove fonti di finanziamento e favorito lo sviluppo di una strategia </w:t>
      </w:r>
      <w:r w:rsidRPr="00FE4F36">
        <w:rPr>
          <w:rFonts w:ascii="Times New Roman" w:eastAsia="Times New Roman" w:hAnsi="Times New Roman" w:cs="Times New Roman"/>
          <w:color w:val="auto"/>
          <w:sz w:val="24"/>
          <w:szCs w:val="24"/>
        </w:rPr>
        <w:lastRenderedPageBreak/>
        <w:t>di valorizzazione integrata. Tale approccio intende inserire i Sacri Monti all’interno del tessuto turistico locale, garantendo esperienze di visita immersive e distintive, e promuovendo contestualmente il patrimonio culturale e naturale in un contesto di rilevanza nazionale e internazionale, conciliando le esigenze di tutela con quelle della fruizione pubblica.</w:t>
      </w:r>
    </w:p>
    <w:p w14:paraId="4682ABB4" w14:textId="77777777" w:rsidR="00B422E3" w:rsidRPr="00E76ACC" w:rsidRDefault="00B422E3" w:rsidP="00E76ACC">
      <w:pPr>
        <w:spacing w:after="120" w:line="240" w:lineRule="auto"/>
        <w:ind w:firstLine="284"/>
        <w:jc w:val="both"/>
        <w:rPr>
          <w:rFonts w:ascii="Times New Roman" w:eastAsia="Times New Roman" w:hAnsi="Times New Roman" w:cs="Times New Roman"/>
          <w:color w:val="auto"/>
          <w:sz w:val="24"/>
          <w:szCs w:val="24"/>
        </w:rPr>
      </w:pPr>
    </w:p>
    <w:p w14:paraId="4D94BA43" w14:textId="77777777" w:rsidR="000D22E8" w:rsidRPr="00960585" w:rsidRDefault="000D22E8" w:rsidP="008B016A">
      <w:pPr>
        <w:pStyle w:val="Prrafodelista"/>
        <w:numPr>
          <w:ilvl w:val="0"/>
          <w:numId w:val="2"/>
        </w:numPr>
        <w:autoSpaceDE w:val="0"/>
        <w:autoSpaceDN w:val="0"/>
        <w:adjustRightInd w:val="0"/>
        <w:spacing w:after="120" w:line="240" w:lineRule="auto"/>
        <w:ind w:left="284" w:hanging="284"/>
        <w:rPr>
          <w:rFonts w:ascii="Times New Roman" w:hAnsi="Times New Roman" w:cs="Times New Roman"/>
          <w:b/>
          <w:sz w:val="24"/>
          <w:szCs w:val="24"/>
        </w:rPr>
      </w:pPr>
      <w:r w:rsidRPr="00960585">
        <w:rPr>
          <w:rFonts w:ascii="Times New Roman" w:hAnsi="Times New Roman" w:cs="Times New Roman"/>
          <w:b/>
          <w:sz w:val="24"/>
          <w:szCs w:val="24"/>
        </w:rPr>
        <w:t>Conclusioni</w:t>
      </w:r>
    </w:p>
    <w:p w14:paraId="1184A9BD" w14:textId="1E01FF45" w:rsidR="00851E35" w:rsidRPr="00BD114A" w:rsidRDefault="00851E35" w:rsidP="008B016A">
      <w:pPr>
        <w:autoSpaceDE w:val="0"/>
        <w:autoSpaceDN w:val="0"/>
        <w:adjustRightInd w:val="0"/>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I Sacri Monti del Piemonte, </w:t>
      </w:r>
      <w:r w:rsidR="00960585" w:rsidRPr="00BD114A">
        <w:rPr>
          <w:rFonts w:ascii="Times New Roman" w:eastAsia="Times New Roman" w:hAnsi="Times New Roman" w:cs="Times New Roman"/>
          <w:color w:val="auto"/>
          <w:sz w:val="24"/>
          <w:szCs w:val="24"/>
        </w:rPr>
        <w:t xml:space="preserve">inseriti nella Lista </w:t>
      </w:r>
      <w:r w:rsidRPr="00BD114A">
        <w:rPr>
          <w:rFonts w:ascii="Times New Roman" w:eastAsia="Times New Roman" w:hAnsi="Times New Roman" w:cs="Times New Roman"/>
          <w:color w:val="auto"/>
          <w:sz w:val="24"/>
          <w:szCs w:val="24"/>
        </w:rPr>
        <w:t>UNESCO, rappresentano luoghi in cui si intrecciano fede, cultura e identità territoriale, configurandosi come un esempio emblematico di ibridazione tra patrimonio religioso, artistico e naturale. Il loro sviluppo futuro dipende dalla capacità di affrontare le complesse sfide gestionali e di valorizzare le nuove dinamiche del turismo culturale e spirituale.</w:t>
      </w:r>
    </w:p>
    <w:p w14:paraId="297080DE" w14:textId="17A205D0" w:rsidR="00851E35" w:rsidRPr="00BD114A" w:rsidRDefault="00851E35" w:rsidP="008B016A">
      <w:pPr>
        <w:autoSpaceDE w:val="0"/>
        <w:autoSpaceDN w:val="0"/>
        <w:adjustRightInd w:val="0"/>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I Sacri Monti accolgono una pluralità di visitatori, che spaziano dal pellegrino devoto al turista culturale fino all’escursionista. Questa compresenza richiede un delicato bilanciamento tra la dimensione spirituale</w:t>
      </w:r>
      <w:r w:rsidR="00960585" w:rsidRPr="00BD114A">
        <w:rPr>
          <w:rFonts w:ascii="Times New Roman" w:eastAsia="Times New Roman" w:hAnsi="Times New Roman" w:cs="Times New Roman"/>
          <w:color w:val="auto"/>
          <w:sz w:val="24"/>
          <w:szCs w:val="24"/>
        </w:rPr>
        <w:t xml:space="preserve"> e quella turistica</w:t>
      </w:r>
      <w:r w:rsidRPr="00BD114A">
        <w:rPr>
          <w:rFonts w:ascii="Times New Roman" w:eastAsia="Times New Roman" w:hAnsi="Times New Roman" w:cs="Times New Roman"/>
          <w:color w:val="auto"/>
          <w:sz w:val="24"/>
          <w:szCs w:val="24"/>
        </w:rPr>
        <w:t xml:space="preserve">, garantendo il libero accesso ai percorsi devozionali e </w:t>
      </w:r>
      <w:r w:rsidR="00960585" w:rsidRPr="00BD114A">
        <w:rPr>
          <w:rFonts w:ascii="Times New Roman" w:eastAsia="Times New Roman" w:hAnsi="Times New Roman" w:cs="Times New Roman"/>
          <w:color w:val="auto"/>
          <w:sz w:val="24"/>
          <w:szCs w:val="24"/>
        </w:rPr>
        <w:t>al</w:t>
      </w:r>
      <w:r w:rsidRPr="00BD114A">
        <w:rPr>
          <w:rFonts w:ascii="Times New Roman" w:eastAsia="Times New Roman" w:hAnsi="Times New Roman" w:cs="Times New Roman"/>
          <w:color w:val="auto"/>
          <w:sz w:val="24"/>
          <w:szCs w:val="24"/>
        </w:rPr>
        <w:t>la fruizione</w:t>
      </w:r>
      <w:r w:rsidR="00960585" w:rsidRPr="00BD114A">
        <w:rPr>
          <w:rFonts w:ascii="Times New Roman" w:eastAsia="Times New Roman" w:hAnsi="Times New Roman" w:cs="Times New Roman"/>
          <w:color w:val="auto"/>
          <w:sz w:val="24"/>
          <w:szCs w:val="24"/>
        </w:rPr>
        <w:t xml:space="preserve"> dei beni culturali</w:t>
      </w:r>
      <w:r w:rsidRPr="00BD114A">
        <w:rPr>
          <w:rFonts w:ascii="Times New Roman" w:eastAsia="Times New Roman" w:hAnsi="Times New Roman" w:cs="Times New Roman"/>
          <w:color w:val="auto"/>
          <w:sz w:val="24"/>
          <w:szCs w:val="24"/>
        </w:rPr>
        <w:t>, sostenuta da servizi guidati e iniziative</w:t>
      </w:r>
      <w:r w:rsidR="00960585" w:rsidRPr="00BD114A">
        <w:rPr>
          <w:rFonts w:ascii="Times New Roman" w:eastAsia="Times New Roman" w:hAnsi="Times New Roman" w:cs="Times New Roman"/>
          <w:color w:val="auto"/>
          <w:sz w:val="24"/>
          <w:szCs w:val="24"/>
        </w:rPr>
        <w:t xml:space="preserve"> rivolte ai visitatori</w:t>
      </w:r>
      <w:r w:rsidRPr="00BD114A">
        <w:rPr>
          <w:rFonts w:ascii="Times New Roman" w:eastAsia="Times New Roman" w:hAnsi="Times New Roman" w:cs="Times New Roman"/>
          <w:color w:val="auto"/>
          <w:sz w:val="24"/>
          <w:szCs w:val="24"/>
        </w:rPr>
        <w:t>.</w:t>
      </w:r>
    </w:p>
    <w:p w14:paraId="5C0C89E1" w14:textId="77777777" w:rsidR="00851E35" w:rsidRPr="00BD114A" w:rsidRDefault="00851E35" w:rsidP="008B016A">
      <w:pPr>
        <w:autoSpaceDE w:val="0"/>
        <w:autoSpaceDN w:val="0"/>
        <w:adjustRightInd w:val="0"/>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Le principali criticità di gestione riguardano, da un lato, l’amministrazione poliedrica e, dall’altro, la distribuzione frammentata dei sette siti sul territorio regionale. La prima difficoltà deriva dalla pluralità di titolarità (diocesi, comuni, enti religiosi, privati), che impone un costante equilibrio tra gli interessi locali dei diversi proprietari e le normative di tutela imposte dalle Soprintendenze e dalle Diocesi.</w:t>
      </w:r>
    </w:p>
    <w:p w14:paraId="681276A5" w14:textId="77777777" w:rsidR="00851E35" w:rsidRPr="00BD114A" w:rsidRDefault="00851E35" w:rsidP="008B016A">
      <w:pPr>
        <w:autoSpaceDE w:val="0"/>
        <w:autoSpaceDN w:val="0"/>
        <w:adjustRightInd w:val="0"/>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La seconda criticità è di natura logistica e riguarda tanto la manutenzione ordinaria quanto l’attuazione di progetti di ampia scala, che richiedono un coordinamento efficace tra le diverse unità operative. Tuttavia, la gestione centralizzata ha permesso di conseguire una maggiore efficienza amministrativa, di ampliare la capacità di accesso ai finanziamenti (europei e provenienti da fondazioni private) e di definire una strategia di valorizzazione integrata. Quest’ultima si è concretizzata attraverso iniziative operative di rilievo, volte a tradurre gli indirizzi strategici in interventi tangibili di tutela, promozione e fruizione del patrimonio, rafforzando così il legame tra gestione, valorizzazione e sviluppo territoriale. </w:t>
      </w:r>
    </w:p>
    <w:p w14:paraId="6B8DC684" w14:textId="77777777" w:rsidR="006F7DB5" w:rsidRDefault="00851E35" w:rsidP="008B016A">
      <w:pPr>
        <w:autoSpaceDE w:val="0"/>
        <w:autoSpaceDN w:val="0"/>
        <w:adjustRightInd w:val="0"/>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In conclusione, l’esperienza dei Sacri Monti del Piemonte dimostra come una gestione unitaria e strategica, orientata alla valorizzazione del turismo culturale e spirituale, possa rappresentare la chiave per conciliare tutela, conservazione e sviluppo turistico, trasformando la complessità gestionale in una risorsa per la crescita sostenibile del territorio.</w:t>
      </w:r>
    </w:p>
    <w:p w14:paraId="2BA2A8D9" w14:textId="3802C97A" w:rsidR="006F7DB5" w:rsidRDefault="006F7DB5" w:rsidP="00BD114A">
      <w:pPr>
        <w:autoSpaceDE w:val="0"/>
        <w:autoSpaceDN w:val="0"/>
        <w:adjustRightInd w:val="0"/>
        <w:spacing w:after="120" w:line="240" w:lineRule="auto"/>
        <w:jc w:val="both"/>
        <w:rPr>
          <w:rFonts w:ascii="Times New Roman" w:eastAsia="Times New Roman" w:hAnsi="Times New Roman" w:cs="Times New Roman"/>
          <w:color w:val="auto"/>
          <w:sz w:val="24"/>
          <w:szCs w:val="24"/>
        </w:rPr>
      </w:pPr>
    </w:p>
    <w:p w14:paraId="5DF81B8B" w14:textId="0C6D892E" w:rsidR="006F7DB5" w:rsidRPr="008B016A" w:rsidRDefault="006F7DB5" w:rsidP="00BD114A">
      <w:pPr>
        <w:autoSpaceDE w:val="0"/>
        <w:autoSpaceDN w:val="0"/>
        <w:adjustRightInd w:val="0"/>
        <w:spacing w:after="120" w:line="240" w:lineRule="auto"/>
        <w:jc w:val="both"/>
        <w:rPr>
          <w:rFonts w:ascii="Times New Roman" w:eastAsia="Times New Roman" w:hAnsi="Times New Roman" w:cs="Times New Roman"/>
          <w:color w:val="auto"/>
        </w:rPr>
      </w:pPr>
      <w:r w:rsidRPr="008B016A">
        <w:rPr>
          <w:rFonts w:ascii="Times New Roman" w:eastAsiaTheme="minorHAnsi" w:hAnsi="Times New Roman" w:cs="Times New Roman"/>
          <w:bCs/>
          <w:color w:val="auto"/>
          <w:lang w:eastAsia="en-US"/>
        </w:rPr>
        <w:t xml:space="preserve">Il presente contributo è stato elaborato congiuntamente dai tre autori. La redazione dei paragrafi </w:t>
      </w:r>
      <w:r w:rsidR="00FB0DBC" w:rsidRPr="008B016A">
        <w:rPr>
          <w:rFonts w:ascii="Times New Roman" w:eastAsiaTheme="minorHAnsi" w:hAnsi="Times New Roman" w:cs="Times New Roman"/>
          <w:bCs/>
          <w:color w:val="auto"/>
          <w:lang w:eastAsia="en-US"/>
        </w:rPr>
        <w:t>1, 3 e 4</w:t>
      </w:r>
      <w:r w:rsidRPr="008B016A">
        <w:rPr>
          <w:rFonts w:ascii="Times New Roman" w:eastAsiaTheme="minorHAnsi" w:hAnsi="Times New Roman" w:cs="Times New Roman"/>
          <w:bCs/>
          <w:color w:val="auto"/>
          <w:lang w:eastAsia="en-US"/>
        </w:rPr>
        <w:t xml:space="preserve"> è da attribuire a</w:t>
      </w:r>
      <w:r w:rsidR="00FB0DBC" w:rsidRPr="008B016A">
        <w:rPr>
          <w:rFonts w:ascii="Times New Roman" w:eastAsiaTheme="minorHAnsi" w:hAnsi="Times New Roman" w:cs="Times New Roman"/>
          <w:bCs/>
          <w:color w:val="auto"/>
          <w:lang w:eastAsia="en-US"/>
        </w:rPr>
        <w:t xml:space="preserve"> Carla Ferrario</w:t>
      </w:r>
      <w:r w:rsidRPr="008B016A">
        <w:rPr>
          <w:rFonts w:ascii="Times New Roman" w:eastAsiaTheme="minorHAnsi" w:hAnsi="Times New Roman" w:cs="Times New Roman"/>
          <w:bCs/>
          <w:color w:val="auto"/>
          <w:lang w:eastAsia="en-US"/>
        </w:rPr>
        <w:t xml:space="preserve">, quella dei paragrafi </w:t>
      </w:r>
      <w:r w:rsidR="00FB0DBC" w:rsidRPr="008B016A">
        <w:rPr>
          <w:rFonts w:ascii="Times New Roman" w:eastAsiaTheme="minorHAnsi" w:hAnsi="Times New Roman" w:cs="Times New Roman"/>
          <w:bCs/>
          <w:color w:val="auto"/>
          <w:lang w:eastAsia="en-US"/>
        </w:rPr>
        <w:t>5,6 e 7</w:t>
      </w:r>
      <w:r w:rsidRPr="008B016A">
        <w:rPr>
          <w:rFonts w:ascii="Times New Roman" w:eastAsiaTheme="minorHAnsi" w:hAnsi="Times New Roman" w:cs="Times New Roman"/>
          <w:bCs/>
          <w:color w:val="auto"/>
          <w:lang w:eastAsia="en-US"/>
        </w:rPr>
        <w:t xml:space="preserve"> a</w:t>
      </w:r>
      <w:r w:rsidR="00FB0DBC" w:rsidRPr="008B016A">
        <w:rPr>
          <w:rFonts w:ascii="Times New Roman" w:eastAsiaTheme="minorHAnsi" w:hAnsi="Times New Roman" w:cs="Times New Roman"/>
          <w:bCs/>
          <w:color w:val="auto"/>
          <w:lang w:eastAsia="en-US"/>
        </w:rPr>
        <w:t xml:space="preserve"> Raffaella Afferni</w:t>
      </w:r>
      <w:r w:rsidRPr="008B016A">
        <w:rPr>
          <w:rFonts w:ascii="Times New Roman" w:eastAsiaTheme="minorHAnsi" w:hAnsi="Times New Roman" w:cs="Times New Roman"/>
          <w:bCs/>
          <w:color w:val="auto"/>
          <w:lang w:eastAsia="en-US"/>
        </w:rPr>
        <w:t xml:space="preserve">, mentre il paragrafo </w:t>
      </w:r>
      <w:r w:rsidR="00FB0DBC" w:rsidRPr="008B016A">
        <w:rPr>
          <w:rFonts w:ascii="Times New Roman" w:eastAsiaTheme="minorHAnsi" w:hAnsi="Times New Roman" w:cs="Times New Roman"/>
          <w:bCs/>
          <w:color w:val="auto"/>
          <w:lang w:eastAsia="en-US"/>
        </w:rPr>
        <w:t>2</w:t>
      </w:r>
      <w:r w:rsidRPr="008B016A">
        <w:rPr>
          <w:rFonts w:ascii="Times New Roman" w:eastAsiaTheme="minorHAnsi" w:hAnsi="Times New Roman" w:cs="Times New Roman"/>
          <w:bCs/>
          <w:color w:val="auto"/>
          <w:lang w:eastAsia="en-US"/>
        </w:rPr>
        <w:t xml:space="preserve"> è stato curato da Marcello Tadini.</w:t>
      </w:r>
    </w:p>
    <w:p w14:paraId="655C9CC9" w14:textId="77777777" w:rsidR="006F7DB5" w:rsidRDefault="006F7DB5" w:rsidP="00BD114A">
      <w:pPr>
        <w:autoSpaceDE w:val="0"/>
        <w:autoSpaceDN w:val="0"/>
        <w:adjustRightInd w:val="0"/>
        <w:spacing w:after="120" w:line="240" w:lineRule="auto"/>
        <w:jc w:val="both"/>
        <w:rPr>
          <w:rFonts w:ascii="Times New Roman" w:eastAsia="Times New Roman" w:hAnsi="Times New Roman" w:cs="Times New Roman"/>
          <w:color w:val="auto"/>
          <w:sz w:val="24"/>
          <w:szCs w:val="24"/>
        </w:rPr>
      </w:pPr>
    </w:p>
    <w:p w14:paraId="59CD6947" w14:textId="58E927F8" w:rsidR="00BD114A" w:rsidRPr="009F60CE" w:rsidRDefault="00512FF1" w:rsidP="00BD114A">
      <w:pPr>
        <w:autoSpaceDE w:val="0"/>
        <w:autoSpaceDN w:val="0"/>
        <w:adjustRightInd w:val="0"/>
        <w:spacing w:after="120" w:line="240" w:lineRule="auto"/>
        <w:jc w:val="both"/>
        <w:rPr>
          <w:rFonts w:ascii="Times New Roman" w:eastAsiaTheme="minorEastAsia" w:hAnsi="Times New Roman" w:cs="Times New Roman"/>
          <w:b/>
          <w:bCs/>
          <w:color w:val="auto"/>
          <w:sz w:val="24"/>
          <w:szCs w:val="24"/>
        </w:rPr>
      </w:pPr>
      <w:r>
        <w:rPr>
          <w:rFonts w:ascii="Times New Roman" w:eastAsiaTheme="minorEastAsia" w:hAnsi="Times New Roman" w:cs="Times New Roman"/>
          <w:b/>
          <w:bCs/>
          <w:color w:val="auto"/>
          <w:sz w:val="24"/>
          <w:szCs w:val="24"/>
        </w:rPr>
        <w:t>Referimenti bibliografici</w:t>
      </w:r>
    </w:p>
    <w:p w14:paraId="33337857"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r w:rsidRPr="008B016A">
        <w:rPr>
          <w:rFonts w:ascii="Times New Roman" w:eastAsiaTheme="minorEastAsia" w:hAnsi="Times New Roman" w:cs="Times New Roman"/>
          <w:color w:val="auto"/>
          <w:sz w:val="24"/>
          <w:szCs w:val="24"/>
        </w:rPr>
        <w:t xml:space="preserve">Afferni R., Ferrario C. (2016). </w:t>
      </w:r>
      <w:r w:rsidRPr="008B016A">
        <w:rPr>
          <w:rFonts w:ascii="Times New Roman" w:eastAsiaTheme="minorEastAsia" w:hAnsi="Times New Roman" w:cs="Times New Roman"/>
          <w:color w:val="auto"/>
          <w:sz w:val="24"/>
          <w:szCs w:val="24"/>
          <w:lang w:val="en-GB"/>
        </w:rPr>
        <w:t xml:space="preserve">Religious Tourism and Italian Sacred Mounts: experiences of networking and co-operation at a UNESCO site. </w:t>
      </w:r>
      <w:r w:rsidRPr="008B016A">
        <w:rPr>
          <w:rFonts w:ascii="Times New Roman" w:eastAsiaTheme="minorEastAsia" w:hAnsi="Times New Roman" w:cs="Times New Roman"/>
          <w:i/>
          <w:iCs/>
          <w:color w:val="auto"/>
          <w:sz w:val="24"/>
          <w:szCs w:val="24"/>
          <w:lang w:val="en-GB"/>
        </w:rPr>
        <w:t>International Journal of Religious Tourism and Pilgrimage</w:t>
      </w:r>
      <w:r w:rsidRPr="008B016A">
        <w:rPr>
          <w:rFonts w:ascii="Times New Roman" w:eastAsiaTheme="minorEastAsia" w:hAnsi="Times New Roman" w:cs="Times New Roman"/>
          <w:color w:val="auto"/>
          <w:sz w:val="24"/>
          <w:szCs w:val="24"/>
          <w:lang w:val="en-GB"/>
        </w:rPr>
        <w:t>, 4(I) 2016, 1-16.</w:t>
      </w:r>
    </w:p>
    <w:p w14:paraId="589C7C6B"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proofErr w:type="spellStart"/>
      <w:r w:rsidRPr="008D0D8C">
        <w:rPr>
          <w:rFonts w:ascii="Times New Roman" w:eastAsiaTheme="minorEastAsia" w:hAnsi="Times New Roman" w:cs="Times New Roman"/>
          <w:color w:val="auto"/>
          <w:sz w:val="24"/>
          <w:szCs w:val="24"/>
          <w:lang w:val="en-GB"/>
        </w:rPr>
        <w:lastRenderedPageBreak/>
        <w:t>Afferni</w:t>
      </w:r>
      <w:proofErr w:type="spellEnd"/>
      <w:r w:rsidRPr="008D0D8C">
        <w:rPr>
          <w:rFonts w:ascii="Times New Roman" w:eastAsiaTheme="minorEastAsia" w:hAnsi="Times New Roman" w:cs="Times New Roman"/>
          <w:color w:val="auto"/>
          <w:sz w:val="24"/>
          <w:szCs w:val="24"/>
          <w:lang w:val="en-GB"/>
        </w:rPr>
        <w:t xml:space="preserve"> R., Ferrario C., Giordano F. (2025). </w:t>
      </w:r>
      <w:r w:rsidRPr="008B016A">
        <w:rPr>
          <w:rFonts w:ascii="Times New Roman" w:eastAsiaTheme="minorEastAsia" w:hAnsi="Times New Roman" w:cs="Times New Roman"/>
          <w:color w:val="auto"/>
          <w:sz w:val="24"/>
          <w:szCs w:val="24"/>
        </w:rPr>
        <w:t xml:space="preserve">Strategie di valorizzazione dei siti UNESCO: l’esperienza dei Sacri Monti del Piemonte. In Benetti S., Cerutti S., Pettenati G. (a cura di), Geografia e patrimonio – Società di Studi Geografici (pp. 557-562). </w:t>
      </w:r>
      <w:r w:rsidRPr="008B016A">
        <w:rPr>
          <w:rFonts w:ascii="Times New Roman" w:eastAsiaTheme="minorEastAsia" w:hAnsi="Times New Roman" w:cs="Times New Roman"/>
          <w:color w:val="auto"/>
          <w:sz w:val="24"/>
          <w:szCs w:val="24"/>
          <w:lang w:val="en-GB"/>
        </w:rPr>
        <w:t xml:space="preserve">Firenze: Memorie </w:t>
      </w:r>
      <w:proofErr w:type="spellStart"/>
      <w:r w:rsidRPr="008B016A">
        <w:rPr>
          <w:rFonts w:ascii="Times New Roman" w:eastAsiaTheme="minorEastAsia" w:hAnsi="Times New Roman" w:cs="Times New Roman"/>
          <w:color w:val="auto"/>
          <w:sz w:val="24"/>
          <w:szCs w:val="24"/>
          <w:lang w:val="en-GB"/>
        </w:rPr>
        <w:t>geografiche</w:t>
      </w:r>
      <w:proofErr w:type="spellEnd"/>
      <w:r w:rsidRPr="008B016A">
        <w:rPr>
          <w:rFonts w:ascii="Times New Roman" w:eastAsiaTheme="minorEastAsia" w:hAnsi="Times New Roman" w:cs="Times New Roman"/>
          <w:color w:val="auto"/>
          <w:sz w:val="24"/>
          <w:szCs w:val="24"/>
          <w:lang w:val="en-GB"/>
        </w:rPr>
        <w:t xml:space="preserve"> NS 27. </w:t>
      </w:r>
    </w:p>
    <w:p w14:paraId="065DF469" w14:textId="77777777" w:rsidR="00B5751B" w:rsidRPr="008B016A" w:rsidRDefault="00B5751B" w:rsidP="00BD114A">
      <w:pPr>
        <w:spacing w:after="120" w:line="240" w:lineRule="auto"/>
        <w:jc w:val="both"/>
        <w:rPr>
          <w:rFonts w:ascii="Times New Roman" w:hAnsi="Times New Roman" w:cs="Times New Roman"/>
          <w:bCs/>
          <w:sz w:val="24"/>
          <w:szCs w:val="24"/>
        </w:rPr>
      </w:pPr>
      <w:proofErr w:type="spellStart"/>
      <w:r w:rsidRPr="008B016A">
        <w:rPr>
          <w:rFonts w:ascii="Times New Roman" w:hAnsi="Times New Roman" w:cs="Times New Roman"/>
          <w:bCs/>
          <w:sz w:val="24"/>
          <w:szCs w:val="24"/>
          <w:lang w:val="en-GB"/>
        </w:rPr>
        <w:t>Afferni</w:t>
      </w:r>
      <w:proofErr w:type="spellEnd"/>
      <w:r w:rsidRPr="008B016A">
        <w:rPr>
          <w:rFonts w:ascii="Times New Roman" w:hAnsi="Times New Roman" w:cs="Times New Roman"/>
          <w:bCs/>
          <w:sz w:val="24"/>
          <w:szCs w:val="24"/>
          <w:lang w:val="en-GB"/>
        </w:rPr>
        <w:t xml:space="preserve"> R., Mangano S. (2009). </w:t>
      </w:r>
      <w:r w:rsidRPr="008B016A">
        <w:rPr>
          <w:rFonts w:ascii="Times New Roman" w:hAnsi="Times New Roman" w:cs="Times New Roman"/>
          <w:bCs/>
          <w:sz w:val="24"/>
          <w:szCs w:val="24"/>
          <w:lang w:val="en-US"/>
        </w:rPr>
        <w:t xml:space="preserve">The sacred Mounts of Piemonte and </w:t>
      </w:r>
      <w:proofErr w:type="spellStart"/>
      <w:r w:rsidRPr="008B016A">
        <w:rPr>
          <w:rFonts w:ascii="Times New Roman" w:hAnsi="Times New Roman" w:cs="Times New Roman"/>
          <w:bCs/>
          <w:sz w:val="24"/>
          <w:szCs w:val="24"/>
          <w:lang w:val="en-US"/>
        </w:rPr>
        <w:t>Lombardia</w:t>
      </w:r>
      <w:proofErr w:type="spellEnd"/>
      <w:r w:rsidRPr="008B016A">
        <w:rPr>
          <w:rFonts w:ascii="Times New Roman" w:hAnsi="Times New Roman" w:cs="Times New Roman"/>
          <w:bCs/>
          <w:sz w:val="24"/>
          <w:szCs w:val="24"/>
          <w:lang w:val="en-US"/>
        </w:rPr>
        <w:t xml:space="preserve"> as alternative and sustainable experience for religious tourism. In A. Trono (ed.) </w:t>
      </w:r>
      <w:r w:rsidRPr="008B016A">
        <w:rPr>
          <w:rFonts w:ascii="Times New Roman" w:hAnsi="Times New Roman" w:cs="Times New Roman"/>
          <w:bCs/>
          <w:i/>
          <w:sz w:val="24"/>
          <w:szCs w:val="24"/>
          <w:lang w:val="en-US"/>
        </w:rPr>
        <w:t xml:space="preserve">Tourism, religion &amp; culture: regional Development through Meaningful Tourism experiences </w:t>
      </w:r>
      <w:r w:rsidRPr="008B016A">
        <w:rPr>
          <w:rFonts w:ascii="Times New Roman" w:hAnsi="Times New Roman" w:cs="Times New Roman"/>
          <w:bCs/>
          <w:iCs/>
          <w:sz w:val="24"/>
          <w:szCs w:val="24"/>
          <w:lang w:val="en-US"/>
        </w:rPr>
        <w:t>(</w:t>
      </w:r>
      <w:r w:rsidRPr="008B016A">
        <w:rPr>
          <w:rFonts w:ascii="Times New Roman" w:hAnsi="Times New Roman" w:cs="Times New Roman"/>
          <w:bCs/>
          <w:sz w:val="24"/>
          <w:szCs w:val="24"/>
          <w:lang w:val="en-US"/>
        </w:rPr>
        <w:t xml:space="preserve">483-500). </w:t>
      </w:r>
      <w:r w:rsidRPr="008B016A">
        <w:rPr>
          <w:rFonts w:ascii="Times New Roman" w:hAnsi="Times New Roman" w:cs="Times New Roman"/>
          <w:bCs/>
          <w:sz w:val="24"/>
          <w:szCs w:val="24"/>
        </w:rPr>
        <w:t xml:space="preserve">Galatina: Mario Congedo Publisher. </w:t>
      </w:r>
    </w:p>
    <w:p w14:paraId="5D7603F5"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8B016A">
        <w:rPr>
          <w:rFonts w:ascii="Times New Roman" w:hAnsi="Times New Roman" w:cs="Times New Roman"/>
          <w:color w:val="222222"/>
          <w:sz w:val="24"/>
          <w:szCs w:val="24"/>
          <w:shd w:val="clear" w:color="auto" w:fill="FFFFFF"/>
        </w:rPr>
        <w:t xml:space="preserve">Argentiero C., Armiraglio U. (2008). </w:t>
      </w:r>
      <w:r w:rsidRPr="008B016A">
        <w:rPr>
          <w:rFonts w:ascii="Times New Roman" w:hAnsi="Times New Roman" w:cs="Times New Roman"/>
          <w:i/>
          <w:iCs/>
          <w:color w:val="222222"/>
          <w:sz w:val="24"/>
          <w:szCs w:val="24"/>
          <w:shd w:val="clear" w:color="auto" w:fill="FFFFFF"/>
        </w:rPr>
        <w:t>Il mistero e il luogo. Paesaggio e spiritualità nei nove Sacri Monti Patrimonio dell’UNESCO</w:t>
      </w:r>
      <w:r w:rsidRPr="008B016A">
        <w:rPr>
          <w:rFonts w:ascii="Times New Roman" w:hAnsi="Times New Roman" w:cs="Times New Roman"/>
          <w:color w:val="222222"/>
          <w:sz w:val="24"/>
          <w:szCs w:val="24"/>
          <w:shd w:val="clear" w:color="auto" w:fill="FFFFFF"/>
        </w:rPr>
        <w:t>. Busto Arsizio: Nomos Edizioni.</w:t>
      </w:r>
    </w:p>
    <w:p w14:paraId="1382C777" w14:textId="77777777" w:rsidR="00B5751B" w:rsidRPr="008B016A" w:rsidRDefault="00B5751B" w:rsidP="00BD114A">
      <w:pPr>
        <w:spacing w:after="120" w:line="100" w:lineRule="atLeast"/>
        <w:jc w:val="both"/>
        <w:rPr>
          <w:rFonts w:ascii="Times New Roman" w:hAnsi="Times New Roman" w:cs="Times New Roman"/>
          <w:sz w:val="24"/>
          <w:szCs w:val="24"/>
          <w:lang w:val="en-GB"/>
        </w:rPr>
      </w:pPr>
      <w:r w:rsidRPr="008B016A">
        <w:rPr>
          <w:rFonts w:ascii="Times New Roman" w:hAnsi="Times New Roman" w:cs="Times New Roman"/>
          <w:bCs/>
          <w:sz w:val="24"/>
          <w:szCs w:val="24"/>
        </w:rPr>
        <w:t xml:space="preserve">Barbero A. (2001). </w:t>
      </w:r>
      <w:r w:rsidRPr="008B016A">
        <w:rPr>
          <w:rFonts w:ascii="Times New Roman" w:hAnsi="Times New Roman" w:cs="Times New Roman"/>
          <w:bCs/>
          <w:i/>
          <w:iCs/>
          <w:sz w:val="24"/>
          <w:szCs w:val="24"/>
        </w:rPr>
        <w:t>Atlante dei Sacri Monti, Calvari e Complessi devozionali europei</w:t>
      </w:r>
      <w:r w:rsidRPr="008B016A">
        <w:rPr>
          <w:rFonts w:ascii="Times New Roman" w:hAnsi="Times New Roman" w:cs="Times New Roman"/>
          <w:bCs/>
          <w:sz w:val="24"/>
          <w:szCs w:val="24"/>
        </w:rPr>
        <w:t xml:space="preserve">. </w:t>
      </w:r>
      <w:r w:rsidRPr="008B016A">
        <w:rPr>
          <w:rFonts w:ascii="Times New Roman" w:hAnsi="Times New Roman" w:cs="Times New Roman"/>
          <w:bCs/>
          <w:sz w:val="24"/>
          <w:szCs w:val="24"/>
          <w:lang w:val="en-GB"/>
        </w:rPr>
        <w:t>Novara: De Agostini.</w:t>
      </w:r>
    </w:p>
    <w:p w14:paraId="1B2AE491" w14:textId="77777777" w:rsidR="00B5751B" w:rsidRPr="008B016A" w:rsidRDefault="00B5751B" w:rsidP="00BD114A">
      <w:pPr>
        <w:tabs>
          <w:tab w:val="left" w:pos="6663"/>
        </w:tabs>
        <w:autoSpaceDE w:val="0"/>
        <w:autoSpaceDN w:val="0"/>
        <w:adjustRightInd w:val="0"/>
        <w:spacing w:afterLines="40" w:after="96" w:line="240" w:lineRule="auto"/>
        <w:jc w:val="both"/>
        <w:rPr>
          <w:rFonts w:ascii="Times New Roman" w:eastAsiaTheme="minorEastAsia" w:hAnsi="Times New Roman" w:cs="Times New Roman"/>
          <w:color w:val="auto"/>
          <w:sz w:val="24"/>
          <w:szCs w:val="24"/>
        </w:rPr>
      </w:pPr>
      <w:r w:rsidRPr="008B016A">
        <w:rPr>
          <w:rFonts w:ascii="Times New Roman" w:hAnsi="Times New Roman" w:cs="Times New Roman"/>
          <w:sz w:val="24"/>
          <w:szCs w:val="24"/>
          <w:lang w:val="en-US"/>
        </w:rPr>
        <w:t xml:space="preserve">Bauman Z. (1996). From pilgrim to tourist-or a short history of identity. In Hall S., du Gay P. (eds), </w:t>
      </w:r>
      <w:r w:rsidRPr="008B016A">
        <w:rPr>
          <w:rFonts w:ascii="Times New Roman" w:hAnsi="Times New Roman" w:cs="Times New Roman"/>
          <w:i/>
          <w:iCs/>
          <w:sz w:val="24"/>
          <w:szCs w:val="24"/>
          <w:lang w:val="en-US"/>
        </w:rPr>
        <w:t xml:space="preserve">Questions of cultural identity </w:t>
      </w:r>
      <w:r w:rsidRPr="008B016A">
        <w:rPr>
          <w:rFonts w:ascii="Times New Roman" w:hAnsi="Times New Roman" w:cs="Times New Roman"/>
          <w:sz w:val="24"/>
          <w:szCs w:val="24"/>
          <w:lang w:val="en-US"/>
        </w:rPr>
        <w:t xml:space="preserve">(pp. 18-37). </w:t>
      </w:r>
      <w:r w:rsidRPr="008B016A">
        <w:rPr>
          <w:rFonts w:ascii="Times New Roman" w:hAnsi="Times New Roman" w:cs="Times New Roman"/>
          <w:sz w:val="24"/>
          <w:szCs w:val="24"/>
        </w:rPr>
        <w:t>London: SAGE Publications.</w:t>
      </w:r>
    </w:p>
    <w:p w14:paraId="578F5B54" w14:textId="77777777" w:rsidR="00B5751B" w:rsidRPr="008B016A" w:rsidRDefault="00B5751B" w:rsidP="00BD114A">
      <w:pPr>
        <w:pStyle w:val="4TtulosepgrafesIIGG"/>
        <w:spacing w:after="120"/>
        <w:contextualSpacing w:val="0"/>
        <w:jc w:val="both"/>
        <w:rPr>
          <w:b w:val="0"/>
          <w:bCs/>
          <w:lang w:val="en-GB"/>
        </w:rPr>
      </w:pPr>
      <w:r w:rsidRPr="008B016A">
        <w:rPr>
          <w:b w:val="0"/>
          <w:bCs/>
          <w:color w:val="20201F"/>
        </w:rPr>
        <w:t xml:space="preserve">Bonnet-Correa A. (1989). </w:t>
      </w:r>
      <w:proofErr w:type="spellStart"/>
      <w:r w:rsidRPr="008B016A">
        <w:rPr>
          <w:b w:val="0"/>
          <w:bCs/>
          <w:color w:val="20201F"/>
        </w:rPr>
        <w:t>Sacromontes</w:t>
      </w:r>
      <w:proofErr w:type="spellEnd"/>
      <w:r w:rsidRPr="008B016A">
        <w:rPr>
          <w:b w:val="0"/>
          <w:bCs/>
          <w:color w:val="20201F"/>
        </w:rPr>
        <w:t xml:space="preserve"> y Calvarios in España, Portugal y </w:t>
      </w:r>
      <w:proofErr w:type="spellStart"/>
      <w:r w:rsidRPr="008B016A">
        <w:rPr>
          <w:b w:val="0"/>
          <w:bCs/>
          <w:color w:val="20201F"/>
        </w:rPr>
        <w:t>America</w:t>
      </w:r>
      <w:proofErr w:type="spellEnd"/>
      <w:r w:rsidRPr="008B016A">
        <w:rPr>
          <w:b w:val="0"/>
          <w:bCs/>
          <w:color w:val="20201F"/>
        </w:rPr>
        <w:t xml:space="preserve"> Latina. In </w:t>
      </w:r>
      <w:proofErr w:type="spellStart"/>
      <w:r w:rsidRPr="008B016A">
        <w:rPr>
          <w:b w:val="0"/>
          <w:bCs/>
          <w:color w:val="20201F"/>
        </w:rPr>
        <w:t>Gensini</w:t>
      </w:r>
      <w:proofErr w:type="spellEnd"/>
      <w:r w:rsidRPr="008B016A">
        <w:rPr>
          <w:b w:val="0"/>
          <w:bCs/>
          <w:color w:val="20201F"/>
        </w:rPr>
        <w:t xml:space="preserve"> S. (a cura di) </w:t>
      </w:r>
      <w:r w:rsidRPr="008B016A">
        <w:rPr>
          <w:b w:val="0"/>
          <w:bCs/>
          <w:i/>
          <w:iCs/>
          <w:color w:val="20201F"/>
        </w:rPr>
        <w:t>La “</w:t>
      </w:r>
      <w:proofErr w:type="spellStart"/>
      <w:r w:rsidRPr="008B016A">
        <w:rPr>
          <w:b w:val="0"/>
          <w:bCs/>
          <w:i/>
          <w:iCs/>
          <w:color w:val="20201F"/>
        </w:rPr>
        <w:t>Gerusalemme</w:t>
      </w:r>
      <w:proofErr w:type="spellEnd"/>
      <w:r w:rsidRPr="008B016A">
        <w:rPr>
          <w:b w:val="0"/>
          <w:bCs/>
          <w:i/>
          <w:iCs/>
          <w:color w:val="20201F"/>
        </w:rPr>
        <w:t xml:space="preserve">” di San </w:t>
      </w:r>
      <w:proofErr w:type="spellStart"/>
      <w:r w:rsidRPr="008B016A">
        <w:rPr>
          <w:b w:val="0"/>
          <w:bCs/>
          <w:i/>
          <w:iCs/>
          <w:color w:val="20201F"/>
        </w:rPr>
        <w:t>Vivaldo</w:t>
      </w:r>
      <w:proofErr w:type="spellEnd"/>
      <w:r w:rsidRPr="008B016A">
        <w:rPr>
          <w:b w:val="0"/>
          <w:bCs/>
          <w:i/>
          <w:iCs/>
          <w:color w:val="20201F"/>
        </w:rPr>
        <w:t xml:space="preserve"> e i </w:t>
      </w:r>
      <w:proofErr w:type="spellStart"/>
      <w:r w:rsidRPr="008B016A">
        <w:rPr>
          <w:b w:val="0"/>
          <w:bCs/>
          <w:i/>
          <w:iCs/>
          <w:color w:val="20201F"/>
        </w:rPr>
        <w:t>Sacrimonti</w:t>
      </w:r>
      <w:proofErr w:type="spellEnd"/>
      <w:r w:rsidRPr="008B016A">
        <w:rPr>
          <w:b w:val="0"/>
          <w:bCs/>
          <w:i/>
          <w:iCs/>
          <w:color w:val="20201F"/>
        </w:rPr>
        <w:t xml:space="preserve"> in Europa, </w:t>
      </w:r>
      <w:proofErr w:type="spellStart"/>
      <w:r w:rsidRPr="008B016A">
        <w:rPr>
          <w:b w:val="0"/>
          <w:bCs/>
          <w:i/>
          <w:iCs/>
          <w:color w:val="20201F"/>
        </w:rPr>
        <w:t>Atti</w:t>
      </w:r>
      <w:proofErr w:type="spellEnd"/>
      <w:r w:rsidRPr="008B016A">
        <w:rPr>
          <w:b w:val="0"/>
          <w:bCs/>
          <w:i/>
          <w:iCs/>
          <w:color w:val="20201F"/>
        </w:rPr>
        <w:t xml:space="preserve"> del </w:t>
      </w:r>
      <w:proofErr w:type="spellStart"/>
      <w:r w:rsidRPr="008B016A">
        <w:rPr>
          <w:b w:val="0"/>
          <w:bCs/>
          <w:i/>
          <w:iCs/>
          <w:color w:val="20201F"/>
        </w:rPr>
        <w:t>convegno</w:t>
      </w:r>
      <w:proofErr w:type="spellEnd"/>
      <w:r w:rsidRPr="008B016A">
        <w:rPr>
          <w:b w:val="0"/>
          <w:bCs/>
          <w:i/>
          <w:iCs/>
          <w:color w:val="20201F"/>
        </w:rPr>
        <w:t xml:space="preserve"> di Firenze-San </w:t>
      </w:r>
      <w:proofErr w:type="spellStart"/>
      <w:r w:rsidRPr="008B016A">
        <w:rPr>
          <w:b w:val="0"/>
          <w:bCs/>
          <w:i/>
          <w:iCs/>
          <w:color w:val="20201F"/>
        </w:rPr>
        <w:t>Vivaldo</w:t>
      </w:r>
      <w:proofErr w:type="spellEnd"/>
      <w:r w:rsidRPr="008B016A">
        <w:rPr>
          <w:b w:val="0"/>
          <w:bCs/>
          <w:i/>
          <w:iCs/>
          <w:color w:val="20201F"/>
        </w:rPr>
        <w:t xml:space="preserve"> 1986</w:t>
      </w:r>
      <w:r w:rsidRPr="008B016A">
        <w:rPr>
          <w:b w:val="0"/>
          <w:bCs/>
          <w:color w:val="20201F"/>
        </w:rPr>
        <w:t xml:space="preserve"> (pp. 173-213). </w:t>
      </w:r>
      <w:r w:rsidRPr="00722BAB">
        <w:rPr>
          <w:b w:val="0"/>
          <w:bCs/>
          <w:color w:val="20201F"/>
          <w:lang w:val="pt-PT"/>
        </w:rPr>
        <w:t>Pisa: Pacini Editore.</w:t>
      </w:r>
    </w:p>
    <w:p w14:paraId="31AF7863" w14:textId="77777777" w:rsidR="00B5751B" w:rsidRPr="008B016A" w:rsidRDefault="00B5751B" w:rsidP="00BD114A">
      <w:pPr>
        <w:tabs>
          <w:tab w:val="left" w:pos="6663"/>
        </w:tabs>
        <w:spacing w:afterLines="40" w:after="96" w:line="240" w:lineRule="auto"/>
        <w:jc w:val="both"/>
        <w:rPr>
          <w:rFonts w:ascii="Times New Roman" w:hAnsi="Times New Roman" w:cs="Times New Roman"/>
          <w:bCs/>
          <w:sz w:val="24"/>
          <w:szCs w:val="24"/>
          <w:lang w:val="en-GB"/>
        </w:rPr>
      </w:pPr>
      <w:r w:rsidRPr="008B016A">
        <w:rPr>
          <w:rFonts w:ascii="Times New Roman" w:hAnsi="Times New Roman" w:cs="Times New Roman"/>
          <w:color w:val="20201F"/>
          <w:sz w:val="24"/>
          <w:szCs w:val="24"/>
          <w:lang w:val="en-GB"/>
        </w:rPr>
        <w:t xml:space="preserve">Bywater M. (1993). The market for cultural tourism in Europe. </w:t>
      </w:r>
      <w:r w:rsidRPr="008B016A">
        <w:rPr>
          <w:rFonts w:ascii="Times New Roman" w:hAnsi="Times New Roman" w:cs="Times New Roman"/>
          <w:i/>
          <w:iCs/>
          <w:color w:val="20201F"/>
          <w:sz w:val="24"/>
          <w:szCs w:val="24"/>
          <w:lang w:val="en-GB"/>
        </w:rPr>
        <w:t>Travel and Tourism Analyst</w:t>
      </w:r>
      <w:r w:rsidRPr="008B016A">
        <w:rPr>
          <w:rFonts w:ascii="Times New Roman" w:hAnsi="Times New Roman" w:cs="Times New Roman"/>
          <w:color w:val="20201F"/>
          <w:sz w:val="24"/>
          <w:szCs w:val="24"/>
          <w:lang w:val="en-GB"/>
        </w:rPr>
        <w:t>, 6, 30-46.</w:t>
      </w:r>
    </w:p>
    <w:p w14:paraId="33AA43C2"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8B016A">
        <w:rPr>
          <w:rFonts w:ascii="Times New Roman" w:eastAsiaTheme="minorEastAsia" w:hAnsi="Times New Roman" w:cs="Times New Roman"/>
          <w:color w:val="auto"/>
          <w:sz w:val="24"/>
          <w:szCs w:val="24"/>
          <w:lang w:val="en-GB"/>
        </w:rPr>
        <w:t xml:space="preserve">Centini M. (1990). </w:t>
      </w:r>
      <w:r w:rsidRPr="008B016A">
        <w:rPr>
          <w:rFonts w:ascii="Times New Roman" w:eastAsiaTheme="minorEastAsia" w:hAnsi="Times New Roman" w:cs="Times New Roman"/>
          <w:color w:val="auto"/>
          <w:sz w:val="24"/>
          <w:szCs w:val="24"/>
        </w:rPr>
        <w:t xml:space="preserve">I Sacri Monti dell’arco alpino italiano. Dal mito dell’altura alle ricostruzioni della Terra Santa nella cultura controriformista. </w:t>
      </w:r>
      <w:r w:rsidRPr="008B016A">
        <w:rPr>
          <w:rFonts w:ascii="Times New Roman" w:eastAsiaTheme="minorEastAsia" w:hAnsi="Times New Roman" w:cs="Times New Roman"/>
          <w:i/>
          <w:iCs/>
          <w:color w:val="auto"/>
          <w:sz w:val="24"/>
          <w:szCs w:val="24"/>
        </w:rPr>
        <w:t>Quaderni di cultura alpina</w:t>
      </w:r>
      <w:r w:rsidRPr="008B016A">
        <w:rPr>
          <w:rFonts w:ascii="Times New Roman" w:eastAsiaTheme="minorEastAsia" w:hAnsi="Times New Roman" w:cs="Times New Roman"/>
          <w:color w:val="auto"/>
          <w:sz w:val="24"/>
          <w:szCs w:val="24"/>
        </w:rPr>
        <w:t>. Ivrea: Priuli &amp; Verlucca.</w:t>
      </w:r>
    </w:p>
    <w:p w14:paraId="25F6427E" w14:textId="1F4C42E7" w:rsidR="00B5751B" w:rsidRPr="008B016A" w:rsidRDefault="00B5751B" w:rsidP="00BD114A">
      <w:pPr>
        <w:tabs>
          <w:tab w:val="left" w:pos="6663"/>
        </w:tabs>
        <w:autoSpaceDE w:val="0"/>
        <w:autoSpaceDN w:val="0"/>
        <w:adjustRightInd w:val="0"/>
        <w:spacing w:afterLines="40" w:after="96" w:line="240" w:lineRule="auto"/>
        <w:jc w:val="both"/>
        <w:rPr>
          <w:rFonts w:ascii="Times New Roman" w:hAnsi="Times New Roman" w:cs="Times New Roman"/>
          <w:sz w:val="24"/>
          <w:szCs w:val="24"/>
          <w:lang w:val="en-US"/>
        </w:rPr>
      </w:pPr>
      <w:r w:rsidRPr="008B016A">
        <w:rPr>
          <w:rFonts w:ascii="Times New Roman" w:hAnsi="Times New Roman" w:cs="Times New Roman"/>
          <w:sz w:val="24"/>
          <w:szCs w:val="24"/>
        </w:rPr>
        <w:t xml:space="preserve">Cohen E. (1992a). </w:t>
      </w:r>
      <w:r w:rsidRPr="008B016A">
        <w:rPr>
          <w:rFonts w:ascii="Times New Roman" w:hAnsi="Times New Roman" w:cs="Times New Roman"/>
          <w:sz w:val="24"/>
          <w:szCs w:val="24"/>
          <w:lang w:val="en-US"/>
        </w:rPr>
        <w:t xml:space="preserve">Pilgrimage and tourism: convergence and divergence. In A. </w:t>
      </w:r>
      <w:proofErr w:type="spellStart"/>
      <w:r w:rsidRPr="008B016A">
        <w:rPr>
          <w:rFonts w:ascii="Times New Roman" w:hAnsi="Times New Roman" w:cs="Times New Roman"/>
          <w:sz w:val="24"/>
          <w:szCs w:val="24"/>
          <w:lang w:val="en-US"/>
        </w:rPr>
        <w:t>Morinis</w:t>
      </w:r>
      <w:proofErr w:type="spellEnd"/>
      <w:r w:rsidRPr="008B016A">
        <w:rPr>
          <w:rFonts w:ascii="Times New Roman" w:hAnsi="Times New Roman" w:cs="Times New Roman"/>
          <w:sz w:val="24"/>
          <w:szCs w:val="24"/>
          <w:lang w:val="en-US"/>
        </w:rPr>
        <w:t xml:space="preserve"> (ed.) </w:t>
      </w:r>
      <w:r w:rsidRPr="008B016A">
        <w:rPr>
          <w:rFonts w:ascii="Times New Roman" w:hAnsi="Times New Roman" w:cs="Times New Roman"/>
          <w:i/>
          <w:sz w:val="24"/>
          <w:szCs w:val="24"/>
          <w:lang w:val="en-US"/>
        </w:rPr>
        <w:t>Sacred Journeys</w:t>
      </w:r>
      <w:r w:rsidRPr="008B016A">
        <w:rPr>
          <w:rFonts w:ascii="Times New Roman" w:hAnsi="Times New Roman" w:cs="Times New Roman"/>
          <w:sz w:val="24"/>
          <w:szCs w:val="24"/>
          <w:lang w:val="en-US"/>
        </w:rPr>
        <w:t xml:space="preserve"> (pp. 47–61). Westport:</w:t>
      </w:r>
      <w:r w:rsidR="008B016A">
        <w:rPr>
          <w:rFonts w:ascii="Times New Roman" w:hAnsi="Times New Roman" w:cs="Times New Roman"/>
          <w:sz w:val="24"/>
          <w:szCs w:val="24"/>
          <w:lang w:val="en-US"/>
        </w:rPr>
        <w:t xml:space="preserve"> </w:t>
      </w:r>
      <w:r w:rsidRPr="008B016A">
        <w:rPr>
          <w:rFonts w:ascii="Times New Roman" w:hAnsi="Times New Roman" w:cs="Times New Roman"/>
          <w:sz w:val="24"/>
          <w:szCs w:val="24"/>
          <w:lang w:val="en-US"/>
        </w:rPr>
        <w:t>Greenwood Press.</w:t>
      </w:r>
    </w:p>
    <w:p w14:paraId="7361AD84" w14:textId="77777777" w:rsidR="00B5751B" w:rsidRPr="008B016A" w:rsidRDefault="00B5751B" w:rsidP="00BD114A">
      <w:pPr>
        <w:tabs>
          <w:tab w:val="left" w:pos="6663"/>
        </w:tabs>
        <w:spacing w:afterLines="40" w:after="96" w:line="240" w:lineRule="auto"/>
        <w:jc w:val="both"/>
        <w:rPr>
          <w:rFonts w:ascii="Times New Roman" w:hAnsi="Times New Roman" w:cs="Times New Roman"/>
          <w:bCs/>
          <w:sz w:val="24"/>
          <w:szCs w:val="24"/>
          <w:lang w:val="en-US"/>
        </w:rPr>
      </w:pPr>
      <w:r w:rsidRPr="008B016A">
        <w:rPr>
          <w:rFonts w:ascii="Times New Roman" w:hAnsi="Times New Roman" w:cs="Times New Roman"/>
          <w:bCs/>
          <w:sz w:val="24"/>
          <w:szCs w:val="24"/>
          <w:lang w:val="en-US"/>
        </w:rPr>
        <w:t xml:space="preserve">Cohen E. (1992b). Pilgrimage centers, concentric and excentric. </w:t>
      </w:r>
      <w:r w:rsidRPr="008B016A">
        <w:rPr>
          <w:rFonts w:ascii="Times New Roman" w:hAnsi="Times New Roman" w:cs="Times New Roman"/>
          <w:bCs/>
          <w:i/>
          <w:sz w:val="24"/>
          <w:szCs w:val="24"/>
          <w:lang w:val="en-US"/>
        </w:rPr>
        <w:t>Annals of Tourism Research</w:t>
      </w:r>
      <w:r w:rsidRPr="008B016A">
        <w:rPr>
          <w:rFonts w:ascii="Times New Roman" w:hAnsi="Times New Roman" w:cs="Times New Roman"/>
          <w:bCs/>
          <w:sz w:val="24"/>
          <w:szCs w:val="24"/>
          <w:lang w:val="en-US"/>
        </w:rPr>
        <w:t xml:space="preserve"> 19(1), 33–50.</w:t>
      </w:r>
    </w:p>
    <w:p w14:paraId="054AA7AE" w14:textId="77777777" w:rsidR="00B5751B" w:rsidRPr="008B016A" w:rsidRDefault="00B5751B" w:rsidP="00BD114A">
      <w:pPr>
        <w:tabs>
          <w:tab w:val="left" w:pos="6663"/>
        </w:tabs>
        <w:spacing w:afterLines="40" w:after="96" w:line="240" w:lineRule="auto"/>
        <w:jc w:val="both"/>
        <w:rPr>
          <w:rFonts w:ascii="Times New Roman" w:hAnsi="Times New Roman" w:cs="Times New Roman"/>
          <w:bCs/>
          <w:sz w:val="24"/>
          <w:szCs w:val="24"/>
          <w:lang w:val="en-US"/>
        </w:rPr>
      </w:pPr>
      <w:r w:rsidRPr="008B016A">
        <w:rPr>
          <w:rFonts w:ascii="Times New Roman" w:hAnsi="Times New Roman" w:cs="Times New Roman"/>
          <w:bCs/>
          <w:sz w:val="24"/>
          <w:szCs w:val="24"/>
          <w:lang w:val="en-US"/>
        </w:rPr>
        <w:t xml:space="preserve">Cohen E. (1998). Tourism and religion, a comparative perspective. </w:t>
      </w:r>
      <w:r w:rsidRPr="008B016A">
        <w:rPr>
          <w:rFonts w:ascii="Times New Roman" w:hAnsi="Times New Roman" w:cs="Times New Roman"/>
          <w:bCs/>
          <w:i/>
          <w:sz w:val="24"/>
          <w:szCs w:val="24"/>
          <w:lang w:val="en-US"/>
        </w:rPr>
        <w:t>Pacific Tourism Review</w:t>
      </w:r>
      <w:r w:rsidRPr="008B016A">
        <w:rPr>
          <w:rFonts w:ascii="Times New Roman" w:hAnsi="Times New Roman" w:cs="Times New Roman"/>
          <w:bCs/>
          <w:sz w:val="24"/>
          <w:szCs w:val="24"/>
          <w:lang w:val="en-US"/>
        </w:rPr>
        <w:t>, 2, 1–10.</w:t>
      </w:r>
    </w:p>
    <w:p w14:paraId="1C0F621B" w14:textId="77777777" w:rsidR="00B5751B" w:rsidRPr="008B016A" w:rsidRDefault="00B5751B" w:rsidP="00BD114A">
      <w:pPr>
        <w:pStyle w:val="bibliografia"/>
        <w:spacing w:after="120"/>
        <w:ind w:left="0" w:firstLine="0"/>
        <w:rPr>
          <w:rFonts w:ascii="Times New Roman" w:hAnsi="Times New Roman" w:cs="Times New Roman"/>
          <w:color w:val="auto"/>
          <w:sz w:val="24"/>
          <w:szCs w:val="24"/>
          <w:lang w:val="en-GB"/>
        </w:rPr>
      </w:pPr>
      <w:r w:rsidRPr="008B016A">
        <w:rPr>
          <w:rFonts w:ascii="Times New Roman" w:hAnsi="Times New Roman" w:cs="Times New Roman"/>
          <w:color w:val="auto"/>
          <w:sz w:val="24"/>
          <w:szCs w:val="24"/>
          <w:lang w:val="en-GB"/>
        </w:rPr>
        <w:t xml:space="preserve">Cohen E., Cohen S. A. (2012). Current sociological theories and issues in tourism. </w:t>
      </w:r>
      <w:r w:rsidRPr="008B016A">
        <w:rPr>
          <w:rFonts w:ascii="Times New Roman" w:hAnsi="Times New Roman" w:cs="Times New Roman"/>
          <w:i/>
          <w:iCs/>
          <w:color w:val="auto"/>
          <w:sz w:val="24"/>
          <w:szCs w:val="24"/>
          <w:lang w:val="en-GB"/>
        </w:rPr>
        <w:t>Annals of Tourism Research</w:t>
      </w:r>
      <w:r w:rsidRPr="008B016A">
        <w:rPr>
          <w:rFonts w:ascii="Times New Roman" w:hAnsi="Times New Roman" w:cs="Times New Roman"/>
          <w:color w:val="auto"/>
          <w:sz w:val="24"/>
          <w:szCs w:val="24"/>
          <w:lang w:val="en-GB"/>
        </w:rPr>
        <w:t>, 39(4), 2177–2202.</w:t>
      </w:r>
    </w:p>
    <w:p w14:paraId="15335983" w14:textId="77777777" w:rsidR="00B5751B" w:rsidRPr="008B016A" w:rsidRDefault="00B5751B" w:rsidP="00BD114A">
      <w:pPr>
        <w:tabs>
          <w:tab w:val="left" w:pos="6663"/>
        </w:tabs>
        <w:autoSpaceDE w:val="0"/>
        <w:autoSpaceDN w:val="0"/>
        <w:adjustRightInd w:val="0"/>
        <w:spacing w:afterLines="40" w:after="96" w:line="240" w:lineRule="auto"/>
        <w:jc w:val="both"/>
        <w:rPr>
          <w:rFonts w:ascii="Times New Roman" w:hAnsi="Times New Roman" w:cs="Times New Roman"/>
          <w:bCs/>
          <w:sz w:val="24"/>
          <w:szCs w:val="24"/>
          <w:lang w:val="en-US"/>
        </w:rPr>
      </w:pPr>
      <w:r w:rsidRPr="008B016A">
        <w:rPr>
          <w:rFonts w:ascii="Times New Roman" w:hAnsi="Times New Roman" w:cs="Times New Roman"/>
          <w:bCs/>
          <w:sz w:val="24"/>
          <w:szCs w:val="24"/>
          <w:lang w:val="en-US"/>
        </w:rPr>
        <w:t xml:space="preserve">Coleman S., Elsner J. (1995). </w:t>
      </w:r>
      <w:r w:rsidRPr="008B016A">
        <w:rPr>
          <w:rFonts w:ascii="Times New Roman" w:hAnsi="Times New Roman" w:cs="Times New Roman"/>
          <w:bCs/>
          <w:i/>
          <w:sz w:val="24"/>
          <w:szCs w:val="24"/>
          <w:lang w:val="en-US"/>
        </w:rPr>
        <w:t xml:space="preserve">Pilgrimage: past and present in the world religions. </w:t>
      </w:r>
      <w:r w:rsidRPr="008B016A">
        <w:rPr>
          <w:rFonts w:ascii="Times New Roman" w:hAnsi="Times New Roman" w:cs="Times New Roman"/>
          <w:bCs/>
          <w:sz w:val="24"/>
          <w:szCs w:val="24"/>
          <w:lang w:val="en-US"/>
        </w:rPr>
        <w:t>Cambridge: Harvard University Press.</w:t>
      </w:r>
    </w:p>
    <w:p w14:paraId="6DFDB6CD"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8B016A">
        <w:rPr>
          <w:rFonts w:ascii="Times New Roman" w:eastAsiaTheme="minorEastAsia" w:hAnsi="Times New Roman" w:cs="Times New Roman"/>
          <w:color w:val="auto"/>
          <w:sz w:val="24"/>
          <w:szCs w:val="24"/>
          <w:lang w:val="en-US"/>
        </w:rPr>
        <w:t xml:space="preserve">Collins-Kreiner N., Kliot N. (2000). Pilgrimage tourism in the holy land: the behavioral characteristics of Christian pilgrims. </w:t>
      </w:r>
      <w:r w:rsidRPr="008B016A">
        <w:rPr>
          <w:rFonts w:ascii="Times New Roman" w:eastAsiaTheme="minorEastAsia" w:hAnsi="Times New Roman" w:cs="Times New Roman"/>
          <w:i/>
          <w:iCs/>
          <w:color w:val="auto"/>
          <w:sz w:val="24"/>
          <w:szCs w:val="24"/>
        </w:rPr>
        <w:t>GeoJournal</w:t>
      </w:r>
      <w:r w:rsidRPr="008B016A">
        <w:rPr>
          <w:rFonts w:ascii="Times New Roman" w:eastAsiaTheme="minorEastAsia" w:hAnsi="Times New Roman" w:cs="Times New Roman"/>
          <w:color w:val="auto"/>
          <w:sz w:val="24"/>
          <w:szCs w:val="24"/>
        </w:rPr>
        <w:t>, 50(1), 55–67.</w:t>
      </w:r>
    </w:p>
    <w:p w14:paraId="395AC9DD" w14:textId="77777777" w:rsidR="00B5751B" w:rsidRPr="008B016A" w:rsidRDefault="00B5751B" w:rsidP="00BD114A">
      <w:pPr>
        <w:pStyle w:val="bibliografia"/>
        <w:spacing w:after="120"/>
        <w:ind w:left="0" w:firstLine="0"/>
        <w:rPr>
          <w:rFonts w:ascii="Times New Roman" w:hAnsi="Times New Roman" w:cs="Times New Roman"/>
          <w:color w:val="auto"/>
          <w:sz w:val="24"/>
          <w:szCs w:val="24"/>
        </w:rPr>
      </w:pPr>
      <w:r w:rsidRPr="008B016A">
        <w:rPr>
          <w:rFonts w:ascii="Times New Roman" w:hAnsi="Times New Roman" w:cs="Times New Roman"/>
          <w:color w:val="auto"/>
          <w:sz w:val="24"/>
          <w:szCs w:val="24"/>
        </w:rPr>
        <w:t xml:space="preserve">Corna-Pellegrini G. (2013). </w:t>
      </w:r>
      <w:r w:rsidRPr="008B016A">
        <w:rPr>
          <w:rFonts w:ascii="Times New Roman" w:hAnsi="Times New Roman" w:cs="Times New Roman"/>
          <w:i/>
          <w:iCs/>
          <w:color w:val="auto"/>
          <w:sz w:val="24"/>
          <w:szCs w:val="24"/>
        </w:rPr>
        <w:t>Esplorazioni geografiche e turismo culturale</w:t>
      </w:r>
      <w:r w:rsidRPr="008B016A">
        <w:rPr>
          <w:rFonts w:ascii="Times New Roman" w:hAnsi="Times New Roman" w:cs="Times New Roman"/>
          <w:color w:val="auto"/>
          <w:sz w:val="24"/>
          <w:szCs w:val="24"/>
        </w:rPr>
        <w:t xml:space="preserve">. Bologna: CLUEB. </w:t>
      </w:r>
    </w:p>
    <w:p w14:paraId="6AFEF2A2" w14:textId="77777777" w:rsidR="00B5751B" w:rsidRPr="008B016A" w:rsidRDefault="00B5751B" w:rsidP="00BD114A">
      <w:pPr>
        <w:tabs>
          <w:tab w:val="left" w:pos="6663"/>
        </w:tabs>
        <w:spacing w:afterLines="40" w:after="96" w:line="240" w:lineRule="auto"/>
        <w:jc w:val="both"/>
        <w:rPr>
          <w:rFonts w:ascii="Times New Roman" w:hAnsi="Times New Roman" w:cs="Times New Roman"/>
          <w:bCs/>
          <w:sz w:val="24"/>
          <w:szCs w:val="24"/>
          <w:lang w:val="en-US"/>
        </w:rPr>
      </w:pPr>
      <w:r w:rsidRPr="008B016A">
        <w:rPr>
          <w:rFonts w:ascii="Times New Roman" w:hAnsi="Times New Roman" w:cs="Times New Roman"/>
          <w:bCs/>
          <w:sz w:val="24"/>
          <w:szCs w:val="24"/>
          <w:lang w:val="en-US"/>
        </w:rPr>
        <w:t xml:space="preserve">Dann G., Cohen E. (1991). Sociology and tourism. </w:t>
      </w:r>
      <w:r w:rsidRPr="008B016A">
        <w:rPr>
          <w:rFonts w:ascii="Times New Roman" w:hAnsi="Times New Roman" w:cs="Times New Roman"/>
          <w:bCs/>
          <w:i/>
          <w:sz w:val="24"/>
          <w:szCs w:val="24"/>
          <w:lang w:val="en-US"/>
        </w:rPr>
        <w:t>Annals of Tourism Research</w:t>
      </w:r>
      <w:r w:rsidRPr="008B016A">
        <w:rPr>
          <w:rFonts w:ascii="Times New Roman" w:hAnsi="Times New Roman" w:cs="Times New Roman"/>
          <w:bCs/>
          <w:sz w:val="24"/>
          <w:szCs w:val="24"/>
          <w:lang w:val="en-US"/>
        </w:rPr>
        <w:t>, 18(1), 155–169.</w:t>
      </w:r>
    </w:p>
    <w:p w14:paraId="51AF1867"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proofErr w:type="spellStart"/>
      <w:r w:rsidRPr="008B016A">
        <w:rPr>
          <w:rFonts w:ascii="Times New Roman" w:eastAsiaTheme="minorEastAsia" w:hAnsi="Times New Roman" w:cs="Times New Roman"/>
          <w:color w:val="auto"/>
          <w:sz w:val="24"/>
          <w:szCs w:val="24"/>
          <w:lang w:val="en-GB"/>
        </w:rPr>
        <w:t>Digance</w:t>
      </w:r>
      <w:proofErr w:type="spellEnd"/>
      <w:r w:rsidRPr="008B016A">
        <w:rPr>
          <w:rFonts w:ascii="Times New Roman" w:eastAsiaTheme="minorEastAsia" w:hAnsi="Times New Roman" w:cs="Times New Roman"/>
          <w:color w:val="auto"/>
          <w:sz w:val="24"/>
          <w:szCs w:val="24"/>
          <w:lang w:val="en-GB"/>
        </w:rPr>
        <w:t xml:space="preserve"> J. (2003). Pilgrimage at Contested Sites. </w:t>
      </w:r>
      <w:r w:rsidRPr="008B016A">
        <w:rPr>
          <w:rFonts w:ascii="Times New Roman" w:eastAsiaTheme="minorEastAsia" w:hAnsi="Times New Roman" w:cs="Times New Roman"/>
          <w:i/>
          <w:iCs/>
          <w:color w:val="auto"/>
          <w:sz w:val="24"/>
          <w:szCs w:val="24"/>
          <w:lang w:val="en-GB"/>
        </w:rPr>
        <w:t>Annals of Tourism Research</w:t>
      </w:r>
      <w:r w:rsidRPr="008B016A">
        <w:rPr>
          <w:rFonts w:ascii="Times New Roman" w:eastAsiaTheme="minorEastAsia" w:hAnsi="Times New Roman" w:cs="Times New Roman"/>
          <w:color w:val="auto"/>
          <w:sz w:val="24"/>
          <w:szCs w:val="24"/>
          <w:lang w:val="en-GB"/>
        </w:rPr>
        <w:t>, 30 (1), 143-159.</w:t>
      </w:r>
    </w:p>
    <w:p w14:paraId="45480275"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8B016A">
        <w:rPr>
          <w:rFonts w:ascii="Times New Roman" w:hAnsi="Times New Roman" w:cs="Times New Roman"/>
          <w:color w:val="20201F"/>
          <w:sz w:val="24"/>
          <w:szCs w:val="24"/>
        </w:rPr>
        <w:t xml:space="preserve">Ferrario C. (2010). L’autenticità dell’esperienza del viaggio dal pellegrinaggio al turismo religioso. </w:t>
      </w:r>
      <w:r w:rsidRPr="008B016A">
        <w:rPr>
          <w:rFonts w:ascii="Times New Roman" w:hAnsi="Times New Roman" w:cs="Times New Roman"/>
          <w:i/>
          <w:iCs/>
          <w:color w:val="20201F"/>
          <w:sz w:val="24"/>
          <w:szCs w:val="24"/>
        </w:rPr>
        <w:t>Ambiente Società e Territorio</w:t>
      </w:r>
      <w:r w:rsidRPr="008B016A">
        <w:rPr>
          <w:rFonts w:ascii="Times New Roman" w:hAnsi="Times New Roman" w:cs="Times New Roman"/>
          <w:color w:val="20201F"/>
          <w:sz w:val="24"/>
          <w:szCs w:val="24"/>
        </w:rPr>
        <w:t>, 4(5), 19-24.</w:t>
      </w:r>
    </w:p>
    <w:p w14:paraId="76931094" w14:textId="77777777" w:rsidR="00B5751B" w:rsidRPr="008B016A" w:rsidRDefault="00B5751B" w:rsidP="00BD114A">
      <w:pPr>
        <w:pStyle w:val="NormalWeb"/>
        <w:spacing w:before="0" w:beforeAutospacing="0" w:after="120" w:afterAutospacing="0"/>
        <w:jc w:val="both"/>
        <w:rPr>
          <w:color w:val="20201F"/>
          <w:lang w:val="en-GB"/>
        </w:rPr>
      </w:pPr>
      <w:r w:rsidRPr="008B016A">
        <w:rPr>
          <w:color w:val="20201F"/>
        </w:rPr>
        <w:lastRenderedPageBreak/>
        <w:t xml:space="preserve">Gazzini M. (2002). Gli utenti della strada: mercanti, pellegrini, militari. </w:t>
      </w:r>
      <w:r w:rsidRPr="008B016A">
        <w:rPr>
          <w:i/>
          <w:iCs/>
          <w:color w:val="20201F"/>
          <w:lang w:val="en-GB"/>
        </w:rPr>
        <w:t xml:space="preserve">RM Reti </w:t>
      </w:r>
      <w:proofErr w:type="spellStart"/>
      <w:r w:rsidRPr="008B016A">
        <w:rPr>
          <w:i/>
          <w:iCs/>
          <w:color w:val="20201F"/>
          <w:lang w:val="en-GB"/>
        </w:rPr>
        <w:t>Medievali</w:t>
      </w:r>
      <w:proofErr w:type="spellEnd"/>
      <w:r w:rsidRPr="008B016A">
        <w:rPr>
          <w:color w:val="20201F"/>
          <w:lang w:val="en-GB"/>
        </w:rPr>
        <w:t>, 3 (1), 1-12.</w:t>
      </w:r>
    </w:p>
    <w:p w14:paraId="02EFE1F3" w14:textId="77777777" w:rsidR="00B5751B" w:rsidRPr="008B016A" w:rsidRDefault="00B5751B" w:rsidP="00BD114A">
      <w:pPr>
        <w:tabs>
          <w:tab w:val="left" w:pos="6663"/>
        </w:tabs>
        <w:autoSpaceDE w:val="0"/>
        <w:autoSpaceDN w:val="0"/>
        <w:adjustRightInd w:val="0"/>
        <w:spacing w:afterLines="40" w:after="96" w:line="240" w:lineRule="auto"/>
        <w:jc w:val="both"/>
        <w:rPr>
          <w:rFonts w:ascii="Times New Roman" w:hAnsi="Times New Roman" w:cs="Times New Roman"/>
          <w:bCs/>
          <w:sz w:val="24"/>
          <w:szCs w:val="24"/>
          <w:lang w:val="en-US"/>
        </w:rPr>
      </w:pPr>
      <w:proofErr w:type="spellStart"/>
      <w:r w:rsidRPr="008B016A">
        <w:rPr>
          <w:rFonts w:ascii="Times New Roman" w:hAnsi="Times New Roman" w:cs="Times New Roman"/>
          <w:bCs/>
          <w:sz w:val="24"/>
          <w:szCs w:val="24"/>
          <w:lang w:val="en-US"/>
        </w:rPr>
        <w:t>Graburn</w:t>
      </w:r>
      <w:proofErr w:type="spellEnd"/>
      <w:r w:rsidRPr="008B016A">
        <w:rPr>
          <w:rFonts w:ascii="Times New Roman" w:hAnsi="Times New Roman" w:cs="Times New Roman"/>
          <w:bCs/>
          <w:sz w:val="24"/>
          <w:szCs w:val="24"/>
          <w:lang w:val="en-US"/>
        </w:rPr>
        <w:t xml:space="preserve"> N. (1989). Tourism: the sacred journey. In Smith V.L. (Ed.), </w:t>
      </w:r>
      <w:r w:rsidRPr="008B016A">
        <w:rPr>
          <w:rFonts w:ascii="Times New Roman" w:hAnsi="Times New Roman" w:cs="Times New Roman"/>
          <w:bCs/>
          <w:i/>
          <w:sz w:val="24"/>
          <w:szCs w:val="24"/>
          <w:lang w:val="en-US"/>
        </w:rPr>
        <w:t xml:space="preserve">Hosts and guest: The anthropology of tourism </w:t>
      </w:r>
      <w:r w:rsidRPr="008B016A">
        <w:rPr>
          <w:rFonts w:ascii="Times New Roman" w:hAnsi="Times New Roman" w:cs="Times New Roman"/>
          <w:bCs/>
          <w:iCs/>
          <w:sz w:val="24"/>
          <w:szCs w:val="24"/>
          <w:lang w:val="en-US"/>
        </w:rPr>
        <w:t>(17–32).</w:t>
      </w:r>
      <w:r w:rsidRPr="008B016A">
        <w:rPr>
          <w:rFonts w:ascii="Times New Roman" w:hAnsi="Times New Roman" w:cs="Times New Roman"/>
          <w:bCs/>
          <w:i/>
          <w:sz w:val="24"/>
          <w:szCs w:val="24"/>
          <w:lang w:val="en-US"/>
        </w:rPr>
        <w:t xml:space="preserve"> </w:t>
      </w:r>
      <w:r w:rsidRPr="008B016A">
        <w:rPr>
          <w:rFonts w:ascii="Times New Roman" w:hAnsi="Times New Roman" w:cs="Times New Roman"/>
          <w:bCs/>
          <w:sz w:val="24"/>
          <w:szCs w:val="24"/>
          <w:lang w:val="en-US"/>
        </w:rPr>
        <w:t>Philadelphia: University of Pennsylvania Press.</w:t>
      </w:r>
    </w:p>
    <w:p w14:paraId="47BBD535" w14:textId="77777777" w:rsidR="00B5751B" w:rsidRPr="008B016A" w:rsidRDefault="00B5751B" w:rsidP="00BD114A">
      <w:pPr>
        <w:tabs>
          <w:tab w:val="left" w:pos="6663"/>
        </w:tabs>
        <w:autoSpaceDE w:val="0"/>
        <w:autoSpaceDN w:val="0"/>
        <w:adjustRightInd w:val="0"/>
        <w:spacing w:afterLines="40" w:after="96" w:line="240" w:lineRule="auto"/>
        <w:jc w:val="both"/>
        <w:rPr>
          <w:rFonts w:ascii="Times New Roman" w:hAnsi="Times New Roman" w:cs="Times New Roman"/>
          <w:bCs/>
          <w:sz w:val="24"/>
          <w:szCs w:val="24"/>
          <w:lang w:val="en-US"/>
        </w:rPr>
      </w:pPr>
      <w:proofErr w:type="spellStart"/>
      <w:r w:rsidRPr="008B016A">
        <w:rPr>
          <w:rFonts w:ascii="Times New Roman" w:hAnsi="Times New Roman" w:cs="Times New Roman"/>
          <w:bCs/>
          <w:sz w:val="24"/>
          <w:szCs w:val="24"/>
          <w:lang w:val="en-US"/>
        </w:rPr>
        <w:t>Graburn</w:t>
      </w:r>
      <w:proofErr w:type="spellEnd"/>
      <w:r w:rsidRPr="008B016A">
        <w:rPr>
          <w:rFonts w:ascii="Times New Roman" w:hAnsi="Times New Roman" w:cs="Times New Roman"/>
          <w:bCs/>
          <w:sz w:val="24"/>
          <w:szCs w:val="24"/>
          <w:lang w:val="en-US"/>
        </w:rPr>
        <w:t xml:space="preserve"> N. (2001). Secular ritual: a general theory of tourism. In Smith V.L. (Ed.), </w:t>
      </w:r>
      <w:r w:rsidRPr="008B016A">
        <w:rPr>
          <w:rFonts w:ascii="Times New Roman" w:hAnsi="Times New Roman" w:cs="Times New Roman"/>
          <w:bCs/>
          <w:i/>
          <w:sz w:val="24"/>
          <w:szCs w:val="24"/>
          <w:lang w:val="en-US"/>
        </w:rPr>
        <w:t>Hosts and guests revisited</w:t>
      </w:r>
      <w:r w:rsidRPr="008B016A">
        <w:rPr>
          <w:rFonts w:ascii="Times New Roman" w:hAnsi="Times New Roman" w:cs="Times New Roman"/>
          <w:bCs/>
          <w:sz w:val="24"/>
          <w:szCs w:val="24"/>
          <w:lang w:val="en-US"/>
        </w:rPr>
        <w:t xml:space="preserve">. </w:t>
      </w:r>
      <w:r w:rsidRPr="008B016A">
        <w:rPr>
          <w:rFonts w:ascii="Times New Roman" w:hAnsi="Times New Roman" w:cs="Times New Roman"/>
          <w:bCs/>
          <w:i/>
          <w:iCs/>
          <w:sz w:val="24"/>
          <w:szCs w:val="24"/>
          <w:lang w:val="en-US"/>
        </w:rPr>
        <w:t xml:space="preserve">Tourism issues of the 21st century </w:t>
      </w:r>
      <w:r w:rsidRPr="008B016A">
        <w:rPr>
          <w:rFonts w:ascii="Times New Roman" w:hAnsi="Times New Roman" w:cs="Times New Roman"/>
          <w:bCs/>
          <w:sz w:val="24"/>
          <w:szCs w:val="24"/>
          <w:lang w:val="en-US"/>
        </w:rPr>
        <w:t>(pp. 42-50). New York: Cognizant Communication Corporation.</w:t>
      </w:r>
    </w:p>
    <w:p w14:paraId="0BEF395C"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8B016A">
        <w:rPr>
          <w:rFonts w:ascii="Times New Roman" w:hAnsi="Times New Roman" w:cs="Times New Roman"/>
          <w:color w:val="000000" w:themeColor="text1"/>
          <w:sz w:val="24"/>
          <w:szCs w:val="24"/>
        </w:rPr>
        <w:t>Istituto Nazionale Ricerche Turistiche - ISNART (</w:t>
      </w:r>
      <w:r w:rsidRPr="008B016A">
        <w:rPr>
          <w:rFonts w:ascii="Times New Roman" w:eastAsiaTheme="minorEastAsia" w:hAnsi="Times New Roman" w:cs="Times New Roman"/>
          <w:color w:val="000000" w:themeColor="text1"/>
          <w:sz w:val="24"/>
          <w:szCs w:val="24"/>
        </w:rPr>
        <w:t>2</w:t>
      </w:r>
      <w:r w:rsidRPr="008B016A">
        <w:rPr>
          <w:rFonts w:ascii="Times New Roman" w:eastAsiaTheme="minorEastAsia" w:hAnsi="Times New Roman" w:cs="Times New Roman"/>
          <w:color w:val="auto"/>
          <w:sz w:val="24"/>
          <w:szCs w:val="24"/>
        </w:rPr>
        <w:t xml:space="preserve">013). </w:t>
      </w:r>
      <w:r w:rsidRPr="008B016A">
        <w:rPr>
          <w:rFonts w:ascii="Times New Roman" w:eastAsiaTheme="minorEastAsia" w:hAnsi="Times New Roman" w:cs="Times New Roman"/>
          <w:i/>
          <w:iCs/>
          <w:color w:val="auto"/>
          <w:sz w:val="24"/>
          <w:szCs w:val="24"/>
        </w:rPr>
        <w:t>Il fascino spirituale</w:t>
      </w:r>
      <w:r w:rsidRPr="008B016A">
        <w:rPr>
          <w:rFonts w:ascii="Times New Roman" w:eastAsiaTheme="minorEastAsia" w:hAnsi="Times New Roman" w:cs="Times New Roman"/>
          <w:color w:val="auto"/>
          <w:sz w:val="24"/>
          <w:szCs w:val="24"/>
        </w:rPr>
        <w:t xml:space="preserve">. </w:t>
      </w:r>
      <w:r w:rsidRPr="008B016A">
        <w:rPr>
          <w:rFonts w:ascii="Times New Roman" w:hAnsi="Times New Roman" w:cs="Times New Roman"/>
          <w:color w:val="000000" w:themeColor="text1"/>
          <w:sz w:val="24"/>
          <w:szCs w:val="24"/>
          <w:shd w:val="clear" w:color="auto" w:fill="FFFFFF"/>
        </w:rPr>
        <w:t>O</w:t>
      </w:r>
      <w:r w:rsidRPr="008B016A">
        <w:rPr>
          <w:rFonts w:ascii="Times New Roman" w:eastAsiaTheme="minorEastAsia" w:hAnsi="Times New Roman" w:cs="Times New Roman"/>
          <w:color w:val="auto"/>
          <w:sz w:val="24"/>
          <w:szCs w:val="24"/>
        </w:rPr>
        <w:t xml:space="preserve">nline: </w:t>
      </w:r>
      <w:r w:rsidRPr="008B016A">
        <w:rPr>
          <w:rFonts w:ascii="Times New Roman" w:eastAsiaTheme="minorEastAsia" w:hAnsi="Times New Roman" w:cs="Times New Roman"/>
          <w:sz w:val="24"/>
          <w:szCs w:val="24"/>
        </w:rPr>
        <w:t>http://www.isnart.it/.</w:t>
      </w:r>
    </w:p>
    <w:p w14:paraId="73784680" w14:textId="77777777" w:rsidR="00B5751B" w:rsidRPr="008B016A" w:rsidRDefault="00B5751B" w:rsidP="00BD114A">
      <w:pPr>
        <w:autoSpaceDE w:val="0"/>
        <w:autoSpaceDN w:val="0"/>
        <w:adjustRightInd w:val="0"/>
        <w:spacing w:after="120" w:line="240" w:lineRule="auto"/>
        <w:jc w:val="both"/>
        <w:rPr>
          <w:rFonts w:ascii="Times New Roman" w:hAnsi="Times New Roman" w:cs="Times New Roman"/>
          <w:color w:val="000000" w:themeColor="text1"/>
          <w:sz w:val="24"/>
          <w:szCs w:val="24"/>
          <w:shd w:val="clear" w:color="auto" w:fill="FFFFFF"/>
        </w:rPr>
      </w:pPr>
      <w:r w:rsidRPr="008B016A">
        <w:rPr>
          <w:rFonts w:ascii="Times New Roman" w:hAnsi="Times New Roman" w:cs="Times New Roman"/>
          <w:color w:val="000000" w:themeColor="text1"/>
          <w:sz w:val="24"/>
          <w:szCs w:val="24"/>
        </w:rPr>
        <w:t>Istituto Nazionale Ricerche Turistiche - ISNART (</w:t>
      </w:r>
      <w:r w:rsidRPr="008B016A">
        <w:rPr>
          <w:rFonts w:ascii="Times New Roman" w:eastAsiaTheme="minorEastAsia" w:hAnsi="Times New Roman" w:cs="Times New Roman"/>
          <w:color w:val="000000" w:themeColor="text1"/>
          <w:sz w:val="24"/>
          <w:szCs w:val="24"/>
        </w:rPr>
        <w:t xml:space="preserve">2023). </w:t>
      </w:r>
      <w:r w:rsidRPr="008B016A">
        <w:rPr>
          <w:rFonts w:ascii="Times New Roman" w:eastAsiaTheme="minorEastAsia" w:hAnsi="Times New Roman" w:cs="Times New Roman"/>
          <w:i/>
          <w:iCs/>
          <w:color w:val="000000" w:themeColor="text1"/>
          <w:sz w:val="24"/>
          <w:szCs w:val="24"/>
        </w:rPr>
        <w:t>T</w:t>
      </w:r>
      <w:r w:rsidRPr="008B016A">
        <w:rPr>
          <w:rFonts w:ascii="Times New Roman" w:hAnsi="Times New Roman" w:cs="Times New Roman"/>
          <w:i/>
          <w:iCs/>
          <w:color w:val="000000" w:themeColor="text1"/>
          <w:sz w:val="24"/>
          <w:szCs w:val="24"/>
          <w:shd w:val="clear" w:color="auto" w:fill="FFFFFF"/>
        </w:rPr>
        <w:t xml:space="preserve">urismo Spirituale Report 2022. </w:t>
      </w:r>
      <w:r w:rsidRPr="008B016A">
        <w:rPr>
          <w:rFonts w:ascii="Times New Roman" w:hAnsi="Times New Roman" w:cs="Times New Roman"/>
          <w:color w:val="000000" w:themeColor="text1"/>
          <w:sz w:val="24"/>
          <w:szCs w:val="24"/>
          <w:shd w:val="clear" w:color="auto" w:fill="FFFFFF"/>
        </w:rPr>
        <w:t>Online https://www.isnart.it/it/report-sui-turismi/turismo-spirituale-report-2022/.</w:t>
      </w:r>
    </w:p>
    <w:p w14:paraId="683592A9"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proofErr w:type="spellStart"/>
      <w:r w:rsidRPr="008B016A">
        <w:rPr>
          <w:rFonts w:ascii="Times New Roman" w:eastAsiaTheme="minorEastAsia" w:hAnsi="Times New Roman" w:cs="Times New Roman"/>
          <w:color w:val="auto"/>
          <w:sz w:val="24"/>
          <w:szCs w:val="24"/>
          <w:lang w:val="en-GB"/>
        </w:rPr>
        <w:t>MacCannell</w:t>
      </w:r>
      <w:proofErr w:type="spellEnd"/>
      <w:r w:rsidRPr="008B016A">
        <w:rPr>
          <w:rFonts w:ascii="Times New Roman" w:eastAsiaTheme="minorEastAsia" w:hAnsi="Times New Roman" w:cs="Times New Roman"/>
          <w:color w:val="auto"/>
          <w:sz w:val="24"/>
          <w:szCs w:val="24"/>
          <w:lang w:val="en-GB"/>
        </w:rPr>
        <w:t xml:space="preserve"> D. (1973). Staged authenticity, arrangements of social space in tourist settings. </w:t>
      </w:r>
      <w:r w:rsidRPr="008B016A">
        <w:rPr>
          <w:rFonts w:ascii="Times New Roman" w:eastAsiaTheme="minorEastAsia" w:hAnsi="Times New Roman" w:cs="Times New Roman"/>
          <w:i/>
          <w:iCs/>
          <w:color w:val="auto"/>
          <w:sz w:val="24"/>
          <w:szCs w:val="24"/>
          <w:lang w:val="en-GB"/>
        </w:rPr>
        <w:t>American Journal of Sociology</w:t>
      </w:r>
      <w:r w:rsidRPr="008B016A">
        <w:rPr>
          <w:rFonts w:ascii="Times New Roman" w:eastAsiaTheme="minorEastAsia" w:hAnsi="Times New Roman" w:cs="Times New Roman"/>
          <w:color w:val="auto"/>
          <w:sz w:val="24"/>
          <w:szCs w:val="24"/>
          <w:lang w:val="en-GB"/>
        </w:rPr>
        <w:t>, 79(3), 589–603.</w:t>
      </w:r>
    </w:p>
    <w:p w14:paraId="6A484877" w14:textId="77777777" w:rsidR="00B5751B" w:rsidRPr="008B016A" w:rsidRDefault="00B5751B" w:rsidP="00BD114A">
      <w:pPr>
        <w:tabs>
          <w:tab w:val="left" w:pos="6663"/>
        </w:tabs>
        <w:spacing w:afterLines="40" w:after="96" w:line="240" w:lineRule="auto"/>
        <w:jc w:val="both"/>
        <w:rPr>
          <w:rFonts w:ascii="Times New Roman" w:hAnsi="Times New Roman" w:cs="Times New Roman"/>
          <w:bCs/>
          <w:sz w:val="24"/>
          <w:szCs w:val="24"/>
          <w:lang w:val="en-US"/>
        </w:rPr>
      </w:pPr>
      <w:r w:rsidRPr="008B016A">
        <w:rPr>
          <w:rFonts w:ascii="Times New Roman" w:hAnsi="Times New Roman" w:cs="Times New Roman"/>
          <w:bCs/>
          <w:sz w:val="24"/>
          <w:szCs w:val="24"/>
          <w:lang w:val="en-US"/>
        </w:rPr>
        <w:t xml:space="preserve">Nolan M. L., Nolan S (1992). Religious sites as tourism attractions in Europe. </w:t>
      </w:r>
      <w:r w:rsidRPr="008B016A">
        <w:rPr>
          <w:rFonts w:ascii="Times New Roman" w:hAnsi="Times New Roman" w:cs="Times New Roman"/>
          <w:bCs/>
          <w:i/>
          <w:sz w:val="24"/>
          <w:szCs w:val="24"/>
          <w:lang w:val="en-US"/>
        </w:rPr>
        <w:t xml:space="preserve">Annals of Tourism Research, </w:t>
      </w:r>
      <w:r w:rsidRPr="008B016A">
        <w:rPr>
          <w:rFonts w:ascii="Times New Roman" w:hAnsi="Times New Roman" w:cs="Times New Roman"/>
          <w:bCs/>
          <w:sz w:val="24"/>
          <w:szCs w:val="24"/>
          <w:lang w:val="en-US"/>
        </w:rPr>
        <w:t>19 (1), 68–78.</w:t>
      </w:r>
    </w:p>
    <w:p w14:paraId="7210ECB9"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r w:rsidRPr="008B016A">
        <w:rPr>
          <w:rFonts w:ascii="Times New Roman" w:eastAsiaTheme="minorEastAsia" w:hAnsi="Times New Roman" w:cs="Times New Roman"/>
          <w:color w:val="auto"/>
          <w:sz w:val="24"/>
          <w:szCs w:val="24"/>
          <w:lang w:val="en-GB"/>
        </w:rPr>
        <w:t xml:space="preserve">Olsen D.H. (2013). A Scalar Comparison of Motivations and Expectations of Experience within the Religious Tourism Market. </w:t>
      </w:r>
      <w:r w:rsidRPr="008B016A">
        <w:rPr>
          <w:rFonts w:ascii="Times New Roman" w:eastAsiaTheme="minorEastAsia" w:hAnsi="Times New Roman" w:cs="Times New Roman"/>
          <w:i/>
          <w:iCs/>
          <w:color w:val="auto"/>
          <w:sz w:val="24"/>
          <w:szCs w:val="24"/>
          <w:lang w:val="en-GB"/>
        </w:rPr>
        <w:t>International Journal of Religious Tourism and Pilgrimage</w:t>
      </w:r>
      <w:r w:rsidRPr="008B016A">
        <w:rPr>
          <w:rFonts w:ascii="Times New Roman" w:eastAsiaTheme="minorEastAsia" w:hAnsi="Times New Roman" w:cs="Times New Roman"/>
          <w:color w:val="auto"/>
          <w:sz w:val="24"/>
          <w:szCs w:val="24"/>
          <w:lang w:val="en-GB"/>
        </w:rPr>
        <w:t>, 1 (1), 41-61.</w:t>
      </w:r>
    </w:p>
    <w:p w14:paraId="0E5659D7" w14:textId="77777777" w:rsidR="00B5751B" w:rsidRPr="008D0D8C" w:rsidRDefault="00B5751B" w:rsidP="00BD114A">
      <w:pPr>
        <w:pStyle w:val="bibliografia"/>
        <w:spacing w:after="120"/>
        <w:ind w:left="0" w:firstLine="0"/>
        <w:rPr>
          <w:rFonts w:ascii="Times New Roman" w:hAnsi="Times New Roman" w:cs="Times New Roman"/>
          <w:color w:val="auto"/>
          <w:sz w:val="24"/>
          <w:szCs w:val="24"/>
          <w:lang w:val="en-GB"/>
        </w:rPr>
      </w:pPr>
      <w:proofErr w:type="spellStart"/>
      <w:r w:rsidRPr="008D0D8C">
        <w:rPr>
          <w:rFonts w:ascii="Times New Roman" w:hAnsi="Times New Roman" w:cs="Times New Roman"/>
          <w:color w:val="auto"/>
          <w:sz w:val="24"/>
          <w:szCs w:val="24"/>
          <w:lang w:val="en-GB"/>
        </w:rPr>
        <w:t>Osservatorio</w:t>
      </w:r>
      <w:proofErr w:type="spellEnd"/>
      <w:r w:rsidRPr="008D0D8C">
        <w:rPr>
          <w:rFonts w:ascii="Times New Roman" w:hAnsi="Times New Roman" w:cs="Times New Roman"/>
          <w:color w:val="auto"/>
          <w:sz w:val="24"/>
          <w:szCs w:val="24"/>
          <w:lang w:val="en-GB"/>
        </w:rPr>
        <w:t xml:space="preserve"> </w:t>
      </w:r>
      <w:proofErr w:type="spellStart"/>
      <w:r w:rsidRPr="008D0D8C">
        <w:rPr>
          <w:rFonts w:ascii="Times New Roman" w:hAnsi="Times New Roman" w:cs="Times New Roman"/>
          <w:color w:val="auto"/>
          <w:sz w:val="24"/>
          <w:szCs w:val="24"/>
          <w:lang w:val="en-GB"/>
        </w:rPr>
        <w:t>turistico</w:t>
      </w:r>
      <w:proofErr w:type="spellEnd"/>
      <w:r w:rsidRPr="008D0D8C">
        <w:rPr>
          <w:rFonts w:ascii="Times New Roman" w:hAnsi="Times New Roman" w:cs="Times New Roman"/>
          <w:color w:val="auto"/>
          <w:sz w:val="24"/>
          <w:szCs w:val="24"/>
          <w:lang w:val="en-GB"/>
        </w:rPr>
        <w:t xml:space="preserve"> della </w:t>
      </w:r>
      <w:proofErr w:type="spellStart"/>
      <w:r w:rsidRPr="008D0D8C">
        <w:rPr>
          <w:rFonts w:ascii="Times New Roman" w:hAnsi="Times New Roman" w:cs="Times New Roman"/>
          <w:color w:val="auto"/>
          <w:sz w:val="24"/>
          <w:szCs w:val="24"/>
          <w:lang w:val="en-GB"/>
        </w:rPr>
        <w:t>Regione</w:t>
      </w:r>
      <w:proofErr w:type="spellEnd"/>
      <w:r w:rsidRPr="008D0D8C">
        <w:rPr>
          <w:rFonts w:ascii="Times New Roman" w:hAnsi="Times New Roman" w:cs="Times New Roman"/>
          <w:color w:val="auto"/>
          <w:sz w:val="24"/>
          <w:szCs w:val="24"/>
          <w:lang w:val="en-GB"/>
        </w:rPr>
        <w:t xml:space="preserve"> Piemonte (2024). </w:t>
      </w:r>
      <w:r w:rsidRPr="008B016A">
        <w:rPr>
          <w:rFonts w:ascii="Times New Roman" w:hAnsi="Times New Roman" w:cs="Times New Roman"/>
          <w:i/>
          <w:iCs/>
          <w:color w:val="auto"/>
          <w:sz w:val="24"/>
          <w:szCs w:val="24"/>
        </w:rPr>
        <w:t>Rapporto statistico del turismo</w:t>
      </w:r>
      <w:r w:rsidRPr="008B016A">
        <w:rPr>
          <w:rFonts w:ascii="Times New Roman" w:hAnsi="Times New Roman" w:cs="Times New Roman"/>
          <w:color w:val="auto"/>
          <w:sz w:val="24"/>
          <w:szCs w:val="24"/>
        </w:rPr>
        <w:t xml:space="preserve">. </w:t>
      </w:r>
      <w:r w:rsidRPr="008B016A">
        <w:rPr>
          <w:rFonts w:ascii="Times New Roman" w:hAnsi="Times New Roman" w:cs="Times New Roman"/>
          <w:i/>
          <w:iCs/>
          <w:color w:val="auto"/>
          <w:sz w:val="24"/>
          <w:szCs w:val="24"/>
        </w:rPr>
        <w:t>Anno 2023</w:t>
      </w:r>
      <w:r w:rsidRPr="008B016A">
        <w:rPr>
          <w:rFonts w:ascii="Times New Roman" w:hAnsi="Times New Roman" w:cs="Times New Roman"/>
          <w:color w:val="auto"/>
          <w:sz w:val="24"/>
          <w:szCs w:val="24"/>
        </w:rPr>
        <w:t xml:space="preserve">. </w:t>
      </w:r>
      <w:r w:rsidRPr="008D0D8C">
        <w:rPr>
          <w:rFonts w:ascii="Times New Roman" w:hAnsi="Times New Roman" w:cs="Times New Roman"/>
          <w:color w:val="auto"/>
          <w:sz w:val="24"/>
          <w:szCs w:val="24"/>
          <w:lang w:val="en-GB"/>
        </w:rPr>
        <w:t>Online: https://www.visitpiemonte-dmo.org/osservatorioturistico/rapporto-dati-2023/</w:t>
      </w:r>
    </w:p>
    <w:p w14:paraId="21C13E7C"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r w:rsidRPr="008B016A">
        <w:rPr>
          <w:rFonts w:ascii="Times New Roman" w:eastAsiaTheme="minorEastAsia" w:hAnsi="Times New Roman" w:cs="Times New Roman"/>
          <w:color w:val="auto"/>
          <w:sz w:val="24"/>
          <w:szCs w:val="24"/>
          <w:lang w:val="en-GB"/>
        </w:rPr>
        <w:t xml:space="preserve">Smith V.L. (1992). Introduction: The quest in guest. </w:t>
      </w:r>
      <w:r w:rsidRPr="008B016A">
        <w:rPr>
          <w:rFonts w:ascii="Times New Roman" w:eastAsiaTheme="minorEastAsia" w:hAnsi="Times New Roman" w:cs="Times New Roman"/>
          <w:i/>
          <w:iCs/>
          <w:color w:val="auto"/>
          <w:sz w:val="24"/>
          <w:szCs w:val="24"/>
          <w:lang w:val="en-GB"/>
        </w:rPr>
        <w:t>Annals of Tourism Research</w:t>
      </w:r>
      <w:r w:rsidRPr="008B016A">
        <w:rPr>
          <w:rFonts w:ascii="Times New Roman" w:eastAsiaTheme="minorEastAsia" w:hAnsi="Times New Roman" w:cs="Times New Roman"/>
          <w:color w:val="auto"/>
          <w:sz w:val="24"/>
          <w:szCs w:val="24"/>
          <w:lang w:val="en-GB"/>
        </w:rPr>
        <w:t>, 19 (1), 1–17.</w:t>
      </w:r>
    </w:p>
    <w:p w14:paraId="0D86E96D" w14:textId="77777777" w:rsidR="00B5751B" w:rsidRPr="008B016A" w:rsidRDefault="00B5751B" w:rsidP="00BD114A">
      <w:pPr>
        <w:pStyle w:val="bibliografia"/>
        <w:spacing w:after="120"/>
        <w:ind w:left="0" w:firstLine="0"/>
        <w:rPr>
          <w:rFonts w:ascii="Times New Roman" w:eastAsia="Calibri" w:hAnsi="Times New Roman" w:cs="Times New Roman"/>
          <w:bCs/>
          <w:sz w:val="24"/>
          <w:szCs w:val="24"/>
          <w:lang w:val="en-GB" w:eastAsia="it-IT"/>
        </w:rPr>
      </w:pPr>
      <w:r w:rsidRPr="008B016A">
        <w:rPr>
          <w:rFonts w:ascii="Times New Roman" w:eastAsia="Calibri" w:hAnsi="Times New Roman" w:cs="Times New Roman"/>
          <w:bCs/>
          <w:sz w:val="24"/>
          <w:szCs w:val="24"/>
          <w:lang w:val="en-GB" w:eastAsia="it-IT"/>
        </w:rPr>
        <w:t xml:space="preserve">Timothy D. J. (2011). </w:t>
      </w:r>
      <w:r w:rsidRPr="008B016A">
        <w:rPr>
          <w:rFonts w:ascii="Times New Roman" w:eastAsia="Calibri" w:hAnsi="Times New Roman" w:cs="Times New Roman"/>
          <w:bCs/>
          <w:i/>
          <w:iCs/>
          <w:sz w:val="24"/>
          <w:szCs w:val="24"/>
          <w:lang w:val="en-GB" w:eastAsia="it-IT"/>
        </w:rPr>
        <w:t>Cultural heritage and tourism: An introduction</w:t>
      </w:r>
      <w:r w:rsidRPr="008B016A">
        <w:rPr>
          <w:rFonts w:ascii="Times New Roman" w:eastAsia="Calibri" w:hAnsi="Times New Roman" w:cs="Times New Roman"/>
          <w:bCs/>
          <w:sz w:val="24"/>
          <w:szCs w:val="24"/>
          <w:lang w:val="en-GB" w:eastAsia="it-IT"/>
        </w:rPr>
        <w:t>. Bristol (UK): Channel View Publications.</w:t>
      </w:r>
    </w:p>
    <w:p w14:paraId="0BB5ADED" w14:textId="77777777" w:rsidR="00B5751B" w:rsidRPr="008B016A" w:rsidRDefault="00B5751B" w:rsidP="00BD114A">
      <w:pPr>
        <w:tabs>
          <w:tab w:val="left" w:pos="6663"/>
        </w:tabs>
        <w:autoSpaceDE w:val="0"/>
        <w:autoSpaceDN w:val="0"/>
        <w:adjustRightInd w:val="0"/>
        <w:spacing w:afterLines="40" w:after="96" w:line="240" w:lineRule="auto"/>
        <w:jc w:val="both"/>
        <w:rPr>
          <w:rFonts w:ascii="Times New Roman" w:hAnsi="Times New Roman" w:cs="Times New Roman"/>
          <w:bCs/>
          <w:sz w:val="24"/>
          <w:szCs w:val="24"/>
          <w:lang w:val="en-US"/>
        </w:rPr>
      </w:pPr>
      <w:r w:rsidRPr="008B016A">
        <w:rPr>
          <w:rFonts w:ascii="Times New Roman" w:hAnsi="Times New Roman" w:cs="Times New Roman"/>
          <w:bCs/>
          <w:sz w:val="24"/>
          <w:szCs w:val="24"/>
          <w:lang w:val="en-US"/>
        </w:rPr>
        <w:t xml:space="preserve">Timothy D. J., Olsen D. H. (2006). </w:t>
      </w:r>
      <w:r w:rsidRPr="008B016A">
        <w:rPr>
          <w:rFonts w:ascii="Times New Roman" w:hAnsi="Times New Roman" w:cs="Times New Roman"/>
          <w:bCs/>
          <w:i/>
          <w:sz w:val="24"/>
          <w:szCs w:val="24"/>
          <w:lang w:val="en-US"/>
        </w:rPr>
        <w:t>Tourism, religion and spiritual journeys</w:t>
      </w:r>
      <w:r w:rsidRPr="008B016A">
        <w:rPr>
          <w:rFonts w:ascii="Times New Roman" w:hAnsi="Times New Roman" w:cs="Times New Roman"/>
          <w:bCs/>
          <w:sz w:val="24"/>
          <w:szCs w:val="24"/>
          <w:lang w:val="en-US"/>
        </w:rPr>
        <w:t>, London: Routledge.</w:t>
      </w:r>
    </w:p>
    <w:p w14:paraId="53DE20D5"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r w:rsidRPr="008B016A">
        <w:rPr>
          <w:rFonts w:ascii="Times New Roman" w:eastAsiaTheme="minorEastAsia" w:hAnsi="Times New Roman" w:cs="Times New Roman"/>
          <w:color w:val="auto"/>
          <w:sz w:val="24"/>
          <w:szCs w:val="24"/>
          <w:lang w:val="en-GB"/>
        </w:rPr>
        <w:t xml:space="preserve">Turner V., Turner E. (1978). </w:t>
      </w:r>
      <w:r w:rsidRPr="008B016A">
        <w:rPr>
          <w:rFonts w:ascii="Times New Roman" w:eastAsiaTheme="minorEastAsia" w:hAnsi="Times New Roman" w:cs="Times New Roman"/>
          <w:i/>
          <w:iCs/>
          <w:color w:val="auto"/>
          <w:sz w:val="24"/>
          <w:szCs w:val="24"/>
          <w:lang w:val="en-GB"/>
        </w:rPr>
        <w:t>Image and pilgrimage in Christian culture</w:t>
      </w:r>
      <w:r w:rsidRPr="008B016A">
        <w:rPr>
          <w:rFonts w:ascii="Times New Roman" w:eastAsiaTheme="minorEastAsia" w:hAnsi="Times New Roman" w:cs="Times New Roman"/>
          <w:color w:val="auto"/>
          <w:sz w:val="24"/>
          <w:szCs w:val="24"/>
          <w:lang w:val="en-GB"/>
        </w:rPr>
        <w:t>. New York: Colombia University Press.</w:t>
      </w:r>
    </w:p>
    <w:p w14:paraId="0B9E6D04"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r w:rsidRPr="008B016A">
        <w:rPr>
          <w:rFonts w:ascii="Times New Roman" w:eastAsiaTheme="minorEastAsia" w:hAnsi="Times New Roman" w:cs="Times New Roman"/>
          <w:color w:val="auto"/>
          <w:sz w:val="24"/>
          <w:szCs w:val="24"/>
          <w:lang w:val="en-GB"/>
        </w:rPr>
        <w:t xml:space="preserve">Urry J. (2001). </w:t>
      </w:r>
      <w:r w:rsidRPr="008B016A">
        <w:rPr>
          <w:rFonts w:ascii="Times New Roman" w:eastAsiaTheme="minorEastAsia" w:hAnsi="Times New Roman" w:cs="Times New Roman"/>
          <w:i/>
          <w:iCs/>
          <w:color w:val="auto"/>
          <w:sz w:val="24"/>
          <w:szCs w:val="24"/>
          <w:lang w:val="en-GB"/>
        </w:rPr>
        <w:t>The Tourist Gaze</w:t>
      </w:r>
      <w:r w:rsidRPr="008B016A">
        <w:rPr>
          <w:rFonts w:ascii="Times New Roman" w:eastAsiaTheme="minorEastAsia" w:hAnsi="Times New Roman" w:cs="Times New Roman"/>
          <w:color w:val="auto"/>
          <w:sz w:val="24"/>
          <w:szCs w:val="24"/>
          <w:lang w:val="en-GB"/>
        </w:rPr>
        <w:t>. London: Sage Publications.</w:t>
      </w:r>
    </w:p>
    <w:p w14:paraId="57C8D991" w14:textId="77777777" w:rsidR="00B5751B" w:rsidRPr="008B016A" w:rsidRDefault="00B5751B" w:rsidP="00BD114A">
      <w:pPr>
        <w:autoSpaceDE w:val="0"/>
        <w:autoSpaceDN w:val="0"/>
        <w:adjustRightInd w:val="0"/>
        <w:spacing w:after="120" w:line="240" w:lineRule="auto"/>
        <w:jc w:val="both"/>
        <w:rPr>
          <w:rFonts w:ascii="Times New Roman" w:hAnsi="Times New Roman" w:cs="Times New Roman"/>
          <w:color w:val="20201F"/>
          <w:sz w:val="24"/>
          <w:szCs w:val="24"/>
        </w:rPr>
      </w:pPr>
      <w:r w:rsidRPr="008B016A">
        <w:rPr>
          <w:rFonts w:ascii="Times New Roman" w:hAnsi="Times New Roman" w:cs="Times New Roman"/>
          <w:color w:val="20201F"/>
          <w:sz w:val="24"/>
          <w:szCs w:val="24"/>
          <w:lang w:val="en-GB"/>
        </w:rPr>
        <w:t xml:space="preserve">Vercauteren F. (1964). La circulation des </w:t>
      </w:r>
      <w:proofErr w:type="spellStart"/>
      <w:r w:rsidRPr="008B016A">
        <w:rPr>
          <w:rFonts w:ascii="Times New Roman" w:hAnsi="Times New Roman" w:cs="Times New Roman"/>
          <w:color w:val="20201F"/>
          <w:sz w:val="24"/>
          <w:szCs w:val="24"/>
          <w:lang w:val="en-GB"/>
        </w:rPr>
        <w:t>marchands</w:t>
      </w:r>
      <w:proofErr w:type="spellEnd"/>
      <w:r w:rsidRPr="008B016A">
        <w:rPr>
          <w:rFonts w:ascii="Times New Roman" w:hAnsi="Times New Roman" w:cs="Times New Roman"/>
          <w:color w:val="20201F"/>
          <w:sz w:val="24"/>
          <w:szCs w:val="24"/>
          <w:lang w:val="en-GB"/>
        </w:rPr>
        <w:t xml:space="preserve"> </w:t>
      </w:r>
      <w:proofErr w:type="spellStart"/>
      <w:r w:rsidRPr="008B016A">
        <w:rPr>
          <w:rFonts w:ascii="Times New Roman" w:hAnsi="Times New Roman" w:cs="Times New Roman"/>
          <w:color w:val="20201F"/>
          <w:sz w:val="24"/>
          <w:szCs w:val="24"/>
          <w:lang w:val="en-GB"/>
        </w:rPr>
        <w:t>en</w:t>
      </w:r>
      <w:proofErr w:type="spellEnd"/>
      <w:r w:rsidRPr="008B016A">
        <w:rPr>
          <w:rFonts w:ascii="Times New Roman" w:hAnsi="Times New Roman" w:cs="Times New Roman"/>
          <w:color w:val="20201F"/>
          <w:sz w:val="24"/>
          <w:szCs w:val="24"/>
          <w:lang w:val="en-GB"/>
        </w:rPr>
        <w:t xml:space="preserve"> Europe occidentale du </w:t>
      </w:r>
      <w:proofErr w:type="spellStart"/>
      <w:r w:rsidRPr="008B016A">
        <w:rPr>
          <w:rFonts w:ascii="Times New Roman" w:hAnsi="Times New Roman" w:cs="Times New Roman"/>
          <w:color w:val="20201F"/>
          <w:sz w:val="24"/>
          <w:szCs w:val="24"/>
          <w:lang w:val="en-GB"/>
        </w:rPr>
        <w:t>VIe</w:t>
      </w:r>
      <w:proofErr w:type="spellEnd"/>
      <w:r w:rsidRPr="008B016A">
        <w:rPr>
          <w:rFonts w:ascii="Times New Roman" w:hAnsi="Times New Roman" w:cs="Times New Roman"/>
          <w:color w:val="20201F"/>
          <w:sz w:val="24"/>
          <w:szCs w:val="24"/>
          <w:lang w:val="en-GB"/>
        </w:rPr>
        <w:t xml:space="preserve"> au Xe siècle: aspects </w:t>
      </w:r>
      <w:proofErr w:type="spellStart"/>
      <w:r w:rsidRPr="008B016A">
        <w:rPr>
          <w:rFonts w:ascii="Times New Roman" w:hAnsi="Times New Roman" w:cs="Times New Roman"/>
          <w:color w:val="20201F"/>
          <w:sz w:val="24"/>
          <w:szCs w:val="24"/>
          <w:lang w:val="en-GB"/>
        </w:rPr>
        <w:t>économiques</w:t>
      </w:r>
      <w:proofErr w:type="spellEnd"/>
      <w:r w:rsidRPr="008B016A">
        <w:rPr>
          <w:rFonts w:ascii="Times New Roman" w:hAnsi="Times New Roman" w:cs="Times New Roman"/>
          <w:color w:val="20201F"/>
          <w:sz w:val="24"/>
          <w:szCs w:val="24"/>
          <w:lang w:val="en-GB"/>
        </w:rPr>
        <w:t xml:space="preserve"> et </w:t>
      </w:r>
      <w:proofErr w:type="spellStart"/>
      <w:r w:rsidRPr="008B016A">
        <w:rPr>
          <w:rFonts w:ascii="Times New Roman" w:hAnsi="Times New Roman" w:cs="Times New Roman"/>
          <w:color w:val="20201F"/>
          <w:sz w:val="24"/>
          <w:szCs w:val="24"/>
          <w:lang w:val="en-GB"/>
        </w:rPr>
        <w:t>culturels</w:t>
      </w:r>
      <w:proofErr w:type="spellEnd"/>
      <w:r w:rsidRPr="008B016A">
        <w:rPr>
          <w:rFonts w:ascii="Times New Roman" w:hAnsi="Times New Roman" w:cs="Times New Roman"/>
          <w:color w:val="20201F"/>
          <w:sz w:val="24"/>
          <w:szCs w:val="24"/>
          <w:lang w:val="en-GB"/>
        </w:rPr>
        <w:t xml:space="preserve">. </w:t>
      </w:r>
      <w:r w:rsidRPr="008B016A">
        <w:rPr>
          <w:rFonts w:ascii="Times New Roman" w:hAnsi="Times New Roman" w:cs="Times New Roman"/>
          <w:color w:val="20201F"/>
          <w:sz w:val="24"/>
          <w:szCs w:val="24"/>
        </w:rPr>
        <w:t xml:space="preserve">In Centro Italiano di Studi sull’Alto Medioevo (a cura di), </w:t>
      </w:r>
      <w:r w:rsidRPr="008B016A">
        <w:rPr>
          <w:rFonts w:ascii="Times New Roman" w:hAnsi="Times New Roman" w:cs="Times New Roman"/>
          <w:i/>
          <w:iCs/>
          <w:color w:val="20201F"/>
          <w:sz w:val="24"/>
          <w:szCs w:val="24"/>
        </w:rPr>
        <w:t>Centri e vie di irradiazione della civiltà nell’alto Medioevo</w:t>
      </w:r>
      <w:r w:rsidRPr="008B016A">
        <w:rPr>
          <w:rFonts w:ascii="Times New Roman" w:hAnsi="Times New Roman" w:cs="Times New Roman"/>
          <w:color w:val="20201F"/>
          <w:sz w:val="24"/>
          <w:szCs w:val="24"/>
        </w:rPr>
        <w:t>, Atti del Convegno, Spoleto 18-23 aprile 1963, (pp. 393-411). Spoleto: CISAM.</w:t>
      </w:r>
    </w:p>
    <w:p w14:paraId="4F4F6279"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r w:rsidRPr="008B016A">
        <w:rPr>
          <w:rFonts w:ascii="Times New Roman" w:hAnsi="Times New Roman" w:cs="Times New Roman"/>
          <w:color w:val="20201F"/>
          <w:sz w:val="24"/>
          <w:szCs w:val="24"/>
        </w:rPr>
        <w:t xml:space="preserve">Visit Piemonte (2025). </w:t>
      </w:r>
      <w:r w:rsidRPr="008B016A">
        <w:rPr>
          <w:rFonts w:ascii="Times New Roman" w:hAnsi="Times New Roman" w:cs="Times New Roman"/>
          <w:i/>
          <w:iCs/>
          <w:color w:val="20201F"/>
          <w:sz w:val="24"/>
          <w:szCs w:val="24"/>
        </w:rPr>
        <w:t>Rapporto Statistico del Turismo Anno 2024. Edizione 2025</w:t>
      </w:r>
      <w:r w:rsidRPr="008B016A">
        <w:rPr>
          <w:rFonts w:ascii="Times New Roman" w:hAnsi="Times New Roman" w:cs="Times New Roman"/>
          <w:color w:val="20201F"/>
          <w:sz w:val="24"/>
          <w:szCs w:val="24"/>
        </w:rPr>
        <w:t xml:space="preserve">. </w:t>
      </w:r>
      <w:r w:rsidRPr="008B016A">
        <w:rPr>
          <w:rFonts w:ascii="Times New Roman" w:hAnsi="Times New Roman" w:cs="Times New Roman"/>
          <w:color w:val="20201F"/>
          <w:sz w:val="24"/>
          <w:szCs w:val="24"/>
          <w:lang w:val="en-GB"/>
        </w:rPr>
        <w:t>Online: https://www.visitpiemonte-dmo.org/osservatorioturistico/rapporto-dati-2024/</w:t>
      </w:r>
    </w:p>
    <w:p w14:paraId="33818AC8"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proofErr w:type="spellStart"/>
      <w:r w:rsidRPr="008B016A">
        <w:rPr>
          <w:rFonts w:ascii="Times New Roman" w:eastAsiaTheme="minorEastAsia" w:hAnsi="Times New Roman" w:cs="Times New Roman"/>
          <w:color w:val="auto"/>
          <w:sz w:val="24"/>
          <w:szCs w:val="24"/>
          <w:lang w:val="en-GB"/>
        </w:rPr>
        <w:t>Vukonić</w:t>
      </w:r>
      <w:proofErr w:type="spellEnd"/>
      <w:r w:rsidRPr="008B016A">
        <w:rPr>
          <w:rFonts w:ascii="Times New Roman" w:eastAsiaTheme="minorEastAsia" w:hAnsi="Times New Roman" w:cs="Times New Roman"/>
          <w:color w:val="auto"/>
          <w:sz w:val="24"/>
          <w:szCs w:val="24"/>
          <w:lang w:val="en-GB"/>
        </w:rPr>
        <w:t xml:space="preserve"> B. (1996). </w:t>
      </w:r>
      <w:r w:rsidRPr="008B016A">
        <w:rPr>
          <w:rFonts w:ascii="Times New Roman" w:eastAsiaTheme="minorEastAsia" w:hAnsi="Times New Roman" w:cs="Times New Roman"/>
          <w:i/>
          <w:iCs/>
          <w:color w:val="auto"/>
          <w:sz w:val="24"/>
          <w:szCs w:val="24"/>
          <w:lang w:val="en-GB"/>
        </w:rPr>
        <w:t>Tourism and religion</w:t>
      </w:r>
      <w:r w:rsidRPr="008B016A">
        <w:rPr>
          <w:rFonts w:ascii="Times New Roman" w:eastAsiaTheme="minorEastAsia" w:hAnsi="Times New Roman" w:cs="Times New Roman"/>
          <w:color w:val="auto"/>
          <w:sz w:val="24"/>
          <w:szCs w:val="24"/>
          <w:lang w:val="en-GB"/>
        </w:rPr>
        <w:t>. London: Elsevier Science Ltd.</w:t>
      </w:r>
    </w:p>
    <w:p w14:paraId="0BB5F7CC" w14:textId="77777777" w:rsidR="00B5751B" w:rsidRPr="008D0D8C" w:rsidRDefault="00B5751B" w:rsidP="00F55037">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D71335">
        <w:rPr>
          <w:rFonts w:ascii="Times New Roman" w:eastAsiaTheme="minorEastAsia" w:hAnsi="Times New Roman" w:cs="Times New Roman"/>
          <w:color w:val="auto"/>
          <w:sz w:val="24"/>
          <w:szCs w:val="24"/>
          <w:lang w:val="en-GB"/>
        </w:rPr>
        <w:t xml:space="preserve">World Heritage Committee (2003). </w:t>
      </w:r>
      <w:r w:rsidRPr="00D71335">
        <w:rPr>
          <w:rFonts w:ascii="Times New Roman" w:eastAsiaTheme="minorEastAsia" w:hAnsi="Times New Roman" w:cs="Times New Roman"/>
          <w:i/>
          <w:iCs/>
          <w:color w:val="auto"/>
          <w:sz w:val="24"/>
          <w:szCs w:val="24"/>
          <w:lang w:val="en-GB"/>
        </w:rPr>
        <w:t xml:space="preserve">Decisions adopted by the 27th Session of the World Heritage Committee </w:t>
      </w:r>
      <w:r w:rsidRPr="00D71335">
        <w:rPr>
          <w:rFonts w:ascii="Times New Roman" w:eastAsiaTheme="minorEastAsia" w:hAnsi="Times New Roman" w:cs="Times New Roman"/>
          <w:color w:val="auto"/>
          <w:sz w:val="24"/>
          <w:szCs w:val="24"/>
          <w:lang w:val="en-GB"/>
        </w:rPr>
        <w:t xml:space="preserve">– WHC 03/27.COM/24. </w:t>
      </w:r>
      <w:r w:rsidRPr="008D0D8C">
        <w:rPr>
          <w:rFonts w:ascii="Times New Roman" w:eastAsiaTheme="minorEastAsia" w:hAnsi="Times New Roman" w:cs="Times New Roman"/>
          <w:color w:val="auto"/>
          <w:sz w:val="24"/>
          <w:szCs w:val="24"/>
        </w:rPr>
        <w:t>Paris: UNESCO Headquarters.</w:t>
      </w:r>
    </w:p>
    <w:p w14:paraId="5EEFF81E" w14:textId="77777777" w:rsidR="00B5751B" w:rsidRPr="008B016A" w:rsidRDefault="00B5751B" w:rsidP="0055048E">
      <w:pPr>
        <w:spacing w:after="120" w:line="100" w:lineRule="atLeast"/>
        <w:jc w:val="both"/>
        <w:rPr>
          <w:rFonts w:ascii="Times New Roman" w:hAnsi="Times New Roman" w:cs="Times New Roman"/>
          <w:bCs/>
          <w:sz w:val="24"/>
          <w:szCs w:val="24"/>
        </w:rPr>
      </w:pPr>
      <w:r w:rsidRPr="008B016A">
        <w:rPr>
          <w:rFonts w:ascii="Times New Roman" w:hAnsi="Times New Roman" w:cs="Times New Roman"/>
          <w:bCs/>
          <w:sz w:val="24"/>
          <w:szCs w:val="24"/>
        </w:rPr>
        <w:t xml:space="preserve">Zanzi L. (1995). Il sistema dei Sacri Monti prealpini, In A.A. V.V. (1995), Conservazione e fruizione dei Sacri Monti in Europa. </w:t>
      </w:r>
      <w:r w:rsidRPr="008B016A">
        <w:rPr>
          <w:rFonts w:ascii="Times New Roman" w:hAnsi="Times New Roman" w:cs="Times New Roman"/>
          <w:bCs/>
          <w:i/>
          <w:iCs/>
          <w:sz w:val="24"/>
          <w:szCs w:val="24"/>
        </w:rPr>
        <w:t>Atti del Convegno, Domodossola, Sacro Monte Calvario 15-16 ottobre 1992</w:t>
      </w:r>
      <w:r w:rsidRPr="008B016A">
        <w:rPr>
          <w:rFonts w:ascii="Times New Roman" w:hAnsi="Times New Roman" w:cs="Times New Roman"/>
          <w:bCs/>
          <w:sz w:val="24"/>
          <w:szCs w:val="24"/>
        </w:rPr>
        <w:t>. Torino: Regione Piemonte.</w:t>
      </w:r>
    </w:p>
    <w:p w14:paraId="3AB4031B" w14:textId="77777777" w:rsidR="00F55037" w:rsidRPr="008D0D8C" w:rsidRDefault="00F55037" w:rsidP="00BD114A">
      <w:pPr>
        <w:autoSpaceDE w:val="0"/>
        <w:autoSpaceDN w:val="0"/>
        <w:adjustRightInd w:val="0"/>
        <w:spacing w:after="120" w:line="240" w:lineRule="auto"/>
        <w:jc w:val="both"/>
        <w:rPr>
          <w:rFonts w:ascii="Times New Roman" w:eastAsiaTheme="minorEastAsia" w:hAnsi="Times New Roman" w:cs="Times New Roman"/>
          <w:b/>
          <w:bCs/>
          <w:color w:val="auto"/>
          <w:sz w:val="24"/>
          <w:szCs w:val="24"/>
        </w:rPr>
      </w:pPr>
    </w:p>
    <w:p w14:paraId="5D76C9DA" w14:textId="4DAABC9A" w:rsidR="0055048E" w:rsidRPr="008D0D8C" w:rsidRDefault="00BD114A"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8D0D8C">
        <w:rPr>
          <w:rFonts w:ascii="Times New Roman" w:eastAsiaTheme="minorEastAsia" w:hAnsi="Times New Roman" w:cs="Times New Roman"/>
          <w:b/>
          <w:bCs/>
          <w:color w:val="auto"/>
          <w:sz w:val="24"/>
          <w:szCs w:val="24"/>
        </w:rPr>
        <w:t>Sitografia</w:t>
      </w:r>
      <w:r w:rsidR="0055048E" w:rsidRPr="008D0D8C">
        <w:rPr>
          <w:rFonts w:ascii="Times New Roman" w:eastAsiaTheme="minorEastAsia" w:hAnsi="Times New Roman" w:cs="Times New Roman"/>
          <w:color w:val="auto"/>
          <w:sz w:val="24"/>
          <w:szCs w:val="24"/>
        </w:rPr>
        <w:t xml:space="preserve"> (ultima consultazione 26 ottobre 2025)</w:t>
      </w:r>
    </w:p>
    <w:p w14:paraId="1F18D514" w14:textId="77777777" w:rsidR="0055048E" w:rsidRPr="001E3E83" w:rsidRDefault="0055048E"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1E3E83">
        <w:rPr>
          <w:rFonts w:ascii="Times New Roman" w:eastAsiaTheme="minorEastAsia" w:hAnsi="Times New Roman" w:cs="Times New Roman"/>
          <w:color w:val="auto"/>
          <w:sz w:val="24"/>
          <w:szCs w:val="24"/>
        </w:rPr>
        <w:t xml:space="preserve">Consiglio Regionale del Piemonte, </w:t>
      </w:r>
      <w:hyperlink r:id="rId11" w:history="1">
        <w:r w:rsidRPr="00534AC1">
          <w:rPr>
            <w:rFonts w:ascii="Times New Roman" w:eastAsiaTheme="minorEastAsia" w:hAnsi="Times New Roman" w:cs="Times New Roman"/>
            <w:color w:val="auto"/>
            <w:sz w:val="24"/>
            <w:szCs w:val="24"/>
          </w:rPr>
          <w:t>http://arianna.consiglioregionale.piemonte.it</w:t>
        </w:r>
      </w:hyperlink>
    </w:p>
    <w:p w14:paraId="16B32EB8" w14:textId="77777777" w:rsidR="0055048E" w:rsidRPr="001E3E83" w:rsidRDefault="0055048E"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1E3E83">
        <w:rPr>
          <w:rFonts w:ascii="Times New Roman" w:eastAsiaTheme="minorEastAsia" w:hAnsi="Times New Roman" w:cs="Times New Roman"/>
          <w:color w:val="auto"/>
          <w:sz w:val="24"/>
          <w:szCs w:val="24"/>
        </w:rPr>
        <w:t>Dipartimento per le politiche di coesione e per il sud, https://politichecoesione.governo.it/it/</w:t>
      </w:r>
    </w:p>
    <w:p w14:paraId="73140323" w14:textId="77777777" w:rsidR="0055048E" w:rsidRPr="001E3E83" w:rsidRDefault="0055048E"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1E3E83">
        <w:rPr>
          <w:rFonts w:ascii="Times New Roman" w:eastAsiaTheme="minorEastAsia" w:hAnsi="Times New Roman" w:cs="Times New Roman"/>
          <w:color w:val="auto"/>
          <w:sz w:val="24"/>
          <w:szCs w:val="24"/>
        </w:rPr>
        <w:t xml:space="preserve">Ente di gestione dei </w:t>
      </w:r>
      <w:r>
        <w:rPr>
          <w:rFonts w:ascii="Times New Roman" w:eastAsiaTheme="minorEastAsia" w:hAnsi="Times New Roman" w:cs="Times New Roman"/>
          <w:color w:val="auto"/>
          <w:sz w:val="24"/>
          <w:szCs w:val="24"/>
        </w:rPr>
        <w:t>S</w:t>
      </w:r>
      <w:r w:rsidRPr="001E3E83">
        <w:rPr>
          <w:rFonts w:ascii="Times New Roman" w:eastAsiaTheme="minorEastAsia" w:hAnsi="Times New Roman" w:cs="Times New Roman"/>
          <w:color w:val="auto"/>
          <w:sz w:val="24"/>
          <w:szCs w:val="24"/>
        </w:rPr>
        <w:t>acri Mont</w:t>
      </w:r>
      <w:r>
        <w:rPr>
          <w:rFonts w:ascii="Times New Roman" w:eastAsiaTheme="minorEastAsia" w:hAnsi="Times New Roman" w:cs="Times New Roman"/>
          <w:color w:val="auto"/>
          <w:sz w:val="24"/>
          <w:szCs w:val="24"/>
        </w:rPr>
        <w:t>i</w:t>
      </w:r>
      <w:r w:rsidRPr="001E3E83">
        <w:rPr>
          <w:rFonts w:ascii="Times New Roman" w:eastAsiaTheme="minorEastAsia" w:hAnsi="Times New Roman" w:cs="Times New Roman"/>
          <w:color w:val="auto"/>
          <w:sz w:val="24"/>
          <w:szCs w:val="24"/>
        </w:rPr>
        <w:t xml:space="preserve">, </w:t>
      </w:r>
      <w:hyperlink r:id="rId12" w:history="1">
        <w:r w:rsidRPr="00534AC1">
          <w:rPr>
            <w:rFonts w:ascii="Times New Roman" w:eastAsiaTheme="minorEastAsia" w:hAnsi="Times New Roman" w:cs="Times New Roman"/>
            <w:color w:val="auto"/>
            <w:sz w:val="24"/>
            <w:szCs w:val="24"/>
          </w:rPr>
          <w:t>https://www.sacri-monti.com/</w:t>
        </w:r>
      </w:hyperlink>
    </w:p>
    <w:p w14:paraId="61C93BB1" w14:textId="77777777" w:rsidR="0055048E" w:rsidRPr="001E3E83" w:rsidRDefault="0055048E"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1E3E83">
        <w:rPr>
          <w:rFonts w:ascii="Times New Roman" w:eastAsiaTheme="minorEastAsia" w:hAnsi="Times New Roman" w:cs="Times New Roman"/>
          <w:color w:val="auto"/>
          <w:sz w:val="24"/>
          <w:szCs w:val="24"/>
        </w:rPr>
        <w:t xml:space="preserve">Interreg Italia-Svizzera: </w:t>
      </w:r>
      <w:hyperlink r:id="rId13" w:history="1">
        <w:r w:rsidRPr="001E3E83">
          <w:rPr>
            <w:rFonts w:ascii="Times New Roman" w:eastAsiaTheme="minorEastAsia" w:hAnsi="Times New Roman" w:cs="Times New Roman"/>
            <w:color w:val="auto"/>
            <w:sz w:val="24"/>
            <w:szCs w:val="24"/>
          </w:rPr>
          <w:t>https://main10ance.eu/</w:t>
        </w:r>
      </w:hyperlink>
    </w:p>
    <w:p w14:paraId="0003D763" w14:textId="77777777" w:rsidR="0055048E" w:rsidRPr="000451CE" w:rsidRDefault="0055048E" w:rsidP="00534AC1">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0451CE">
        <w:rPr>
          <w:rFonts w:ascii="Times New Roman" w:eastAsiaTheme="minorEastAsia" w:hAnsi="Times New Roman" w:cs="Times New Roman"/>
          <w:color w:val="auto"/>
          <w:sz w:val="24"/>
          <w:szCs w:val="24"/>
        </w:rPr>
        <w:t>Ministero del Turismo: https://www.ministeroturismo.gov.it</w:t>
      </w:r>
      <w:r>
        <w:rPr>
          <w:rFonts w:ascii="Times New Roman" w:eastAsiaTheme="minorEastAsia" w:hAnsi="Times New Roman" w:cs="Times New Roman"/>
          <w:color w:val="auto"/>
          <w:sz w:val="24"/>
          <w:szCs w:val="24"/>
        </w:rPr>
        <w:t>/</w:t>
      </w:r>
    </w:p>
    <w:p w14:paraId="2E6A9B87" w14:textId="77777777" w:rsidR="0055048E" w:rsidRPr="001E3E83" w:rsidRDefault="0055048E"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1E3E83">
        <w:rPr>
          <w:rFonts w:ascii="Times New Roman" w:eastAsiaTheme="minorEastAsia" w:hAnsi="Times New Roman" w:cs="Times New Roman"/>
          <w:color w:val="auto"/>
          <w:sz w:val="24"/>
          <w:szCs w:val="24"/>
        </w:rPr>
        <w:t xml:space="preserve">Sacri </w:t>
      </w:r>
      <w:r>
        <w:rPr>
          <w:rFonts w:ascii="Times New Roman" w:eastAsiaTheme="minorEastAsia" w:hAnsi="Times New Roman" w:cs="Times New Roman"/>
          <w:color w:val="auto"/>
          <w:sz w:val="24"/>
          <w:szCs w:val="24"/>
        </w:rPr>
        <w:t>M</w:t>
      </w:r>
      <w:r w:rsidRPr="001E3E83">
        <w:rPr>
          <w:rFonts w:ascii="Times New Roman" w:eastAsiaTheme="minorEastAsia" w:hAnsi="Times New Roman" w:cs="Times New Roman"/>
          <w:color w:val="auto"/>
          <w:sz w:val="24"/>
          <w:szCs w:val="24"/>
        </w:rPr>
        <w:t xml:space="preserve">onti: </w:t>
      </w:r>
      <w:hyperlink r:id="rId14" w:anchor="/" w:history="1">
        <w:r w:rsidRPr="00534AC1">
          <w:rPr>
            <w:rFonts w:ascii="Times New Roman" w:eastAsiaTheme="minorEastAsia" w:hAnsi="Times New Roman" w:cs="Times New Roman"/>
            <w:color w:val="auto"/>
            <w:sz w:val="24"/>
            <w:szCs w:val="24"/>
          </w:rPr>
          <w:t>https://www.sacrimonti.org/en/#/</w:t>
        </w:r>
      </w:hyperlink>
    </w:p>
    <w:p w14:paraId="4ADD441D" w14:textId="77777777" w:rsidR="0055048E" w:rsidRDefault="0055048E" w:rsidP="00534AC1">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534AC1">
        <w:rPr>
          <w:rFonts w:ascii="Times New Roman" w:eastAsiaTheme="minorEastAsia" w:hAnsi="Times New Roman" w:cs="Times New Roman"/>
          <w:color w:val="auto"/>
          <w:sz w:val="24"/>
          <w:szCs w:val="24"/>
        </w:rPr>
        <w:t>UNESCO: https://www.unesco.it/it/unesco-vicino-a-te/siti-patrimonio-mondiale/sacri-monti-del-piemonte-e-della-lombardia/</w:t>
      </w:r>
    </w:p>
    <w:p w14:paraId="61DBEAC8" w14:textId="77777777" w:rsidR="008D0D8C" w:rsidRDefault="008D0D8C" w:rsidP="00534AC1">
      <w:pPr>
        <w:autoSpaceDE w:val="0"/>
        <w:autoSpaceDN w:val="0"/>
        <w:adjustRightInd w:val="0"/>
        <w:spacing w:after="120" w:line="240" w:lineRule="auto"/>
        <w:jc w:val="both"/>
        <w:rPr>
          <w:rFonts w:ascii="Times New Roman" w:eastAsiaTheme="minorEastAsia" w:hAnsi="Times New Roman" w:cs="Times New Roman"/>
          <w:color w:val="auto"/>
          <w:sz w:val="24"/>
          <w:szCs w:val="24"/>
        </w:rPr>
      </w:pPr>
    </w:p>
    <w:sectPr w:rsidR="008D0D8C" w:rsidSect="002765CA">
      <w:headerReference w:type="even" r:id="rId15"/>
      <w:headerReference w:type="default" r:id="rId16"/>
      <w:footerReference w:type="even" r:id="rId17"/>
      <w:footerReference w:type="default" r:id="rId18"/>
      <w:headerReference w:type="first" r:id="rId19"/>
      <w:footerReference w:type="first" r:id="rId20"/>
      <w:pgSz w:w="11904" w:h="16832"/>
      <w:pgMar w:top="1701" w:right="1418" w:bottom="1701"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BCCE" w14:textId="77777777" w:rsidR="00212BE3" w:rsidRDefault="00212BE3" w:rsidP="00BF42E1">
      <w:pPr>
        <w:spacing w:after="0" w:line="240" w:lineRule="auto"/>
      </w:pPr>
      <w:r>
        <w:separator/>
      </w:r>
    </w:p>
  </w:endnote>
  <w:endnote w:type="continuationSeparator" w:id="0">
    <w:p w14:paraId="6B5A19B0" w14:textId="77777777" w:rsidR="00212BE3" w:rsidRDefault="00212BE3" w:rsidP="00BF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1CF2" w14:textId="77777777" w:rsidR="00ED327C" w:rsidRDefault="00ED32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5248" w14:textId="77777777" w:rsidR="002765CA" w:rsidRDefault="002765CA" w:rsidP="002765CA">
    <w:pPr>
      <w:tabs>
        <w:tab w:val="center" w:pos="4252"/>
        <w:tab w:val="right" w:pos="8504"/>
      </w:tabs>
      <w:spacing w:after="0" w:line="240" w:lineRule="auto"/>
      <w:jc w:val="center"/>
      <w:rPr>
        <w:rFonts w:ascii="Times New Roman" w:hAnsi="Times New Roman" w:cs="Times New Roman"/>
        <w:b/>
        <w:bCs/>
        <w:color w:val="C00000"/>
        <w:sz w:val="18"/>
        <w:szCs w:val="18"/>
        <w:lang w:val="en-GB" w:eastAsia="en-US"/>
      </w:rPr>
    </w:pPr>
  </w:p>
  <w:p w14:paraId="0743B842" w14:textId="05232898" w:rsidR="002765CA" w:rsidRPr="002765CA" w:rsidRDefault="002765CA" w:rsidP="002765CA">
    <w:pPr>
      <w:tabs>
        <w:tab w:val="center" w:pos="4252"/>
        <w:tab w:val="right" w:pos="8504"/>
      </w:tabs>
      <w:spacing w:after="0" w:line="240" w:lineRule="auto"/>
      <w:jc w:val="center"/>
      <w:rPr>
        <w:rFonts w:ascii="Times New Roman" w:hAnsi="Times New Roman" w:cs="Times New Roman"/>
        <w:b/>
        <w:bCs/>
        <w:color w:val="C00000"/>
        <w:sz w:val="18"/>
        <w:szCs w:val="18"/>
        <w:lang w:val="en-GB" w:eastAsia="en-US"/>
      </w:rPr>
    </w:pPr>
    <w:r w:rsidRPr="002765CA">
      <w:rPr>
        <w:rFonts w:ascii="Times New Roman" w:hAnsi="Times New Roman" w:cs="Times New Roman"/>
        <w:b/>
        <w:bCs/>
        <w:color w:val="C00000"/>
        <w:sz w:val="18"/>
        <w:szCs w:val="18"/>
        <w:lang w:val="en-GB" w:eastAsia="en-US"/>
      </w:rPr>
      <w:t xml:space="preserve">Revista Internacional de Turismo, Empresa y </w:t>
    </w:r>
    <w:proofErr w:type="spellStart"/>
    <w:r w:rsidRPr="002765CA">
      <w:rPr>
        <w:rFonts w:ascii="Times New Roman" w:hAnsi="Times New Roman" w:cs="Times New Roman"/>
        <w:b/>
        <w:bCs/>
        <w:color w:val="C00000"/>
        <w:sz w:val="18"/>
        <w:szCs w:val="18"/>
        <w:lang w:val="en-GB" w:eastAsia="en-US"/>
      </w:rPr>
      <w:t>Territorio</w:t>
    </w:r>
    <w:proofErr w:type="spellEnd"/>
    <w:r w:rsidRPr="002765CA">
      <w:rPr>
        <w:rFonts w:ascii="Times New Roman" w:hAnsi="Times New Roman" w:cs="Times New Roman"/>
        <w:b/>
        <w:bCs/>
        <w:color w:val="C00000"/>
        <w:sz w:val="18"/>
        <w:szCs w:val="18"/>
        <w:lang w:val="en-GB" w:eastAsia="en-US"/>
      </w:rPr>
      <w:t>, vol. 9, nº 2, 2025, pp. 2</w:t>
    </w:r>
    <w:r>
      <w:rPr>
        <w:rFonts w:ascii="Times New Roman" w:hAnsi="Times New Roman" w:cs="Times New Roman"/>
        <w:b/>
        <w:bCs/>
        <w:color w:val="C00000"/>
        <w:sz w:val="18"/>
        <w:szCs w:val="18"/>
        <w:lang w:val="en-GB" w:eastAsia="en-US"/>
      </w:rPr>
      <w:t>21</w:t>
    </w:r>
    <w:r w:rsidRPr="002765CA">
      <w:rPr>
        <w:rFonts w:ascii="Times New Roman" w:hAnsi="Times New Roman" w:cs="Times New Roman"/>
        <w:b/>
        <w:bCs/>
        <w:color w:val="C00000"/>
        <w:sz w:val="18"/>
        <w:szCs w:val="18"/>
        <w:lang w:val="en-GB" w:eastAsia="en-US"/>
      </w:rPr>
      <w:t>-2</w:t>
    </w:r>
    <w:r>
      <w:rPr>
        <w:rFonts w:ascii="Times New Roman" w:hAnsi="Times New Roman" w:cs="Times New Roman"/>
        <w:b/>
        <w:bCs/>
        <w:color w:val="C00000"/>
        <w:sz w:val="18"/>
        <w:szCs w:val="18"/>
        <w:lang w:val="en-GB" w:eastAsia="en-US"/>
      </w:rPr>
      <w:t>36</w:t>
    </w:r>
    <w:r w:rsidRPr="002765CA">
      <w:rPr>
        <w:rFonts w:ascii="Times New Roman" w:hAnsi="Times New Roman" w:cs="Times New Roman"/>
        <w:b/>
        <w:bCs/>
        <w:color w:val="C00000"/>
        <w:sz w:val="18"/>
        <w:szCs w:val="18"/>
        <w:lang w:val="en-GB" w:eastAsia="en-US"/>
      </w:rPr>
      <w:t xml:space="preserve">.  </w:t>
    </w:r>
  </w:p>
  <w:p w14:paraId="58D9503C" w14:textId="6828C278" w:rsidR="002765CA" w:rsidRDefault="002765CA" w:rsidP="002765CA">
    <w:pPr>
      <w:tabs>
        <w:tab w:val="center" w:pos="4536"/>
        <w:tab w:val="right" w:pos="9072"/>
      </w:tabs>
      <w:spacing w:after="0" w:line="240" w:lineRule="auto"/>
      <w:jc w:val="center"/>
    </w:pPr>
    <w:r w:rsidRPr="002765CA">
      <w:rPr>
        <w:rFonts w:ascii="Times New Roman" w:hAnsi="Times New Roman" w:cs="Times New Roman"/>
        <w:color w:val="auto"/>
        <w:sz w:val="18"/>
        <w:szCs w:val="18"/>
        <w:lang w:val="en-GB" w:eastAsia="en-US"/>
      </w:rPr>
      <w:t>https://www.uco.es/ucopress/ojs/index.php/riturem/index</w:t>
    </w:r>
    <w:r w:rsidRPr="002765CA">
      <w:rPr>
        <w:rFonts w:ascii="Times New Roman" w:hAnsi="Times New Roman" w:cs="Times New Roman"/>
        <w:color w:val="auto"/>
        <w:sz w:val="20"/>
        <w:szCs w:val="20"/>
        <w:lang w:val="es-ES" w:eastAsia="en-US"/>
      </w:rPr>
      <w:fldChar w:fldCharType="begin"/>
    </w:r>
    <w:r w:rsidRPr="002765CA">
      <w:rPr>
        <w:rFonts w:ascii="Times New Roman" w:hAnsi="Times New Roman" w:cs="Times New Roman"/>
        <w:color w:val="auto"/>
        <w:sz w:val="20"/>
        <w:szCs w:val="20"/>
        <w:lang w:val="en-GB" w:eastAsia="en-US"/>
      </w:rPr>
      <w:instrText>PAGE   \* MERGEFORMAT</w:instrText>
    </w:r>
    <w:r w:rsidRPr="002765CA">
      <w:rPr>
        <w:rFonts w:ascii="Times New Roman" w:hAnsi="Times New Roman" w:cs="Times New Roman"/>
        <w:color w:val="auto"/>
        <w:sz w:val="20"/>
        <w:szCs w:val="20"/>
        <w:lang w:val="es-ES" w:eastAsia="en-US"/>
      </w:rPr>
      <w:fldChar w:fldCharType="separate"/>
    </w:r>
    <w:r w:rsidRPr="002765CA">
      <w:rPr>
        <w:rFonts w:ascii="Times New Roman" w:hAnsi="Times New Roman" w:cs="Times New Roman"/>
        <w:color w:val="auto"/>
        <w:sz w:val="20"/>
        <w:szCs w:val="20"/>
        <w:lang w:val="en-GB" w:eastAsia="en-US"/>
      </w:rPr>
      <w:t>2</w:t>
    </w:r>
    <w:r w:rsidRPr="002765CA">
      <w:rPr>
        <w:rFonts w:ascii="Times New Roman" w:hAnsi="Times New Roman" w:cs="Times New Roman"/>
        <w:color w:val="auto"/>
        <w:sz w:val="20"/>
        <w:szCs w:val="20"/>
        <w:lang w:val="es-ES"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DEA3" w14:textId="77777777" w:rsidR="00ED327C" w:rsidRDefault="00ED327C">
    <w:pPr>
      <w:pStyle w:val="Piedepgina"/>
      <w:rPr>
        <w:rFonts w:ascii="Times New Roman" w:hAnsi="Times New Roman" w:cs="Times New Roman"/>
        <w:color w:val="auto"/>
        <w:lang w:val="en-GB" w:eastAsia="en-US"/>
      </w:rPr>
    </w:pPr>
    <w:proofErr w:type="spellStart"/>
    <w:r w:rsidRPr="00ED327C">
      <w:rPr>
        <w:rFonts w:ascii="Times New Roman" w:hAnsi="Times New Roman" w:cs="Times New Roman"/>
        <w:b/>
        <w:color w:val="auto"/>
        <w:lang w:val="en-GB" w:eastAsia="en-US"/>
      </w:rPr>
      <w:t>Recepción</w:t>
    </w:r>
    <w:proofErr w:type="spellEnd"/>
    <w:r w:rsidRPr="00ED327C">
      <w:rPr>
        <w:rFonts w:ascii="Times New Roman" w:hAnsi="Times New Roman" w:cs="Times New Roman"/>
        <w:b/>
        <w:color w:val="auto"/>
        <w:lang w:val="en-GB" w:eastAsia="en-US"/>
      </w:rPr>
      <w:t>:</w:t>
    </w:r>
    <w:r w:rsidRPr="00ED327C">
      <w:rPr>
        <w:rFonts w:ascii="Times New Roman" w:hAnsi="Times New Roman" w:cs="Times New Roman"/>
        <w:color w:val="auto"/>
        <w:lang w:val="en-GB" w:eastAsia="en-US"/>
      </w:rPr>
      <w:t xml:space="preserve"> 20/10/2025                         </w:t>
    </w:r>
    <w:proofErr w:type="spellStart"/>
    <w:r w:rsidRPr="00ED327C">
      <w:rPr>
        <w:rFonts w:ascii="Times New Roman" w:hAnsi="Times New Roman" w:cs="Times New Roman"/>
        <w:b/>
        <w:color w:val="auto"/>
        <w:lang w:val="en-GB" w:eastAsia="en-US"/>
      </w:rPr>
      <w:t>Aceptación</w:t>
    </w:r>
    <w:proofErr w:type="spellEnd"/>
    <w:r w:rsidRPr="00ED327C">
      <w:rPr>
        <w:rFonts w:ascii="Times New Roman" w:hAnsi="Times New Roman" w:cs="Times New Roman"/>
        <w:color w:val="auto"/>
        <w:lang w:val="en-GB" w:eastAsia="en-US"/>
      </w:rPr>
      <w:t>: 13/11/2025</w:t>
    </w:r>
    <w:r w:rsidRPr="00ED327C">
      <w:rPr>
        <w:rFonts w:ascii="Times New Roman" w:hAnsi="Times New Roman" w:cs="Times New Roman"/>
        <w:bCs/>
        <w:color w:val="auto"/>
        <w:lang w:val="en-GB" w:eastAsia="en-US"/>
      </w:rPr>
      <w:tab/>
      <w:t xml:space="preserve">                     </w:t>
    </w:r>
    <w:proofErr w:type="spellStart"/>
    <w:r w:rsidRPr="00ED327C">
      <w:rPr>
        <w:rFonts w:ascii="Times New Roman" w:hAnsi="Times New Roman" w:cs="Times New Roman"/>
        <w:b/>
        <w:color w:val="auto"/>
        <w:lang w:val="en-GB" w:eastAsia="en-US"/>
      </w:rPr>
      <w:t>Publicación</w:t>
    </w:r>
    <w:proofErr w:type="spellEnd"/>
    <w:r w:rsidRPr="00ED327C">
      <w:rPr>
        <w:rFonts w:ascii="Times New Roman" w:hAnsi="Times New Roman" w:cs="Times New Roman"/>
        <w:b/>
        <w:color w:val="auto"/>
        <w:lang w:val="en-GB" w:eastAsia="en-US"/>
      </w:rPr>
      <w:t>:</w:t>
    </w:r>
    <w:r w:rsidRPr="00ED327C">
      <w:rPr>
        <w:rFonts w:ascii="Times New Roman" w:hAnsi="Times New Roman" w:cs="Times New Roman"/>
        <w:color w:val="auto"/>
        <w:lang w:val="en-GB" w:eastAsia="en-US"/>
      </w:rPr>
      <w:t xml:space="preserve"> 30/12/2025   </w:t>
    </w:r>
    <w:r>
      <w:rPr>
        <w:rFonts w:ascii="Times New Roman" w:hAnsi="Times New Roman" w:cs="Times New Roman"/>
        <w:color w:val="auto"/>
        <w:lang w:val="en-GB" w:eastAsia="en-US"/>
      </w:rPr>
      <w:t xml:space="preserve">  </w:t>
    </w:r>
    <w:r w:rsidRPr="00ED327C">
      <w:rPr>
        <w:rFonts w:ascii="Times New Roman" w:hAnsi="Times New Roman" w:cs="Times New Roman"/>
        <w:color w:val="auto"/>
        <w:lang w:val="en-GB" w:eastAsia="en-US"/>
      </w:rPr>
      <w:t xml:space="preserve">         </w:t>
    </w:r>
  </w:p>
  <w:p w14:paraId="2FC88DA5" w14:textId="77777777" w:rsidR="00ED327C" w:rsidRDefault="00ED327C">
    <w:pPr>
      <w:pStyle w:val="Piedepgina"/>
      <w:rPr>
        <w:rFonts w:ascii="Times New Roman" w:hAnsi="Times New Roman" w:cs="Times New Roman"/>
        <w:color w:val="auto"/>
        <w:lang w:val="en-GB" w:eastAsia="en-US"/>
      </w:rPr>
    </w:pPr>
  </w:p>
  <w:p w14:paraId="269D193D" w14:textId="61681903" w:rsidR="00ED327C" w:rsidRDefault="00ED327C" w:rsidP="00ED327C">
    <w:pPr>
      <w:pStyle w:val="Piedepgina"/>
      <w:jc w:val="center"/>
    </w:pPr>
    <w:r w:rsidRPr="00ED327C">
      <w:rPr>
        <w:rFonts w:ascii="Times New Roman" w:eastAsia="Malgun Gothic" w:hAnsi="Times New Roman" w:cs="Times New Roman"/>
        <w:noProof/>
        <w:color w:val="auto"/>
        <w:sz w:val="20"/>
        <w:szCs w:val="20"/>
        <w:lang w:val="es-ES_tradnl" w:eastAsia="ko-KR"/>
      </w:rPr>
      <w:drawing>
        <wp:inline distT="0" distB="0" distL="0" distR="0" wp14:anchorId="6C4A0245" wp14:editId="6E4614B7">
          <wp:extent cx="558800" cy="215900"/>
          <wp:effectExtent l="0" t="0" r="0" b="0"/>
          <wp:docPr id="799416630"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3044183"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hAnsi="Times New Roman" w:cs="Times New Roman"/>
        <w:color w:val="auto"/>
        <w:sz w:val="18"/>
        <w:szCs w:val="18"/>
        <w:lang w:val="en-GB" w:eastAsia="en-US"/>
      </w:rPr>
      <w:t xml:space="preserve">  </w:t>
    </w:r>
    <w:r w:rsidRPr="00ED327C">
      <w:rPr>
        <w:rFonts w:ascii="Times New Roman" w:hAnsi="Times New Roman" w:cs="Times New Roman"/>
        <w:color w:val="auto"/>
        <w:sz w:val="18"/>
        <w:szCs w:val="18"/>
        <w:lang w:val="en-GB" w:eastAsia="en-US"/>
      </w:rPr>
      <w:t xml:space="preserve">Este </w:t>
    </w:r>
    <w:proofErr w:type="spellStart"/>
    <w:r w:rsidRPr="00ED327C">
      <w:rPr>
        <w:rFonts w:ascii="Times New Roman" w:hAnsi="Times New Roman" w:cs="Times New Roman"/>
        <w:color w:val="auto"/>
        <w:sz w:val="18"/>
        <w:szCs w:val="18"/>
        <w:lang w:val="en-GB" w:eastAsia="en-US"/>
      </w:rPr>
      <w:t>trabajo</w:t>
    </w:r>
    <w:proofErr w:type="spellEnd"/>
    <w:r w:rsidRPr="00ED327C">
      <w:rPr>
        <w:rFonts w:ascii="Times New Roman" w:hAnsi="Times New Roman" w:cs="Times New Roman"/>
        <w:color w:val="auto"/>
        <w:sz w:val="18"/>
        <w:szCs w:val="18"/>
        <w:lang w:val="en-GB" w:eastAsia="en-US"/>
      </w:rPr>
      <w:t xml:space="preserve"> se publica bajo </w:t>
    </w:r>
    <w:proofErr w:type="spellStart"/>
    <w:r w:rsidRPr="00ED327C">
      <w:rPr>
        <w:rFonts w:ascii="Times New Roman" w:hAnsi="Times New Roman" w:cs="Times New Roman"/>
        <w:color w:val="auto"/>
        <w:sz w:val="18"/>
        <w:szCs w:val="18"/>
        <w:lang w:val="en-GB" w:eastAsia="en-US"/>
      </w:rPr>
      <w:t>una</w:t>
    </w:r>
    <w:proofErr w:type="spellEnd"/>
    <w:r w:rsidRPr="00ED327C">
      <w:rPr>
        <w:rFonts w:ascii="Times New Roman" w:hAnsi="Times New Roman" w:cs="Times New Roman"/>
        <w:color w:val="auto"/>
        <w:sz w:val="18"/>
        <w:szCs w:val="18"/>
        <w:lang w:val="en-GB" w:eastAsia="en-US"/>
      </w:rPr>
      <w:t xml:space="preserve"> </w:t>
    </w:r>
    <w:proofErr w:type="spellStart"/>
    <w:r w:rsidRPr="00ED327C">
      <w:rPr>
        <w:rFonts w:ascii="Times New Roman" w:hAnsi="Times New Roman" w:cs="Times New Roman"/>
        <w:color w:val="auto"/>
        <w:sz w:val="18"/>
        <w:szCs w:val="18"/>
        <w:lang w:val="en-GB" w:eastAsia="en-US"/>
      </w:rPr>
      <w:t>licencia</w:t>
    </w:r>
    <w:proofErr w:type="spellEnd"/>
    <w:r w:rsidRPr="00ED327C">
      <w:rPr>
        <w:rFonts w:ascii="Times New Roman" w:hAnsi="Times New Roman" w:cs="Times New Roman"/>
        <w:color w:val="auto"/>
        <w:sz w:val="18"/>
        <w:szCs w:val="18"/>
        <w:lang w:val="en-GB" w:eastAsia="en-US"/>
      </w:rPr>
      <w:t xml:space="preserve"> de Creative Commons </w:t>
    </w:r>
    <w:proofErr w:type="spellStart"/>
    <w:r w:rsidRPr="00ED327C">
      <w:rPr>
        <w:rFonts w:ascii="Times New Roman" w:hAnsi="Times New Roman" w:cs="Times New Roman"/>
        <w:color w:val="auto"/>
        <w:sz w:val="18"/>
        <w:szCs w:val="18"/>
        <w:lang w:val="en-GB" w:eastAsia="en-US"/>
      </w:rPr>
      <w:t>Reconocimiento</w:t>
    </w:r>
    <w:proofErr w:type="spellEnd"/>
    <w:r w:rsidRPr="00ED327C">
      <w:rPr>
        <w:rFonts w:ascii="Times New Roman" w:hAnsi="Times New Roman" w:cs="Times New Roman"/>
        <w:color w:val="auto"/>
        <w:sz w:val="18"/>
        <w:szCs w:val="18"/>
        <w:lang w:val="en-GB" w:eastAsia="en-US"/>
      </w:rPr>
      <w:t xml:space="preserve">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0DCA" w14:textId="77777777" w:rsidR="00212BE3" w:rsidRDefault="00212BE3" w:rsidP="00BF42E1">
      <w:pPr>
        <w:spacing w:after="0" w:line="240" w:lineRule="auto"/>
      </w:pPr>
      <w:r>
        <w:separator/>
      </w:r>
    </w:p>
  </w:footnote>
  <w:footnote w:type="continuationSeparator" w:id="0">
    <w:p w14:paraId="3525414C" w14:textId="77777777" w:rsidR="00212BE3" w:rsidRDefault="00212BE3" w:rsidP="00BF42E1">
      <w:pPr>
        <w:spacing w:after="0" w:line="240" w:lineRule="auto"/>
      </w:pPr>
      <w:r>
        <w:continuationSeparator/>
      </w:r>
    </w:p>
  </w:footnote>
  <w:footnote w:id="1">
    <w:p w14:paraId="49DA38C5" w14:textId="5AF56DF5" w:rsidR="00807E92" w:rsidRPr="002C1D95" w:rsidRDefault="00807E92" w:rsidP="004839F2">
      <w:pPr>
        <w:pStyle w:val="6NotasalpiedepginaIIGG"/>
        <w:jc w:val="both"/>
        <w:rPr>
          <w:lang w:val="pt-PT"/>
        </w:rPr>
      </w:pPr>
      <w:r>
        <w:rPr>
          <w:rStyle w:val="Refdenotaalpie"/>
        </w:rPr>
        <w:footnoteRef/>
      </w:r>
      <w:r>
        <w:t xml:space="preserve"> </w:t>
      </w:r>
      <w:proofErr w:type="spellStart"/>
      <w:r>
        <w:t>Dipartimento</w:t>
      </w:r>
      <w:proofErr w:type="spellEnd"/>
      <w:r>
        <w:t xml:space="preserve"> di </w:t>
      </w:r>
      <w:proofErr w:type="spellStart"/>
      <w:r>
        <w:t>Studi</w:t>
      </w:r>
      <w:proofErr w:type="spellEnd"/>
      <w:r>
        <w:t xml:space="preserve"> per </w:t>
      </w:r>
      <w:proofErr w:type="spellStart"/>
      <w:r>
        <w:t>l’Economia</w:t>
      </w:r>
      <w:proofErr w:type="spellEnd"/>
      <w:r>
        <w:t xml:space="preserve"> e </w:t>
      </w:r>
      <w:proofErr w:type="spellStart"/>
      <w:r>
        <w:t>l’Impresa</w:t>
      </w:r>
      <w:proofErr w:type="spellEnd"/>
      <w:r>
        <w:t xml:space="preserve">, </w:t>
      </w:r>
      <w:proofErr w:type="spellStart"/>
      <w:r w:rsidR="00F04B8C" w:rsidRPr="00F04B8C">
        <w:t>Università</w:t>
      </w:r>
      <w:proofErr w:type="spellEnd"/>
      <w:r w:rsidR="00F04B8C" w:rsidRPr="00F04B8C">
        <w:t xml:space="preserve"> </w:t>
      </w:r>
      <w:proofErr w:type="spellStart"/>
      <w:r w:rsidR="00F04B8C" w:rsidRPr="00F04B8C">
        <w:t>degli</w:t>
      </w:r>
      <w:proofErr w:type="spellEnd"/>
      <w:r w:rsidR="00F04B8C" w:rsidRPr="00F04B8C">
        <w:t xml:space="preserve"> </w:t>
      </w:r>
      <w:proofErr w:type="spellStart"/>
      <w:r w:rsidR="00F04B8C" w:rsidRPr="00F04B8C">
        <w:t>Studi</w:t>
      </w:r>
      <w:proofErr w:type="spellEnd"/>
      <w:r w:rsidR="00F04B8C" w:rsidRPr="00F04B8C">
        <w:t xml:space="preserve"> del </w:t>
      </w:r>
      <w:proofErr w:type="spellStart"/>
      <w:r w:rsidR="00F04B8C" w:rsidRPr="00F04B8C">
        <w:t>Piemonte</w:t>
      </w:r>
      <w:proofErr w:type="spellEnd"/>
      <w:r w:rsidR="00F04B8C" w:rsidRPr="00F04B8C">
        <w:t xml:space="preserve"> </w:t>
      </w:r>
      <w:proofErr w:type="spellStart"/>
      <w:r w:rsidR="00F04B8C" w:rsidRPr="00F04B8C">
        <w:t>Orientale</w:t>
      </w:r>
      <w:proofErr w:type="spellEnd"/>
      <w:r w:rsidR="00F04B8C" w:rsidRPr="00F04B8C">
        <w:t xml:space="preserve"> Amedeo Avogadro: Vercelli, </w:t>
      </w:r>
      <w:proofErr w:type="spellStart"/>
      <w:r w:rsidR="00F04B8C" w:rsidRPr="00F04B8C">
        <w:t>Piemonte</w:t>
      </w:r>
      <w:proofErr w:type="spellEnd"/>
      <w:r w:rsidR="00F04B8C" w:rsidRPr="00F04B8C">
        <w:t>, I</w:t>
      </w:r>
      <w:r w:rsidR="00F04B8C">
        <w:t xml:space="preserve">talia. </w:t>
      </w:r>
      <w:r w:rsidR="00F04B8C" w:rsidRPr="00F04B8C">
        <w:rPr>
          <w:lang w:val="pt-PT"/>
        </w:rPr>
        <w:t xml:space="preserve">Email: </w:t>
      </w:r>
      <w:hyperlink r:id="rId1" w:history="1">
        <w:r w:rsidR="00F04B8C" w:rsidRPr="00F04B8C">
          <w:rPr>
            <w:rStyle w:val="Hipervnculo"/>
            <w:lang w:val="pt-PT"/>
          </w:rPr>
          <w:t>carla.ferrario@uniupo.it</w:t>
        </w:r>
      </w:hyperlink>
      <w:r w:rsidR="00F04B8C" w:rsidRPr="00F04B8C">
        <w:rPr>
          <w:lang w:val="pt-PT"/>
        </w:rPr>
        <w:t xml:space="preserve"> </w:t>
      </w:r>
      <w:r w:rsidRPr="00F04B8C">
        <w:rPr>
          <w:lang w:val="pt-PT"/>
        </w:rPr>
        <w:t xml:space="preserve"> </w:t>
      </w:r>
      <w:r w:rsidR="00F04B8C">
        <w:rPr>
          <w:lang w:val="pt-PT"/>
        </w:rPr>
        <w:t xml:space="preserve">Id. </w:t>
      </w:r>
      <w:proofErr w:type="spellStart"/>
      <w:r w:rsidR="00F04B8C">
        <w:rPr>
          <w:lang w:val="pt-PT"/>
        </w:rPr>
        <w:t>Orcid</w:t>
      </w:r>
      <w:proofErr w:type="spellEnd"/>
      <w:r w:rsidR="00F04B8C">
        <w:rPr>
          <w:lang w:val="pt-PT"/>
        </w:rPr>
        <w:t>:</w:t>
      </w:r>
      <w:bookmarkStart w:id="0" w:name="_Hlk212461144"/>
      <w:r w:rsidRPr="00F04B8C">
        <w:rPr>
          <w:lang w:val="pt-PT"/>
        </w:rPr>
        <w:t xml:space="preserve"> </w:t>
      </w:r>
      <w:r w:rsidR="00F04B8C">
        <w:fldChar w:fldCharType="begin"/>
      </w:r>
      <w:r w:rsidR="00F04B8C" w:rsidRPr="00512FF1">
        <w:rPr>
          <w:lang w:val="pt-PT"/>
        </w:rPr>
        <w:instrText>HYPERLINK "https://orcid.org/0000-0003-1300-9672"</w:instrText>
      </w:r>
      <w:r w:rsidR="00F04B8C">
        <w:fldChar w:fldCharType="separate"/>
      </w:r>
      <w:r w:rsidR="00F04B8C" w:rsidRPr="00DD3883">
        <w:rPr>
          <w:rStyle w:val="Hipervnculo"/>
          <w:lang w:val="pt-PT"/>
        </w:rPr>
        <w:t>https://orcid.org/0000-0003-1300-9672</w:t>
      </w:r>
      <w:r w:rsidR="00F04B8C">
        <w:fldChar w:fldCharType="end"/>
      </w:r>
      <w:r w:rsidR="00F04B8C">
        <w:rPr>
          <w:lang w:val="pt-PT"/>
        </w:rPr>
        <w:t xml:space="preserve"> </w:t>
      </w:r>
      <w:bookmarkEnd w:id="0"/>
      <w:r w:rsidR="00F04B8C">
        <w:rPr>
          <w:lang w:val="pt-PT"/>
        </w:rPr>
        <w:t xml:space="preserve"> </w:t>
      </w:r>
      <w:r w:rsidRPr="00F04B8C">
        <w:rPr>
          <w:lang w:val="pt-PT"/>
        </w:rPr>
        <w:t xml:space="preserve">* </w:t>
      </w:r>
      <w:proofErr w:type="spellStart"/>
      <w:r w:rsidRPr="002C1D95">
        <w:rPr>
          <w:lang w:val="pt-PT"/>
        </w:rPr>
        <w:t>Corresponding</w:t>
      </w:r>
      <w:proofErr w:type="spellEnd"/>
      <w:r w:rsidRPr="002C1D95">
        <w:rPr>
          <w:lang w:val="pt-PT"/>
        </w:rPr>
        <w:t xml:space="preserve"> </w:t>
      </w:r>
      <w:r w:rsidR="00FD3B89" w:rsidRPr="002C1D95">
        <w:rPr>
          <w:lang w:val="pt-PT"/>
        </w:rPr>
        <w:t>autor.</w:t>
      </w:r>
    </w:p>
  </w:footnote>
  <w:footnote w:id="2">
    <w:p w14:paraId="53C0B3E2" w14:textId="333F63C2" w:rsidR="00807E92" w:rsidRPr="00F04B8C" w:rsidRDefault="00807E92" w:rsidP="004839F2">
      <w:pPr>
        <w:pStyle w:val="6NotasalpiedepginaIIGG"/>
        <w:jc w:val="both"/>
        <w:rPr>
          <w:lang w:val="pt-PT"/>
        </w:rPr>
      </w:pPr>
      <w:r w:rsidRPr="00A87EC8">
        <w:rPr>
          <w:rStyle w:val="Refdenotaalpie"/>
        </w:rPr>
        <w:footnoteRef/>
      </w:r>
      <w:r w:rsidRPr="002C1D95">
        <w:rPr>
          <w:rStyle w:val="Refdenotaalpie"/>
          <w:lang w:val="pt-PT"/>
        </w:rPr>
        <w:t xml:space="preserve"> </w:t>
      </w:r>
      <w:proofErr w:type="spellStart"/>
      <w:r w:rsidRPr="002C1D95">
        <w:rPr>
          <w:lang w:val="pt-PT"/>
        </w:rPr>
        <w:t>Dipartimento</w:t>
      </w:r>
      <w:proofErr w:type="spellEnd"/>
      <w:r w:rsidRPr="002C1D95">
        <w:rPr>
          <w:lang w:val="pt-PT"/>
        </w:rPr>
        <w:t xml:space="preserve"> </w:t>
      </w:r>
      <w:proofErr w:type="spellStart"/>
      <w:r w:rsidRPr="002C1D95">
        <w:rPr>
          <w:lang w:val="pt-PT"/>
        </w:rPr>
        <w:t>di</w:t>
      </w:r>
      <w:proofErr w:type="spellEnd"/>
      <w:r w:rsidRPr="002C1D95">
        <w:rPr>
          <w:lang w:val="pt-PT"/>
        </w:rPr>
        <w:t xml:space="preserve"> </w:t>
      </w:r>
      <w:proofErr w:type="spellStart"/>
      <w:r w:rsidRPr="002C1D95">
        <w:rPr>
          <w:lang w:val="pt-PT"/>
        </w:rPr>
        <w:t>Studi</w:t>
      </w:r>
      <w:proofErr w:type="spellEnd"/>
      <w:r w:rsidRPr="002C1D95">
        <w:rPr>
          <w:lang w:val="pt-PT"/>
        </w:rPr>
        <w:t xml:space="preserve"> </w:t>
      </w:r>
      <w:proofErr w:type="spellStart"/>
      <w:r w:rsidRPr="002C1D95">
        <w:rPr>
          <w:lang w:val="pt-PT"/>
        </w:rPr>
        <w:t>Umanistici</w:t>
      </w:r>
      <w:proofErr w:type="spellEnd"/>
      <w:r w:rsidRPr="002C1D95">
        <w:rPr>
          <w:lang w:val="pt-PT"/>
        </w:rPr>
        <w:t xml:space="preserve">, </w:t>
      </w:r>
      <w:proofErr w:type="spellStart"/>
      <w:r w:rsidRPr="002C1D95">
        <w:rPr>
          <w:lang w:val="pt-PT"/>
        </w:rPr>
        <w:t>Università</w:t>
      </w:r>
      <w:proofErr w:type="spellEnd"/>
      <w:r w:rsidRPr="002C1D95">
        <w:rPr>
          <w:lang w:val="pt-PT"/>
        </w:rPr>
        <w:t xml:space="preserve"> </w:t>
      </w:r>
      <w:r w:rsidR="00FD3B89" w:rsidRPr="00FD3B89">
        <w:rPr>
          <w:lang w:val="it-IT"/>
        </w:rPr>
        <w:t xml:space="preserve">degli Studi </w:t>
      </w:r>
      <w:proofErr w:type="spellStart"/>
      <w:r w:rsidRPr="002C1D95">
        <w:rPr>
          <w:lang w:val="pt-PT"/>
        </w:rPr>
        <w:t>del</w:t>
      </w:r>
      <w:proofErr w:type="spellEnd"/>
      <w:r w:rsidRPr="002C1D95">
        <w:rPr>
          <w:lang w:val="pt-PT"/>
        </w:rPr>
        <w:t xml:space="preserve"> Piemonte </w:t>
      </w:r>
      <w:proofErr w:type="spellStart"/>
      <w:r w:rsidRPr="002C1D95">
        <w:rPr>
          <w:lang w:val="pt-PT"/>
        </w:rPr>
        <w:t>Orientale</w:t>
      </w:r>
      <w:proofErr w:type="spellEnd"/>
      <w:r w:rsidR="00F04B8C" w:rsidRPr="002C1D95">
        <w:rPr>
          <w:lang w:val="pt-PT"/>
        </w:rPr>
        <w:t xml:space="preserve"> (</w:t>
      </w:r>
      <w:proofErr w:type="spellStart"/>
      <w:r w:rsidR="00F04B8C" w:rsidRPr="002C1D95">
        <w:rPr>
          <w:lang w:val="pt-PT"/>
        </w:rPr>
        <w:t>Italia</w:t>
      </w:r>
      <w:proofErr w:type="spellEnd"/>
      <w:r w:rsidR="00F04B8C" w:rsidRPr="002C1D95">
        <w:rPr>
          <w:lang w:val="pt-PT"/>
        </w:rPr>
        <w:t>)</w:t>
      </w:r>
      <w:r w:rsidRPr="002C1D95">
        <w:rPr>
          <w:lang w:val="pt-PT"/>
        </w:rPr>
        <w:t xml:space="preserve">. </w:t>
      </w:r>
      <w:r w:rsidR="00F04B8C" w:rsidRPr="00F04B8C">
        <w:rPr>
          <w:lang w:val="pt-PT"/>
        </w:rPr>
        <w:t xml:space="preserve">Email: </w:t>
      </w:r>
      <w:r w:rsidR="00F04B8C">
        <w:fldChar w:fldCharType="begin"/>
      </w:r>
      <w:r w:rsidR="00F04B8C" w:rsidRPr="00512FF1">
        <w:rPr>
          <w:lang w:val="pt-PT"/>
        </w:rPr>
        <w:instrText>HYPERLINK "mailto:raffaella.afferni@uniupo.it"</w:instrText>
      </w:r>
      <w:r w:rsidR="00F04B8C">
        <w:fldChar w:fldCharType="separate"/>
      </w:r>
      <w:r w:rsidR="00F04B8C" w:rsidRPr="00F04B8C">
        <w:rPr>
          <w:rStyle w:val="Hipervnculo"/>
          <w:lang w:val="pt-PT"/>
        </w:rPr>
        <w:t>raffaella.afferni@uniupo.it</w:t>
      </w:r>
      <w:r w:rsidR="00F04B8C">
        <w:fldChar w:fldCharType="end"/>
      </w:r>
      <w:r w:rsidR="00F04B8C" w:rsidRPr="00F04B8C">
        <w:rPr>
          <w:lang w:val="pt-PT"/>
        </w:rPr>
        <w:t xml:space="preserve"> </w:t>
      </w:r>
      <w:r w:rsidRPr="00F04B8C">
        <w:rPr>
          <w:lang w:val="pt-PT"/>
        </w:rPr>
        <w:t xml:space="preserve"> </w:t>
      </w:r>
      <w:r w:rsidR="00F04B8C">
        <w:rPr>
          <w:lang w:val="pt-PT"/>
        </w:rPr>
        <w:t xml:space="preserve">Id. </w:t>
      </w:r>
      <w:proofErr w:type="spellStart"/>
      <w:r w:rsidR="00F04B8C">
        <w:rPr>
          <w:lang w:val="pt-PT"/>
        </w:rPr>
        <w:t>Orcid</w:t>
      </w:r>
      <w:proofErr w:type="spellEnd"/>
      <w:r w:rsidR="00F04B8C">
        <w:rPr>
          <w:lang w:val="pt-PT"/>
        </w:rPr>
        <w:t xml:space="preserve">: </w:t>
      </w:r>
      <w:r w:rsidR="00F04B8C">
        <w:fldChar w:fldCharType="begin"/>
      </w:r>
      <w:r w:rsidR="00F04B8C" w:rsidRPr="00512FF1">
        <w:rPr>
          <w:lang w:val="pt-PT"/>
        </w:rPr>
        <w:instrText>HYPERLINK "https://orcid.org/0000-0001-6242-4712"</w:instrText>
      </w:r>
      <w:r w:rsidR="00F04B8C">
        <w:fldChar w:fldCharType="separate"/>
      </w:r>
      <w:r w:rsidR="00F04B8C" w:rsidRPr="00DD3883">
        <w:rPr>
          <w:rStyle w:val="Hipervnculo"/>
          <w:lang w:val="pt-PT"/>
        </w:rPr>
        <w:t>https://orcid.org/0000-0001-6242-4712</w:t>
      </w:r>
      <w:r w:rsidR="00F04B8C">
        <w:fldChar w:fldCharType="end"/>
      </w:r>
    </w:p>
  </w:footnote>
  <w:footnote w:id="3">
    <w:p w14:paraId="3A0D210E" w14:textId="21E2D5B8" w:rsidR="00F04B8C" w:rsidRPr="00F04B8C" w:rsidRDefault="00807E92" w:rsidP="00F04B8C">
      <w:pPr>
        <w:pStyle w:val="6NotasalpiedepginaIIGG"/>
        <w:jc w:val="both"/>
        <w:rPr>
          <w:lang w:val="pt-PT"/>
        </w:rPr>
      </w:pPr>
      <w:r>
        <w:rPr>
          <w:rStyle w:val="Refdenotaalpie"/>
        </w:rPr>
        <w:footnoteRef/>
      </w:r>
      <w:r w:rsidRPr="00F04B8C">
        <w:rPr>
          <w:lang w:val="pt-PT"/>
        </w:rPr>
        <w:t xml:space="preserve"> </w:t>
      </w:r>
      <w:proofErr w:type="spellStart"/>
      <w:r w:rsidRPr="00F04B8C">
        <w:rPr>
          <w:lang w:val="pt-PT"/>
        </w:rPr>
        <w:t>Dipartimento</w:t>
      </w:r>
      <w:proofErr w:type="spellEnd"/>
      <w:r w:rsidRPr="00F04B8C">
        <w:rPr>
          <w:lang w:val="pt-PT"/>
        </w:rPr>
        <w:t xml:space="preserve"> </w:t>
      </w:r>
      <w:proofErr w:type="spellStart"/>
      <w:r w:rsidRPr="00F04B8C">
        <w:rPr>
          <w:lang w:val="pt-PT"/>
        </w:rPr>
        <w:t>di</w:t>
      </w:r>
      <w:proofErr w:type="spellEnd"/>
      <w:r w:rsidRPr="00F04B8C">
        <w:rPr>
          <w:lang w:val="pt-PT"/>
        </w:rPr>
        <w:t xml:space="preserve"> </w:t>
      </w:r>
      <w:proofErr w:type="spellStart"/>
      <w:r w:rsidRPr="00F04B8C">
        <w:rPr>
          <w:lang w:val="pt-PT"/>
        </w:rPr>
        <w:t>Studi</w:t>
      </w:r>
      <w:proofErr w:type="spellEnd"/>
      <w:r w:rsidRPr="00F04B8C">
        <w:rPr>
          <w:lang w:val="pt-PT"/>
        </w:rPr>
        <w:t xml:space="preserve"> per </w:t>
      </w:r>
      <w:proofErr w:type="spellStart"/>
      <w:r w:rsidRPr="00F04B8C">
        <w:rPr>
          <w:lang w:val="pt-PT"/>
        </w:rPr>
        <w:t>l’Economia</w:t>
      </w:r>
      <w:proofErr w:type="spellEnd"/>
      <w:r w:rsidRPr="00F04B8C">
        <w:rPr>
          <w:lang w:val="pt-PT"/>
        </w:rPr>
        <w:t xml:space="preserve"> e </w:t>
      </w:r>
      <w:proofErr w:type="spellStart"/>
      <w:r w:rsidRPr="00F04B8C">
        <w:rPr>
          <w:lang w:val="pt-PT"/>
        </w:rPr>
        <w:t>l’Impresa</w:t>
      </w:r>
      <w:proofErr w:type="spellEnd"/>
      <w:r w:rsidRPr="00F04B8C">
        <w:rPr>
          <w:lang w:val="pt-PT"/>
        </w:rPr>
        <w:t xml:space="preserve">, </w:t>
      </w:r>
      <w:proofErr w:type="spellStart"/>
      <w:r w:rsidRPr="00F04B8C">
        <w:rPr>
          <w:lang w:val="pt-PT"/>
        </w:rPr>
        <w:t>Università</w:t>
      </w:r>
      <w:proofErr w:type="spellEnd"/>
      <w:r w:rsidRPr="00F04B8C">
        <w:rPr>
          <w:lang w:val="pt-PT"/>
        </w:rPr>
        <w:t xml:space="preserve"> </w:t>
      </w:r>
      <w:r w:rsidR="00FD3B89" w:rsidRPr="00FD3B89">
        <w:rPr>
          <w:lang w:val="it-IT"/>
        </w:rPr>
        <w:t xml:space="preserve">degli Studi </w:t>
      </w:r>
      <w:proofErr w:type="spellStart"/>
      <w:r w:rsidRPr="00F04B8C">
        <w:rPr>
          <w:lang w:val="pt-PT"/>
        </w:rPr>
        <w:t>del</w:t>
      </w:r>
      <w:proofErr w:type="spellEnd"/>
      <w:r w:rsidRPr="00F04B8C">
        <w:rPr>
          <w:lang w:val="pt-PT"/>
        </w:rPr>
        <w:t xml:space="preserve"> Piemonte </w:t>
      </w:r>
      <w:proofErr w:type="spellStart"/>
      <w:r w:rsidRPr="00F04B8C">
        <w:rPr>
          <w:lang w:val="pt-PT"/>
        </w:rPr>
        <w:t>Orientale</w:t>
      </w:r>
      <w:proofErr w:type="spellEnd"/>
      <w:r w:rsidR="00F04B8C" w:rsidRPr="00F04B8C">
        <w:rPr>
          <w:lang w:val="pt-PT"/>
        </w:rPr>
        <w:t xml:space="preserve"> (</w:t>
      </w:r>
      <w:proofErr w:type="spellStart"/>
      <w:r w:rsidR="00F04B8C" w:rsidRPr="00F04B8C">
        <w:rPr>
          <w:lang w:val="pt-PT"/>
        </w:rPr>
        <w:t>Italia</w:t>
      </w:r>
      <w:proofErr w:type="spellEnd"/>
      <w:r w:rsidR="00F04B8C" w:rsidRPr="00F04B8C">
        <w:rPr>
          <w:lang w:val="pt-PT"/>
        </w:rPr>
        <w:t>)</w:t>
      </w:r>
      <w:r w:rsidRPr="00F04B8C">
        <w:rPr>
          <w:lang w:val="pt-PT"/>
        </w:rPr>
        <w:t xml:space="preserve">. </w:t>
      </w:r>
      <w:r w:rsidR="00F04B8C" w:rsidRPr="00F04B8C">
        <w:rPr>
          <w:lang w:val="pt-PT"/>
        </w:rPr>
        <w:t xml:space="preserve">Email: </w:t>
      </w:r>
      <w:r w:rsidR="00F04B8C">
        <w:fldChar w:fldCharType="begin"/>
      </w:r>
      <w:r w:rsidR="00F04B8C" w:rsidRPr="00512FF1">
        <w:rPr>
          <w:lang w:val="pt-PT"/>
        </w:rPr>
        <w:instrText>HYPERLINK "mailto:marcello.tadini@uniupo.it"</w:instrText>
      </w:r>
      <w:r w:rsidR="00F04B8C">
        <w:fldChar w:fldCharType="separate"/>
      </w:r>
      <w:r w:rsidR="00F04B8C" w:rsidRPr="00F04B8C">
        <w:rPr>
          <w:rStyle w:val="Hipervnculo"/>
          <w:lang w:val="pt-PT"/>
        </w:rPr>
        <w:t>marcello.tadini@uniupo.it</w:t>
      </w:r>
      <w:r w:rsidR="00F04B8C">
        <w:fldChar w:fldCharType="end"/>
      </w:r>
      <w:r w:rsidR="00F04B8C" w:rsidRPr="00F04B8C">
        <w:rPr>
          <w:lang w:val="pt-PT"/>
        </w:rPr>
        <w:t xml:space="preserve"> </w:t>
      </w:r>
      <w:r w:rsidRPr="00F04B8C">
        <w:rPr>
          <w:lang w:val="pt-PT"/>
        </w:rPr>
        <w:t xml:space="preserve"> </w:t>
      </w:r>
      <w:r w:rsidR="00F04B8C">
        <w:rPr>
          <w:lang w:val="pt-PT"/>
        </w:rPr>
        <w:t xml:space="preserve">Id. </w:t>
      </w:r>
      <w:proofErr w:type="spellStart"/>
      <w:r w:rsidR="00F04B8C">
        <w:rPr>
          <w:lang w:val="pt-PT"/>
        </w:rPr>
        <w:t>Orcid</w:t>
      </w:r>
      <w:proofErr w:type="spellEnd"/>
      <w:r w:rsidR="00F04B8C">
        <w:rPr>
          <w:lang w:val="pt-PT"/>
        </w:rPr>
        <w:t xml:space="preserve">: </w:t>
      </w:r>
      <w:hyperlink r:id="rId2" w:history="1">
        <w:r w:rsidR="00F04B8C" w:rsidRPr="00DD3883">
          <w:rPr>
            <w:rStyle w:val="Hipervnculo"/>
            <w:lang w:val="pt-PT"/>
          </w:rPr>
          <w:t>https://orcid.org/0000-0003-0182-278</w:t>
        </w:r>
      </w:hyperlink>
      <w:r w:rsidR="00F04B8C">
        <w:rPr>
          <w:lang w:val="pt-PT"/>
        </w:rPr>
        <w:t xml:space="preserve"> </w:t>
      </w:r>
    </w:p>
    <w:p w14:paraId="22C1C889" w14:textId="24B9F060" w:rsidR="00807E92" w:rsidRPr="00F04B8C" w:rsidRDefault="00807E92" w:rsidP="000D22E8">
      <w:pPr>
        <w:pStyle w:val="6NotasalpiedepginaIIGG"/>
        <w:jc w:val="both"/>
        <w:rPr>
          <w:lang w:val="pt-PT"/>
        </w:rPr>
      </w:pPr>
    </w:p>
  </w:footnote>
  <w:footnote w:id="4">
    <w:p w14:paraId="71A21206" w14:textId="77777777" w:rsidR="00ED327C" w:rsidRPr="00BD114A" w:rsidRDefault="00ED327C" w:rsidP="00ED327C">
      <w:pPr>
        <w:pStyle w:val="Textonotapie"/>
        <w:jc w:val="both"/>
        <w:rPr>
          <w:rFonts w:ascii="Times New Roman" w:hAnsi="Times New Roman" w:cs="Times New Roman"/>
        </w:rPr>
      </w:pPr>
      <w:r w:rsidRPr="00933822">
        <w:rPr>
          <w:rStyle w:val="Refdenotaalpie"/>
          <w:rFonts w:ascii="Times New Roman" w:hAnsi="Times New Roman" w:cs="Times New Roman"/>
        </w:rPr>
        <w:footnoteRef/>
      </w:r>
      <w:r w:rsidRPr="00933822">
        <w:rPr>
          <w:rFonts w:ascii="Times New Roman" w:hAnsi="Times New Roman" w:cs="Times New Roman"/>
        </w:rPr>
        <w:t xml:space="preserve"> Secondo Bonet-Correa (1989), non tutti i Calvari possono essere considerati Sacri Monti, anche se il Calvario ne rappresenta un elemento essenziale. I Sacri Monti sorgono generalmente in luoghi elevati, mentre i Calvari possono essere costruiti anche in pianura. I Sacri Monti sono dedicati non solo alla vita di Cristo, ma anche alla Vergine Maria o a un Santo; il Calvario, invece, è specificamente consacrato alla Passione di Cristo. Di conseguenza, quando un Sacro Monte è dedicato alla </w:t>
      </w:r>
      <w:r w:rsidRPr="00BD114A">
        <w:rPr>
          <w:rFonts w:ascii="Times New Roman" w:hAnsi="Times New Roman" w:cs="Times New Roman"/>
        </w:rPr>
        <w:t>“Passione”, esso può essere definito un Calvario, come accade per il Sacro Monte di Domodossola.</w:t>
      </w:r>
    </w:p>
  </w:footnote>
  <w:footnote w:id="5">
    <w:p w14:paraId="77EF5719" w14:textId="77777777" w:rsidR="00807E92" w:rsidRPr="002C148A" w:rsidRDefault="00807E92" w:rsidP="00933822">
      <w:pPr>
        <w:pStyle w:val="Textonotapie"/>
        <w:jc w:val="both"/>
        <w:rPr>
          <w:rFonts w:ascii="Times New Roman" w:eastAsia="Times New Roman" w:hAnsi="Times New Roman" w:cs="Times New Roman"/>
          <w:lang w:eastAsia="it-IT"/>
        </w:rPr>
      </w:pPr>
      <w:r w:rsidRPr="00BD114A">
        <w:rPr>
          <w:rStyle w:val="Refdenotaalpie"/>
        </w:rPr>
        <w:footnoteRef/>
      </w:r>
      <w:r w:rsidRPr="00BD114A">
        <w:t xml:space="preserve"> </w:t>
      </w:r>
      <w:r w:rsidRPr="00BD114A">
        <w:rPr>
          <w:rFonts w:ascii="Times New Roman" w:eastAsia="Times New Roman" w:hAnsi="Times New Roman" w:cs="Times New Roman"/>
          <w:lang w:eastAsia="it-IT"/>
        </w:rPr>
        <w:t>Le aree marginali (sovente chiamate anche “interne”) e i borghi costituiscono</w:t>
      </w:r>
      <w:r w:rsidRPr="002C148A">
        <w:rPr>
          <w:rFonts w:ascii="Times New Roman" w:eastAsia="Times New Roman" w:hAnsi="Times New Roman" w:cs="Times New Roman"/>
          <w:lang w:eastAsia="it-IT"/>
        </w:rPr>
        <w:t xml:space="preserve"> territori periferici, spesso connotati da vocazione prettamente rurale e, in genere, caratterizzati da condizioni di declino demografico ed economico (</w:t>
      </w:r>
      <w:r>
        <w:rPr>
          <w:rFonts w:ascii="Times New Roman" w:eastAsia="Times New Roman" w:hAnsi="Times New Roman" w:cs="Times New Roman"/>
          <w:lang w:eastAsia="it-IT"/>
        </w:rPr>
        <w:t>dipartimento per la c</w:t>
      </w:r>
      <w:r w:rsidRPr="002C148A">
        <w:rPr>
          <w:rFonts w:ascii="Times New Roman" w:eastAsia="Times New Roman" w:hAnsi="Times New Roman" w:cs="Times New Roman"/>
          <w:lang w:eastAsia="it-IT"/>
        </w:rPr>
        <w:t>oesione territoriale</w:t>
      </w:r>
      <w:r>
        <w:rPr>
          <w:rFonts w:ascii="Times New Roman" w:eastAsia="Times New Roman" w:hAnsi="Times New Roman" w:cs="Times New Roman"/>
          <w:lang w:eastAsia="it-IT"/>
        </w:rPr>
        <w:t xml:space="preserve"> e per il Sud</w:t>
      </w:r>
      <w:r w:rsidRPr="002C148A">
        <w:rPr>
          <w:rFonts w:ascii="Times New Roman" w:eastAsia="Times New Roman" w:hAnsi="Times New Roman" w:cs="Times New Roman"/>
          <w:lang w:eastAsia="it-IT"/>
        </w:rPr>
        <w: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54BF" w14:textId="77777777" w:rsidR="00ED327C" w:rsidRDefault="00ED32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9B8F" w14:textId="4A80774C" w:rsidR="002765CA" w:rsidRPr="002765CA" w:rsidRDefault="002765CA" w:rsidP="002765CA">
    <w:pPr>
      <w:tabs>
        <w:tab w:val="center" w:pos="4252"/>
        <w:tab w:val="right" w:pos="8504"/>
      </w:tabs>
      <w:rPr>
        <w:rFonts w:ascii="Times New Roman" w:hAnsi="Times New Roman" w:cs="Times New Roman"/>
        <w:b/>
        <w:bCs/>
        <w:color w:val="C0504D"/>
        <w:sz w:val="20"/>
        <w:szCs w:val="20"/>
        <w:lang w:val="es-ES" w:eastAsia="en-US"/>
      </w:rPr>
    </w:pPr>
    <w:r w:rsidRPr="002765CA">
      <w:rPr>
        <w:rFonts w:ascii="Times New Roman" w:hAnsi="Times New Roman" w:cs="Times New Roman"/>
        <w:b/>
        <w:bCs/>
        <w:i/>
        <w:iCs/>
        <w:color w:val="C0504D"/>
        <w:sz w:val="20"/>
        <w:szCs w:val="20"/>
        <w:lang w:eastAsia="en-US"/>
      </w:rPr>
      <w:t xml:space="preserve">I Sacri Monti (Italia): Strategie e sfide per la tutela  e lo sviluppo </w:t>
    </w:r>
    <w:r>
      <w:rPr>
        <w:rFonts w:ascii="Times New Roman" w:hAnsi="Times New Roman" w:cs="Times New Roman"/>
        <w:b/>
        <w:bCs/>
        <w:i/>
        <w:iCs/>
        <w:color w:val="C0504D"/>
        <w:sz w:val="20"/>
        <w:szCs w:val="20"/>
        <w:lang w:eastAsia="en-US"/>
      </w:rPr>
      <w:t>(...)</w:t>
    </w:r>
    <w:r w:rsidRPr="002765CA">
      <w:rPr>
        <w:rFonts w:ascii="Times New Roman" w:hAnsi="Times New Roman" w:cs="Times New Roman"/>
        <w:b/>
        <w:bCs/>
        <w:i/>
        <w:iCs/>
        <w:color w:val="C0504D"/>
        <w:sz w:val="20"/>
        <w:szCs w:val="20"/>
        <w:lang w:val="es-ES" w:eastAsia="en-US"/>
      </w:rPr>
      <w:t xml:space="preserve">        </w:t>
    </w:r>
    <w:r>
      <w:rPr>
        <w:rFonts w:ascii="Times New Roman" w:hAnsi="Times New Roman" w:cs="Times New Roman"/>
        <w:b/>
        <w:bCs/>
        <w:i/>
        <w:iCs/>
        <w:color w:val="C0504D"/>
        <w:sz w:val="20"/>
        <w:szCs w:val="20"/>
        <w:lang w:val="es-ES" w:eastAsia="en-US"/>
      </w:rPr>
      <w:t xml:space="preserve">              </w:t>
    </w:r>
    <w:r w:rsidRPr="002765CA">
      <w:rPr>
        <w:rFonts w:ascii="Times New Roman" w:hAnsi="Times New Roman" w:cs="Times New Roman"/>
        <w:b/>
        <w:bCs/>
        <w:i/>
        <w:iCs/>
        <w:color w:val="C0504D"/>
        <w:sz w:val="20"/>
        <w:szCs w:val="20"/>
        <w:lang w:val="es-ES" w:eastAsia="en-US"/>
      </w:rPr>
      <w:t xml:space="preserve"> </w:t>
    </w:r>
    <w:proofErr w:type="spellStart"/>
    <w:r w:rsidRPr="002765CA">
      <w:rPr>
        <w:rFonts w:ascii="Times New Roman" w:hAnsi="Times New Roman" w:cs="Times New Roman"/>
        <w:b/>
        <w:bCs/>
        <w:color w:val="C0504D"/>
        <w:sz w:val="20"/>
        <w:szCs w:val="20"/>
        <w:lang w:val="es-ES" w:eastAsia="en-US"/>
      </w:rPr>
      <w:t>Ferrario</w:t>
    </w:r>
    <w:proofErr w:type="spellEnd"/>
    <w:r w:rsidRPr="002765CA">
      <w:rPr>
        <w:rFonts w:ascii="Times New Roman" w:hAnsi="Times New Roman" w:cs="Times New Roman"/>
        <w:b/>
        <w:bCs/>
        <w:color w:val="C0504D"/>
        <w:sz w:val="20"/>
        <w:szCs w:val="20"/>
        <w:lang w:val="es-ES" w:eastAsia="en-US"/>
      </w:rPr>
      <w:t xml:space="preserve">, </w:t>
    </w:r>
    <w:proofErr w:type="spellStart"/>
    <w:r w:rsidRPr="002765CA">
      <w:rPr>
        <w:rFonts w:ascii="Times New Roman" w:hAnsi="Times New Roman" w:cs="Times New Roman"/>
        <w:b/>
        <w:bCs/>
        <w:color w:val="C0504D"/>
        <w:sz w:val="20"/>
        <w:szCs w:val="20"/>
        <w:lang w:val="es-ES" w:eastAsia="en-US"/>
      </w:rPr>
      <w:t>Afferni</w:t>
    </w:r>
    <w:proofErr w:type="spellEnd"/>
    <w:r w:rsidRPr="002765CA">
      <w:rPr>
        <w:rFonts w:ascii="Times New Roman" w:hAnsi="Times New Roman" w:cs="Times New Roman"/>
        <w:b/>
        <w:bCs/>
        <w:color w:val="C0504D"/>
        <w:sz w:val="20"/>
        <w:szCs w:val="20"/>
        <w:lang w:val="es-ES" w:eastAsia="en-US"/>
      </w:rPr>
      <w:t xml:space="preserve">, </w:t>
    </w:r>
    <w:proofErr w:type="spellStart"/>
    <w:r w:rsidRPr="002765CA">
      <w:rPr>
        <w:rFonts w:ascii="Times New Roman" w:hAnsi="Times New Roman" w:cs="Times New Roman"/>
        <w:b/>
        <w:bCs/>
        <w:color w:val="C0504D"/>
        <w:sz w:val="20"/>
        <w:szCs w:val="20"/>
        <w:lang w:val="es-ES" w:eastAsia="en-US"/>
      </w:rPr>
      <w:t>Tadini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D2C5" w14:textId="77777777" w:rsidR="00ED327C" w:rsidRDefault="00ED32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528E"/>
    <w:multiLevelType w:val="hybridMultilevel"/>
    <w:tmpl w:val="CF8CEC5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20C60421"/>
    <w:multiLevelType w:val="hybridMultilevel"/>
    <w:tmpl w:val="418C218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49A62D55"/>
    <w:multiLevelType w:val="hybridMultilevel"/>
    <w:tmpl w:val="842C1C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050240"/>
    <w:multiLevelType w:val="hybridMultilevel"/>
    <w:tmpl w:val="B6545C9C"/>
    <w:lvl w:ilvl="0" w:tplc="71CAD194">
      <w:start w:val="1"/>
      <w:numFmt w:val="decimal"/>
      <w:lvlText w:val="%1."/>
      <w:lvlJc w:val="left"/>
      <w:pPr>
        <w:ind w:left="720" w:hanging="360"/>
      </w:pPr>
      <w:rPr>
        <w:rFonts w:ascii="Times New Roman" w:hAnsi="Times New Roman" w:cs="Times New Roman"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E7809C8"/>
    <w:multiLevelType w:val="hybridMultilevel"/>
    <w:tmpl w:val="F4EA758A"/>
    <w:lvl w:ilvl="0" w:tplc="919201B0">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0B03BBE"/>
    <w:multiLevelType w:val="hybridMultilevel"/>
    <w:tmpl w:val="9D80E148"/>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6" w15:restartNumberingAfterBreak="0">
    <w:nsid w:val="65693ED9"/>
    <w:multiLevelType w:val="hybridMultilevel"/>
    <w:tmpl w:val="621C495A"/>
    <w:lvl w:ilvl="0" w:tplc="71CAD194">
      <w:start w:val="1"/>
      <w:numFmt w:val="decimal"/>
      <w:lvlText w:val="%1."/>
      <w:lvlJc w:val="left"/>
      <w:pPr>
        <w:ind w:left="720" w:hanging="360"/>
      </w:pPr>
      <w:rPr>
        <w:rFonts w:ascii="Times New Roman" w:hAnsi="Times New Roman" w:cs="Times New Roman"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DC01D7E"/>
    <w:multiLevelType w:val="hybridMultilevel"/>
    <w:tmpl w:val="1D5E1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F9041FF"/>
    <w:multiLevelType w:val="multilevel"/>
    <w:tmpl w:val="4B62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2259D"/>
    <w:multiLevelType w:val="multilevel"/>
    <w:tmpl w:val="406C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156301">
    <w:abstractNumId w:val="4"/>
  </w:num>
  <w:num w:numId="2" w16cid:durableId="638919475">
    <w:abstractNumId w:val="3"/>
  </w:num>
  <w:num w:numId="3" w16cid:durableId="1164320439">
    <w:abstractNumId w:val="7"/>
  </w:num>
  <w:num w:numId="4" w16cid:durableId="204561530">
    <w:abstractNumId w:val="0"/>
  </w:num>
  <w:num w:numId="5" w16cid:durableId="1780374519">
    <w:abstractNumId w:val="5"/>
  </w:num>
  <w:num w:numId="6" w16cid:durableId="1651129832">
    <w:abstractNumId w:val="9"/>
  </w:num>
  <w:num w:numId="7" w16cid:durableId="439571125">
    <w:abstractNumId w:val="8"/>
  </w:num>
  <w:num w:numId="8" w16cid:durableId="828911797">
    <w:abstractNumId w:val="2"/>
  </w:num>
  <w:num w:numId="9" w16cid:durableId="154076023">
    <w:abstractNumId w:val="6"/>
  </w:num>
  <w:num w:numId="10" w16cid:durableId="1222063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32"/>
    <w:rsid w:val="00005919"/>
    <w:rsid w:val="0000597B"/>
    <w:rsid w:val="000164D4"/>
    <w:rsid w:val="0002027D"/>
    <w:rsid w:val="00021200"/>
    <w:rsid w:val="00043100"/>
    <w:rsid w:val="000451CE"/>
    <w:rsid w:val="00067FBA"/>
    <w:rsid w:val="000724D5"/>
    <w:rsid w:val="00073DE6"/>
    <w:rsid w:val="000A7CF5"/>
    <w:rsid w:val="000B6D47"/>
    <w:rsid w:val="000B70FE"/>
    <w:rsid w:val="000D22E8"/>
    <w:rsid w:val="000D4AD2"/>
    <w:rsid w:val="000D659F"/>
    <w:rsid w:val="001017AA"/>
    <w:rsid w:val="001342D6"/>
    <w:rsid w:val="00163D20"/>
    <w:rsid w:val="00177884"/>
    <w:rsid w:val="00185CC6"/>
    <w:rsid w:val="001B4103"/>
    <w:rsid w:val="001D4CE6"/>
    <w:rsid w:val="001E24B8"/>
    <w:rsid w:val="001E3D90"/>
    <w:rsid w:val="001E6F37"/>
    <w:rsid w:val="001F3C4A"/>
    <w:rsid w:val="00212BE3"/>
    <w:rsid w:val="002727A1"/>
    <w:rsid w:val="002765CA"/>
    <w:rsid w:val="0029611B"/>
    <w:rsid w:val="002A4B83"/>
    <w:rsid w:val="002C148A"/>
    <w:rsid w:val="002C1D95"/>
    <w:rsid w:val="002C2F16"/>
    <w:rsid w:val="002D3994"/>
    <w:rsid w:val="002D6CF7"/>
    <w:rsid w:val="002F0F8B"/>
    <w:rsid w:val="00316987"/>
    <w:rsid w:val="00334AC1"/>
    <w:rsid w:val="003362C7"/>
    <w:rsid w:val="003430C9"/>
    <w:rsid w:val="00363838"/>
    <w:rsid w:val="00373B90"/>
    <w:rsid w:val="00384FB0"/>
    <w:rsid w:val="003A074C"/>
    <w:rsid w:val="003F6037"/>
    <w:rsid w:val="00411E11"/>
    <w:rsid w:val="004245A6"/>
    <w:rsid w:val="00433AE8"/>
    <w:rsid w:val="00433B51"/>
    <w:rsid w:val="004839F2"/>
    <w:rsid w:val="004A3705"/>
    <w:rsid w:val="004D2208"/>
    <w:rsid w:val="004D467D"/>
    <w:rsid w:val="004E3D2C"/>
    <w:rsid w:val="00501650"/>
    <w:rsid w:val="00512FF1"/>
    <w:rsid w:val="00514E08"/>
    <w:rsid w:val="00524AC7"/>
    <w:rsid w:val="00530C32"/>
    <w:rsid w:val="005327FD"/>
    <w:rsid w:val="00534AC1"/>
    <w:rsid w:val="00540196"/>
    <w:rsid w:val="0055048E"/>
    <w:rsid w:val="00557BE3"/>
    <w:rsid w:val="00593548"/>
    <w:rsid w:val="005B08A2"/>
    <w:rsid w:val="005B5916"/>
    <w:rsid w:val="005F5264"/>
    <w:rsid w:val="00624B33"/>
    <w:rsid w:val="00671840"/>
    <w:rsid w:val="00694F59"/>
    <w:rsid w:val="006961A1"/>
    <w:rsid w:val="006C2343"/>
    <w:rsid w:val="006E70D0"/>
    <w:rsid w:val="006F78A1"/>
    <w:rsid w:val="006F7DB5"/>
    <w:rsid w:val="00712EC7"/>
    <w:rsid w:val="007131EA"/>
    <w:rsid w:val="00722BAB"/>
    <w:rsid w:val="00736D18"/>
    <w:rsid w:val="00740FE1"/>
    <w:rsid w:val="00742716"/>
    <w:rsid w:val="00796C2A"/>
    <w:rsid w:val="007A32A2"/>
    <w:rsid w:val="007B1FBA"/>
    <w:rsid w:val="007B5E2F"/>
    <w:rsid w:val="007B78BB"/>
    <w:rsid w:val="007F2BD7"/>
    <w:rsid w:val="00807E92"/>
    <w:rsid w:val="00851E35"/>
    <w:rsid w:val="008B016A"/>
    <w:rsid w:val="008B390E"/>
    <w:rsid w:val="008D0D8C"/>
    <w:rsid w:val="00904732"/>
    <w:rsid w:val="009162D6"/>
    <w:rsid w:val="00925FD0"/>
    <w:rsid w:val="00927263"/>
    <w:rsid w:val="00933822"/>
    <w:rsid w:val="00951F2C"/>
    <w:rsid w:val="00960585"/>
    <w:rsid w:val="0099183B"/>
    <w:rsid w:val="00997635"/>
    <w:rsid w:val="009F489E"/>
    <w:rsid w:val="009F60CE"/>
    <w:rsid w:val="00A261ED"/>
    <w:rsid w:val="00A87EC8"/>
    <w:rsid w:val="00AB28E4"/>
    <w:rsid w:val="00AB7628"/>
    <w:rsid w:val="00AC37C5"/>
    <w:rsid w:val="00AC4D8A"/>
    <w:rsid w:val="00AC54F4"/>
    <w:rsid w:val="00B11487"/>
    <w:rsid w:val="00B31665"/>
    <w:rsid w:val="00B422E3"/>
    <w:rsid w:val="00B5751B"/>
    <w:rsid w:val="00B60223"/>
    <w:rsid w:val="00B72D26"/>
    <w:rsid w:val="00BD114A"/>
    <w:rsid w:val="00BD7FB8"/>
    <w:rsid w:val="00BF1D3E"/>
    <w:rsid w:val="00BF42E1"/>
    <w:rsid w:val="00C53290"/>
    <w:rsid w:val="00C641C4"/>
    <w:rsid w:val="00C82E52"/>
    <w:rsid w:val="00CB3A16"/>
    <w:rsid w:val="00CB731F"/>
    <w:rsid w:val="00CC0342"/>
    <w:rsid w:val="00CC7885"/>
    <w:rsid w:val="00D16DA4"/>
    <w:rsid w:val="00D504F0"/>
    <w:rsid w:val="00D64450"/>
    <w:rsid w:val="00D71335"/>
    <w:rsid w:val="00D82385"/>
    <w:rsid w:val="00D90761"/>
    <w:rsid w:val="00E21B88"/>
    <w:rsid w:val="00E33FD8"/>
    <w:rsid w:val="00E50FDD"/>
    <w:rsid w:val="00E76ACC"/>
    <w:rsid w:val="00E76B66"/>
    <w:rsid w:val="00E82629"/>
    <w:rsid w:val="00EC4005"/>
    <w:rsid w:val="00ED327C"/>
    <w:rsid w:val="00EE3B69"/>
    <w:rsid w:val="00EE3E7B"/>
    <w:rsid w:val="00F04B8C"/>
    <w:rsid w:val="00F27412"/>
    <w:rsid w:val="00F36625"/>
    <w:rsid w:val="00F55037"/>
    <w:rsid w:val="00F600B9"/>
    <w:rsid w:val="00F670E6"/>
    <w:rsid w:val="00F734F0"/>
    <w:rsid w:val="00F96FAE"/>
    <w:rsid w:val="00FB0DBC"/>
    <w:rsid w:val="00FC1CBC"/>
    <w:rsid w:val="00FD3B89"/>
    <w:rsid w:val="00FE4F36"/>
    <w:rsid w:val="00FF1E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B73E7"/>
  <w15:docId w15:val="{CC33BA80-F9D2-4A9F-9620-7CFE7B0A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12"/>
      <w:ind w:left="10" w:right="67" w:hanging="10"/>
      <w:jc w:val="center"/>
      <w:outlineLvl w:val="0"/>
    </w:pPr>
    <w:rPr>
      <w:rFonts w:ascii="Times New Roman" w:eastAsia="Times New Roman" w:hAnsi="Times New Roman" w:cs="Times New Roman"/>
      <w:b/>
      <w:color w:val="000000"/>
      <w:sz w:val="32"/>
    </w:rPr>
  </w:style>
  <w:style w:type="paragraph" w:styleId="Ttulo2">
    <w:name w:val="heading 2"/>
    <w:basedOn w:val="Normal"/>
    <w:next w:val="Normal"/>
    <w:link w:val="Ttulo2Car"/>
    <w:uiPriority w:val="9"/>
    <w:semiHidden/>
    <w:unhideWhenUsed/>
    <w:qFormat/>
    <w:rsid w:val="00F04B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504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F04B8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32"/>
    </w:rPr>
  </w:style>
  <w:style w:type="paragraph" w:customStyle="1" w:styleId="Abstracttext1">
    <w:name w:val="Abstract text1"/>
    <w:basedOn w:val="Normal"/>
    <w:rsid w:val="004E3D2C"/>
    <w:pPr>
      <w:spacing w:before="120" w:after="480" w:line="240" w:lineRule="auto"/>
      <w:ind w:left="360" w:right="360"/>
      <w:jc w:val="both"/>
    </w:pPr>
    <w:rPr>
      <w:rFonts w:ascii="Times New Roman" w:eastAsia="Times New Roman" w:hAnsi="Times New Roman" w:cs="Times New Roman"/>
      <w:color w:val="auto"/>
      <w:sz w:val="20"/>
      <w:szCs w:val="24"/>
      <w:lang w:val="en-AU" w:eastAsia="en-US"/>
    </w:rPr>
  </w:style>
  <w:style w:type="paragraph" w:customStyle="1" w:styleId="References1">
    <w:name w:val="References1"/>
    <w:basedOn w:val="Normal"/>
    <w:rsid w:val="004E3D2C"/>
    <w:pPr>
      <w:tabs>
        <w:tab w:val="left" w:pos="520"/>
      </w:tabs>
      <w:spacing w:before="120" w:after="120" w:line="240" w:lineRule="atLeast"/>
      <w:jc w:val="both"/>
    </w:pPr>
    <w:rPr>
      <w:rFonts w:ascii="Times New Roman" w:eastAsia="Times New Roman" w:hAnsi="Times New Roman" w:cs="Times New Roman"/>
      <w:color w:val="auto"/>
      <w:sz w:val="24"/>
      <w:szCs w:val="24"/>
      <w:lang w:val="en-AU" w:eastAsia="en-US"/>
    </w:rPr>
  </w:style>
  <w:style w:type="character" w:styleId="Hipervnculo">
    <w:name w:val="Hyperlink"/>
    <w:basedOn w:val="Fuentedeprrafopredeter"/>
    <w:uiPriority w:val="99"/>
    <w:unhideWhenUsed/>
    <w:rsid w:val="005F5264"/>
    <w:rPr>
      <w:color w:val="0563C1" w:themeColor="hyperlink"/>
      <w:u w:val="single"/>
    </w:rPr>
  </w:style>
  <w:style w:type="character" w:styleId="Mencinsinresolver">
    <w:name w:val="Unresolved Mention"/>
    <w:basedOn w:val="Fuentedeprrafopredeter"/>
    <w:uiPriority w:val="99"/>
    <w:semiHidden/>
    <w:unhideWhenUsed/>
    <w:rsid w:val="005F5264"/>
    <w:rPr>
      <w:color w:val="605E5C"/>
      <w:shd w:val="clear" w:color="auto" w:fill="E1DFDD"/>
    </w:rPr>
  </w:style>
  <w:style w:type="paragraph" w:styleId="Prrafodelista">
    <w:name w:val="List Paragraph"/>
    <w:basedOn w:val="Normal"/>
    <w:uiPriority w:val="34"/>
    <w:qFormat/>
    <w:rsid w:val="00D504F0"/>
    <w:pPr>
      <w:ind w:left="720"/>
      <w:contextualSpacing/>
    </w:pPr>
  </w:style>
  <w:style w:type="paragraph" w:styleId="NormalWeb">
    <w:name w:val="Normal (Web)"/>
    <w:basedOn w:val="Normal"/>
    <w:uiPriority w:val="99"/>
    <w:unhideWhenUsed/>
    <w:rsid w:val="00D504F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D504F0"/>
    <w:rPr>
      <w:b/>
      <w:bCs/>
    </w:rPr>
  </w:style>
  <w:style w:type="character" w:customStyle="1" w:styleId="Ttulo3Car">
    <w:name w:val="Título 3 Car"/>
    <w:basedOn w:val="Fuentedeprrafopredeter"/>
    <w:link w:val="Ttulo3"/>
    <w:uiPriority w:val="9"/>
    <w:semiHidden/>
    <w:rsid w:val="00D504F0"/>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E33FD8"/>
    <w:rPr>
      <w:i/>
      <w:iCs/>
    </w:rPr>
  </w:style>
  <w:style w:type="paragraph" w:styleId="Textonotapie">
    <w:name w:val="footnote text"/>
    <w:basedOn w:val="Normal"/>
    <w:link w:val="TextonotapieCar"/>
    <w:uiPriority w:val="99"/>
    <w:semiHidden/>
    <w:unhideWhenUsed/>
    <w:rsid w:val="00BF42E1"/>
    <w:pPr>
      <w:spacing w:after="0" w:line="240" w:lineRule="auto"/>
    </w:pPr>
    <w:rPr>
      <w:rFonts w:ascii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semiHidden/>
    <w:rsid w:val="00BF42E1"/>
    <w:rPr>
      <w:rFonts w:eastAsia="Calibri"/>
      <w:sz w:val="20"/>
      <w:szCs w:val="20"/>
      <w:lang w:eastAsia="en-US"/>
    </w:rPr>
  </w:style>
  <w:style w:type="character" w:styleId="Refdenotaalpie">
    <w:name w:val="footnote reference"/>
    <w:uiPriority w:val="99"/>
    <w:unhideWhenUsed/>
    <w:rsid w:val="00BF42E1"/>
    <w:rPr>
      <w:vertAlign w:val="superscript"/>
    </w:rPr>
  </w:style>
  <w:style w:type="paragraph" w:customStyle="1" w:styleId="1Ttuloespaol">
    <w:name w:val="1. Título español"/>
    <w:basedOn w:val="Normal"/>
    <w:link w:val="1TtuloespaolCar"/>
    <w:qFormat/>
    <w:rsid w:val="004839F2"/>
    <w:pPr>
      <w:spacing w:after="0" w:line="240" w:lineRule="auto"/>
      <w:contextualSpacing/>
      <w:jc w:val="center"/>
    </w:pPr>
    <w:rPr>
      <w:rFonts w:ascii="Times New Roman" w:eastAsiaTheme="minorHAnsi" w:hAnsi="Times New Roman" w:cs="Times New Roman"/>
      <w:b/>
      <w:color w:val="auto"/>
      <w:sz w:val="24"/>
      <w:szCs w:val="24"/>
      <w:lang w:val="es-ES" w:eastAsia="en-US"/>
    </w:rPr>
  </w:style>
  <w:style w:type="paragraph" w:customStyle="1" w:styleId="5TextocomnIIGG">
    <w:name w:val="5. Texto común IIGG"/>
    <w:basedOn w:val="Normal"/>
    <w:link w:val="5TextocomnIIGGCar"/>
    <w:qFormat/>
    <w:rsid w:val="004839F2"/>
    <w:pPr>
      <w:spacing w:after="0" w:line="240" w:lineRule="auto"/>
      <w:jc w:val="both"/>
    </w:pPr>
    <w:rPr>
      <w:rFonts w:ascii="Times New Roman" w:eastAsiaTheme="minorHAnsi" w:hAnsi="Times New Roman" w:cs="Times New Roman"/>
      <w:color w:val="auto"/>
      <w:sz w:val="24"/>
      <w:szCs w:val="24"/>
      <w:lang w:val="es-ES" w:eastAsia="en-US"/>
    </w:rPr>
  </w:style>
  <w:style w:type="character" w:customStyle="1" w:styleId="1TtuloespaolCar">
    <w:name w:val="1. Título español Car"/>
    <w:basedOn w:val="Fuentedeprrafopredeter"/>
    <w:link w:val="1Ttuloespaol"/>
    <w:rsid w:val="004839F2"/>
    <w:rPr>
      <w:rFonts w:ascii="Times New Roman" w:eastAsiaTheme="minorHAnsi" w:hAnsi="Times New Roman" w:cs="Times New Roman"/>
      <w:b/>
      <w:sz w:val="24"/>
      <w:szCs w:val="24"/>
      <w:lang w:val="es-ES" w:eastAsia="en-US"/>
    </w:rPr>
  </w:style>
  <w:style w:type="character" w:customStyle="1" w:styleId="5TextocomnIIGGCar">
    <w:name w:val="5. Texto común IIGG Car"/>
    <w:basedOn w:val="Fuentedeprrafopredeter"/>
    <w:link w:val="5TextocomnIIGG"/>
    <w:rsid w:val="004839F2"/>
    <w:rPr>
      <w:rFonts w:ascii="Times New Roman" w:eastAsiaTheme="minorHAnsi" w:hAnsi="Times New Roman" w:cs="Times New Roman"/>
      <w:sz w:val="24"/>
      <w:szCs w:val="24"/>
      <w:lang w:val="es-ES" w:eastAsia="en-US"/>
    </w:rPr>
  </w:style>
  <w:style w:type="paragraph" w:customStyle="1" w:styleId="4TtulosepgrafesIIGG">
    <w:name w:val="4. Títulos epígrafes IIGG"/>
    <w:basedOn w:val="1Ttuloespaol"/>
    <w:link w:val="4TtulosepgrafesIIGGCar"/>
    <w:qFormat/>
    <w:rsid w:val="004839F2"/>
    <w:pPr>
      <w:spacing w:after="40"/>
      <w:jc w:val="left"/>
    </w:pPr>
  </w:style>
  <w:style w:type="character" w:customStyle="1" w:styleId="4TtulosepgrafesIIGGCar">
    <w:name w:val="4. Títulos epígrafes IIGG Car"/>
    <w:basedOn w:val="1TtuloespaolCar"/>
    <w:link w:val="4TtulosepgrafesIIGG"/>
    <w:rsid w:val="004839F2"/>
    <w:rPr>
      <w:rFonts w:ascii="Times New Roman" w:eastAsiaTheme="minorHAnsi" w:hAnsi="Times New Roman" w:cs="Times New Roman"/>
      <w:b/>
      <w:sz w:val="24"/>
      <w:szCs w:val="24"/>
      <w:lang w:val="es-ES" w:eastAsia="en-US"/>
    </w:rPr>
  </w:style>
  <w:style w:type="paragraph" w:customStyle="1" w:styleId="3AutoradatosIIGG">
    <w:name w:val="3. Autoría datos IIGG"/>
    <w:basedOn w:val="5TextocomnIIGG"/>
    <w:link w:val="3AutoradatosIIGGCar"/>
    <w:qFormat/>
    <w:rsid w:val="004839F2"/>
    <w:pPr>
      <w:spacing w:before="120"/>
      <w:jc w:val="center"/>
    </w:pPr>
  </w:style>
  <w:style w:type="paragraph" w:customStyle="1" w:styleId="6NotasalpiedepginaIIGG">
    <w:name w:val="6. Notas al pie de página IIGG"/>
    <w:basedOn w:val="Textonotapie"/>
    <w:link w:val="6NotasalpiedepginaIIGGCar"/>
    <w:qFormat/>
    <w:rsid w:val="004839F2"/>
    <w:rPr>
      <w:rFonts w:ascii="Times New Roman" w:eastAsiaTheme="minorHAnsi" w:hAnsi="Times New Roman" w:cs="Times New Roman"/>
      <w:lang w:val="es-ES"/>
    </w:rPr>
  </w:style>
  <w:style w:type="character" w:customStyle="1" w:styleId="3AutoradatosIIGGCar">
    <w:name w:val="3. Autoría datos IIGG Car"/>
    <w:basedOn w:val="5TextocomnIIGGCar"/>
    <w:link w:val="3AutoradatosIIGG"/>
    <w:rsid w:val="004839F2"/>
    <w:rPr>
      <w:rFonts w:ascii="Times New Roman" w:eastAsiaTheme="minorHAnsi" w:hAnsi="Times New Roman" w:cs="Times New Roman"/>
      <w:sz w:val="24"/>
      <w:szCs w:val="24"/>
      <w:lang w:val="es-ES" w:eastAsia="en-US"/>
    </w:rPr>
  </w:style>
  <w:style w:type="character" w:customStyle="1" w:styleId="6NotasalpiedepginaIIGGCar">
    <w:name w:val="6. Notas al pie de página IIGG Car"/>
    <w:basedOn w:val="TextonotapieCar"/>
    <w:link w:val="6NotasalpiedepginaIIGG"/>
    <w:rsid w:val="004839F2"/>
    <w:rPr>
      <w:rFonts w:ascii="Times New Roman" w:eastAsiaTheme="minorHAnsi" w:hAnsi="Times New Roman" w:cs="Times New Roman"/>
      <w:sz w:val="20"/>
      <w:szCs w:val="20"/>
      <w:lang w:val="es-ES" w:eastAsia="en-US"/>
    </w:rPr>
  </w:style>
  <w:style w:type="paragraph" w:customStyle="1" w:styleId="bibliografia">
    <w:name w:val="bibliografia"/>
    <w:basedOn w:val="Normal"/>
    <w:uiPriority w:val="99"/>
    <w:rsid w:val="00925FD0"/>
    <w:pPr>
      <w:suppressAutoHyphens/>
      <w:autoSpaceDE w:val="0"/>
      <w:autoSpaceDN w:val="0"/>
      <w:adjustRightInd w:val="0"/>
      <w:spacing w:after="0" w:line="288" w:lineRule="auto"/>
      <w:ind w:left="283" w:hanging="283"/>
      <w:jc w:val="both"/>
      <w:textAlignment w:val="center"/>
    </w:pPr>
    <w:rPr>
      <w:rFonts w:ascii="Adobe Garamond Pro" w:eastAsiaTheme="minorHAnsi" w:hAnsi="Adobe Garamond Pro" w:cs="Adobe Garamond Pro"/>
      <w:sz w:val="18"/>
      <w:szCs w:val="18"/>
      <w:lang w:eastAsia="en-US"/>
    </w:rPr>
  </w:style>
  <w:style w:type="table" w:styleId="Tablaconcuadrcula">
    <w:name w:val="Table Grid"/>
    <w:basedOn w:val="Tablanormal"/>
    <w:uiPriority w:val="39"/>
    <w:rsid w:val="00550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F04B8C"/>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F04B8C"/>
    <w:rPr>
      <w:rFonts w:asciiTheme="majorHAnsi" w:eastAsiaTheme="majorEastAsia" w:hAnsiTheme="majorHAnsi" w:cstheme="majorBidi"/>
      <w:i/>
      <w:iCs/>
      <w:color w:val="2E74B5" w:themeColor="accent1" w:themeShade="BF"/>
    </w:rPr>
  </w:style>
  <w:style w:type="paragraph" w:styleId="HTMLconformatoprevio">
    <w:name w:val="HTML Preformatted"/>
    <w:basedOn w:val="Normal"/>
    <w:link w:val="HTMLconformatoprevioCar"/>
    <w:uiPriority w:val="99"/>
    <w:semiHidden/>
    <w:unhideWhenUsed/>
    <w:rsid w:val="00FD3B89"/>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FD3B89"/>
    <w:rPr>
      <w:rFonts w:ascii="Consolas" w:eastAsia="Calibri" w:hAnsi="Consolas" w:cs="Calibri"/>
      <w:color w:val="000000"/>
      <w:sz w:val="20"/>
      <w:szCs w:val="20"/>
    </w:rPr>
  </w:style>
  <w:style w:type="paragraph" w:styleId="Encabezado">
    <w:name w:val="header"/>
    <w:basedOn w:val="Normal"/>
    <w:link w:val="EncabezadoCar"/>
    <w:uiPriority w:val="99"/>
    <w:unhideWhenUsed/>
    <w:rsid w:val="002765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65CA"/>
    <w:rPr>
      <w:rFonts w:ascii="Calibri" w:eastAsia="Calibri" w:hAnsi="Calibri" w:cs="Calibri"/>
      <w:color w:val="000000"/>
    </w:rPr>
  </w:style>
  <w:style w:type="paragraph" w:styleId="Piedepgina">
    <w:name w:val="footer"/>
    <w:basedOn w:val="Normal"/>
    <w:link w:val="PiedepginaCar"/>
    <w:uiPriority w:val="99"/>
    <w:unhideWhenUsed/>
    <w:rsid w:val="002765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65C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6309">
      <w:bodyDiv w:val="1"/>
      <w:marLeft w:val="0"/>
      <w:marRight w:val="0"/>
      <w:marTop w:val="0"/>
      <w:marBottom w:val="0"/>
      <w:divBdr>
        <w:top w:val="none" w:sz="0" w:space="0" w:color="auto"/>
        <w:left w:val="none" w:sz="0" w:space="0" w:color="auto"/>
        <w:bottom w:val="none" w:sz="0" w:space="0" w:color="auto"/>
        <w:right w:val="none" w:sz="0" w:space="0" w:color="auto"/>
      </w:divBdr>
    </w:div>
    <w:div w:id="165480273">
      <w:bodyDiv w:val="1"/>
      <w:marLeft w:val="0"/>
      <w:marRight w:val="0"/>
      <w:marTop w:val="0"/>
      <w:marBottom w:val="0"/>
      <w:divBdr>
        <w:top w:val="none" w:sz="0" w:space="0" w:color="auto"/>
        <w:left w:val="none" w:sz="0" w:space="0" w:color="auto"/>
        <w:bottom w:val="none" w:sz="0" w:space="0" w:color="auto"/>
        <w:right w:val="none" w:sz="0" w:space="0" w:color="auto"/>
      </w:divBdr>
      <w:divsChild>
        <w:div w:id="262686562">
          <w:marLeft w:val="0"/>
          <w:marRight w:val="0"/>
          <w:marTop w:val="0"/>
          <w:marBottom w:val="0"/>
          <w:divBdr>
            <w:top w:val="none" w:sz="0" w:space="0" w:color="auto"/>
            <w:left w:val="none" w:sz="0" w:space="0" w:color="auto"/>
            <w:bottom w:val="none" w:sz="0" w:space="0" w:color="auto"/>
            <w:right w:val="none" w:sz="0" w:space="0" w:color="auto"/>
          </w:divBdr>
        </w:div>
      </w:divsChild>
    </w:div>
    <w:div w:id="330646138">
      <w:bodyDiv w:val="1"/>
      <w:marLeft w:val="0"/>
      <w:marRight w:val="0"/>
      <w:marTop w:val="0"/>
      <w:marBottom w:val="0"/>
      <w:divBdr>
        <w:top w:val="none" w:sz="0" w:space="0" w:color="auto"/>
        <w:left w:val="none" w:sz="0" w:space="0" w:color="auto"/>
        <w:bottom w:val="none" w:sz="0" w:space="0" w:color="auto"/>
        <w:right w:val="none" w:sz="0" w:space="0" w:color="auto"/>
      </w:divBdr>
    </w:div>
    <w:div w:id="344408578">
      <w:bodyDiv w:val="1"/>
      <w:marLeft w:val="0"/>
      <w:marRight w:val="0"/>
      <w:marTop w:val="0"/>
      <w:marBottom w:val="0"/>
      <w:divBdr>
        <w:top w:val="none" w:sz="0" w:space="0" w:color="auto"/>
        <w:left w:val="none" w:sz="0" w:space="0" w:color="auto"/>
        <w:bottom w:val="none" w:sz="0" w:space="0" w:color="auto"/>
        <w:right w:val="none" w:sz="0" w:space="0" w:color="auto"/>
      </w:divBdr>
    </w:div>
    <w:div w:id="380984006">
      <w:bodyDiv w:val="1"/>
      <w:marLeft w:val="0"/>
      <w:marRight w:val="0"/>
      <w:marTop w:val="0"/>
      <w:marBottom w:val="0"/>
      <w:divBdr>
        <w:top w:val="none" w:sz="0" w:space="0" w:color="auto"/>
        <w:left w:val="none" w:sz="0" w:space="0" w:color="auto"/>
        <w:bottom w:val="none" w:sz="0" w:space="0" w:color="auto"/>
        <w:right w:val="none" w:sz="0" w:space="0" w:color="auto"/>
      </w:divBdr>
      <w:divsChild>
        <w:div w:id="1929464741">
          <w:marLeft w:val="0"/>
          <w:marRight w:val="0"/>
          <w:marTop w:val="0"/>
          <w:marBottom w:val="0"/>
          <w:divBdr>
            <w:top w:val="none" w:sz="0" w:space="0" w:color="auto"/>
            <w:left w:val="none" w:sz="0" w:space="0" w:color="auto"/>
            <w:bottom w:val="none" w:sz="0" w:space="0" w:color="auto"/>
            <w:right w:val="none" w:sz="0" w:space="0" w:color="auto"/>
          </w:divBdr>
        </w:div>
      </w:divsChild>
    </w:div>
    <w:div w:id="608125348">
      <w:bodyDiv w:val="1"/>
      <w:marLeft w:val="0"/>
      <w:marRight w:val="0"/>
      <w:marTop w:val="0"/>
      <w:marBottom w:val="0"/>
      <w:divBdr>
        <w:top w:val="none" w:sz="0" w:space="0" w:color="auto"/>
        <w:left w:val="none" w:sz="0" w:space="0" w:color="auto"/>
        <w:bottom w:val="none" w:sz="0" w:space="0" w:color="auto"/>
        <w:right w:val="none" w:sz="0" w:space="0" w:color="auto"/>
      </w:divBdr>
    </w:div>
    <w:div w:id="615714740">
      <w:bodyDiv w:val="1"/>
      <w:marLeft w:val="0"/>
      <w:marRight w:val="0"/>
      <w:marTop w:val="0"/>
      <w:marBottom w:val="0"/>
      <w:divBdr>
        <w:top w:val="none" w:sz="0" w:space="0" w:color="auto"/>
        <w:left w:val="none" w:sz="0" w:space="0" w:color="auto"/>
        <w:bottom w:val="none" w:sz="0" w:space="0" w:color="auto"/>
        <w:right w:val="none" w:sz="0" w:space="0" w:color="auto"/>
      </w:divBdr>
    </w:div>
    <w:div w:id="659700569">
      <w:bodyDiv w:val="1"/>
      <w:marLeft w:val="0"/>
      <w:marRight w:val="0"/>
      <w:marTop w:val="0"/>
      <w:marBottom w:val="0"/>
      <w:divBdr>
        <w:top w:val="none" w:sz="0" w:space="0" w:color="auto"/>
        <w:left w:val="none" w:sz="0" w:space="0" w:color="auto"/>
        <w:bottom w:val="none" w:sz="0" w:space="0" w:color="auto"/>
        <w:right w:val="none" w:sz="0" w:space="0" w:color="auto"/>
      </w:divBdr>
    </w:div>
    <w:div w:id="702025698">
      <w:bodyDiv w:val="1"/>
      <w:marLeft w:val="0"/>
      <w:marRight w:val="0"/>
      <w:marTop w:val="0"/>
      <w:marBottom w:val="0"/>
      <w:divBdr>
        <w:top w:val="none" w:sz="0" w:space="0" w:color="auto"/>
        <w:left w:val="none" w:sz="0" w:space="0" w:color="auto"/>
        <w:bottom w:val="none" w:sz="0" w:space="0" w:color="auto"/>
        <w:right w:val="none" w:sz="0" w:space="0" w:color="auto"/>
      </w:divBdr>
    </w:div>
    <w:div w:id="712311851">
      <w:bodyDiv w:val="1"/>
      <w:marLeft w:val="0"/>
      <w:marRight w:val="0"/>
      <w:marTop w:val="0"/>
      <w:marBottom w:val="0"/>
      <w:divBdr>
        <w:top w:val="none" w:sz="0" w:space="0" w:color="auto"/>
        <w:left w:val="none" w:sz="0" w:space="0" w:color="auto"/>
        <w:bottom w:val="none" w:sz="0" w:space="0" w:color="auto"/>
        <w:right w:val="none" w:sz="0" w:space="0" w:color="auto"/>
      </w:divBdr>
      <w:divsChild>
        <w:div w:id="1493179412">
          <w:marLeft w:val="0"/>
          <w:marRight w:val="0"/>
          <w:marTop w:val="0"/>
          <w:marBottom w:val="0"/>
          <w:divBdr>
            <w:top w:val="none" w:sz="0" w:space="0" w:color="auto"/>
            <w:left w:val="none" w:sz="0" w:space="0" w:color="auto"/>
            <w:bottom w:val="none" w:sz="0" w:space="0" w:color="auto"/>
            <w:right w:val="none" w:sz="0" w:space="0" w:color="auto"/>
          </w:divBdr>
        </w:div>
      </w:divsChild>
    </w:div>
    <w:div w:id="764493563">
      <w:bodyDiv w:val="1"/>
      <w:marLeft w:val="0"/>
      <w:marRight w:val="0"/>
      <w:marTop w:val="0"/>
      <w:marBottom w:val="0"/>
      <w:divBdr>
        <w:top w:val="none" w:sz="0" w:space="0" w:color="auto"/>
        <w:left w:val="none" w:sz="0" w:space="0" w:color="auto"/>
        <w:bottom w:val="none" w:sz="0" w:space="0" w:color="auto"/>
        <w:right w:val="none" w:sz="0" w:space="0" w:color="auto"/>
      </w:divBdr>
    </w:div>
    <w:div w:id="764568502">
      <w:bodyDiv w:val="1"/>
      <w:marLeft w:val="0"/>
      <w:marRight w:val="0"/>
      <w:marTop w:val="0"/>
      <w:marBottom w:val="0"/>
      <w:divBdr>
        <w:top w:val="none" w:sz="0" w:space="0" w:color="auto"/>
        <w:left w:val="none" w:sz="0" w:space="0" w:color="auto"/>
        <w:bottom w:val="none" w:sz="0" w:space="0" w:color="auto"/>
        <w:right w:val="none" w:sz="0" w:space="0" w:color="auto"/>
      </w:divBdr>
    </w:div>
    <w:div w:id="895824116">
      <w:bodyDiv w:val="1"/>
      <w:marLeft w:val="0"/>
      <w:marRight w:val="0"/>
      <w:marTop w:val="0"/>
      <w:marBottom w:val="0"/>
      <w:divBdr>
        <w:top w:val="none" w:sz="0" w:space="0" w:color="auto"/>
        <w:left w:val="none" w:sz="0" w:space="0" w:color="auto"/>
        <w:bottom w:val="none" w:sz="0" w:space="0" w:color="auto"/>
        <w:right w:val="none" w:sz="0" w:space="0" w:color="auto"/>
      </w:divBdr>
    </w:div>
    <w:div w:id="986785954">
      <w:bodyDiv w:val="1"/>
      <w:marLeft w:val="0"/>
      <w:marRight w:val="0"/>
      <w:marTop w:val="0"/>
      <w:marBottom w:val="0"/>
      <w:divBdr>
        <w:top w:val="none" w:sz="0" w:space="0" w:color="auto"/>
        <w:left w:val="none" w:sz="0" w:space="0" w:color="auto"/>
        <w:bottom w:val="none" w:sz="0" w:space="0" w:color="auto"/>
        <w:right w:val="none" w:sz="0" w:space="0" w:color="auto"/>
      </w:divBdr>
    </w:div>
    <w:div w:id="1049067233">
      <w:bodyDiv w:val="1"/>
      <w:marLeft w:val="0"/>
      <w:marRight w:val="0"/>
      <w:marTop w:val="0"/>
      <w:marBottom w:val="0"/>
      <w:divBdr>
        <w:top w:val="none" w:sz="0" w:space="0" w:color="auto"/>
        <w:left w:val="none" w:sz="0" w:space="0" w:color="auto"/>
        <w:bottom w:val="none" w:sz="0" w:space="0" w:color="auto"/>
        <w:right w:val="none" w:sz="0" w:space="0" w:color="auto"/>
      </w:divBdr>
    </w:div>
    <w:div w:id="1058819544">
      <w:bodyDiv w:val="1"/>
      <w:marLeft w:val="0"/>
      <w:marRight w:val="0"/>
      <w:marTop w:val="0"/>
      <w:marBottom w:val="0"/>
      <w:divBdr>
        <w:top w:val="none" w:sz="0" w:space="0" w:color="auto"/>
        <w:left w:val="none" w:sz="0" w:space="0" w:color="auto"/>
        <w:bottom w:val="none" w:sz="0" w:space="0" w:color="auto"/>
        <w:right w:val="none" w:sz="0" w:space="0" w:color="auto"/>
      </w:divBdr>
      <w:divsChild>
        <w:div w:id="691609343">
          <w:marLeft w:val="0"/>
          <w:marRight w:val="0"/>
          <w:marTop w:val="0"/>
          <w:marBottom w:val="0"/>
          <w:divBdr>
            <w:top w:val="none" w:sz="0" w:space="0" w:color="auto"/>
            <w:left w:val="none" w:sz="0" w:space="0" w:color="auto"/>
            <w:bottom w:val="none" w:sz="0" w:space="0" w:color="auto"/>
            <w:right w:val="none" w:sz="0" w:space="0" w:color="auto"/>
          </w:divBdr>
        </w:div>
      </w:divsChild>
    </w:div>
    <w:div w:id="1087190529">
      <w:bodyDiv w:val="1"/>
      <w:marLeft w:val="0"/>
      <w:marRight w:val="0"/>
      <w:marTop w:val="0"/>
      <w:marBottom w:val="0"/>
      <w:divBdr>
        <w:top w:val="none" w:sz="0" w:space="0" w:color="auto"/>
        <w:left w:val="none" w:sz="0" w:space="0" w:color="auto"/>
        <w:bottom w:val="none" w:sz="0" w:space="0" w:color="auto"/>
        <w:right w:val="none" w:sz="0" w:space="0" w:color="auto"/>
      </w:divBdr>
    </w:div>
    <w:div w:id="1137451537">
      <w:bodyDiv w:val="1"/>
      <w:marLeft w:val="0"/>
      <w:marRight w:val="0"/>
      <w:marTop w:val="0"/>
      <w:marBottom w:val="0"/>
      <w:divBdr>
        <w:top w:val="none" w:sz="0" w:space="0" w:color="auto"/>
        <w:left w:val="none" w:sz="0" w:space="0" w:color="auto"/>
        <w:bottom w:val="none" w:sz="0" w:space="0" w:color="auto"/>
        <w:right w:val="none" w:sz="0" w:space="0" w:color="auto"/>
      </w:divBdr>
    </w:div>
    <w:div w:id="1310866411">
      <w:bodyDiv w:val="1"/>
      <w:marLeft w:val="0"/>
      <w:marRight w:val="0"/>
      <w:marTop w:val="0"/>
      <w:marBottom w:val="0"/>
      <w:divBdr>
        <w:top w:val="none" w:sz="0" w:space="0" w:color="auto"/>
        <w:left w:val="none" w:sz="0" w:space="0" w:color="auto"/>
        <w:bottom w:val="none" w:sz="0" w:space="0" w:color="auto"/>
        <w:right w:val="none" w:sz="0" w:space="0" w:color="auto"/>
      </w:divBdr>
    </w:div>
    <w:div w:id="1390808961">
      <w:bodyDiv w:val="1"/>
      <w:marLeft w:val="0"/>
      <w:marRight w:val="0"/>
      <w:marTop w:val="0"/>
      <w:marBottom w:val="0"/>
      <w:divBdr>
        <w:top w:val="none" w:sz="0" w:space="0" w:color="auto"/>
        <w:left w:val="none" w:sz="0" w:space="0" w:color="auto"/>
        <w:bottom w:val="none" w:sz="0" w:space="0" w:color="auto"/>
        <w:right w:val="none" w:sz="0" w:space="0" w:color="auto"/>
      </w:divBdr>
    </w:div>
    <w:div w:id="1470440550">
      <w:bodyDiv w:val="1"/>
      <w:marLeft w:val="0"/>
      <w:marRight w:val="0"/>
      <w:marTop w:val="0"/>
      <w:marBottom w:val="0"/>
      <w:divBdr>
        <w:top w:val="none" w:sz="0" w:space="0" w:color="auto"/>
        <w:left w:val="none" w:sz="0" w:space="0" w:color="auto"/>
        <w:bottom w:val="none" w:sz="0" w:space="0" w:color="auto"/>
        <w:right w:val="none" w:sz="0" w:space="0" w:color="auto"/>
      </w:divBdr>
    </w:div>
    <w:div w:id="1520467392">
      <w:bodyDiv w:val="1"/>
      <w:marLeft w:val="0"/>
      <w:marRight w:val="0"/>
      <w:marTop w:val="0"/>
      <w:marBottom w:val="0"/>
      <w:divBdr>
        <w:top w:val="none" w:sz="0" w:space="0" w:color="auto"/>
        <w:left w:val="none" w:sz="0" w:space="0" w:color="auto"/>
        <w:bottom w:val="none" w:sz="0" w:space="0" w:color="auto"/>
        <w:right w:val="none" w:sz="0" w:space="0" w:color="auto"/>
      </w:divBdr>
    </w:div>
    <w:div w:id="1782533730">
      <w:bodyDiv w:val="1"/>
      <w:marLeft w:val="0"/>
      <w:marRight w:val="0"/>
      <w:marTop w:val="0"/>
      <w:marBottom w:val="0"/>
      <w:divBdr>
        <w:top w:val="none" w:sz="0" w:space="0" w:color="auto"/>
        <w:left w:val="none" w:sz="0" w:space="0" w:color="auto"/>
        <w:bottom w:val="none" w:sz="0" w:space="0" w:color="auto"/>
        <w:right w:val="none" w:sz="0" w:space="0" w:color="auto"/>
      </w:divBdr>
      <w:divsChild>
        <w:div w:id="826556642">
          <w:marLeft w:val="0"/>
          <w:marRight w:val="0"/>
          <w:marTop w:val="0"/>
          <w:marBottom w:val="0"/>
          <w:divBdr>
            <w:top w:val="none" w:sz="0" w:space="0" w:color="auto"/>
            <w:left w:val="none" w:sz="0" w:space="0" w:color="auto"/>
            <w:bottom w:val="none" w:sz="0" w:space="0" w:color="auto"/>
            <w:right w:val="none" w:sz="0" w:space="0" w:color="auto"/>
          </w:divBdr>
          <w:divsChild>
            <w:div w:id="379520245">
              <w:marLeft w:val="0"/>
              <w:marRight w:val="0"/>
              <w:marTop w:val="0"/>
              <w:marBottom w:val="0"/>
              <w:divBdr>
                <w:top w:val="none" w:sz="0" w:space="0" w:color="auto"/>
                <w:left w:val="none" w:sz="0" w:space="0" w:color="auto"/>
                <w:bottom w:val="none" w:sz="0" w:space="0" w:color="auto"/>
                <w:right w:val="none" w:sz="0" w:space="0" w:color="auto"/>
              </w:divBdr>
              <w:divsChild>
                <w:div w:id="1052464361">
                  <w:marLeft w:val="0"/>
                  <w:marRight w:val="0"/>
                  <w:marTop w:val="0"/>
                  <w:marBottom w:val="0"/>
                  <w:divBdr>
                    <w:top w:val="none" w:sz="0" w:space="0" w:color="auto"/>
                    <w:left w:val="none" w:sz="0" w:space="0" w:color="auto"/>
                    <w:bottom w:val="none" w:sz="0" w:space="0" w:color="auto"/>
                    <w:right w:val="none" w:sz="0" w:space="0" w:color="auto"/>
                  </w:divBdr>
                  <w:divsChild>
                    <w:div w:id="1250970257">
                      <w:marLeft w:val="0"/>
                      <w:marRight w:val="0"/>
                      <w:marTop w:val="0"/>
                      <w:marBottom w:val="0"/>
                      <w:divBdr>
                        <w:top w:val="none" w:sz="0" w:space="0" w:color="auto"/>
                        <w:left w:val="none" w:sz="0" w:space="0" w:color="auto"/>
                        <w:bottom w:val="none" w:sz="0" w:space="0" w:color="auto"/>
                        <w:right w:val="none" w:sz="0" w:space="0" w:color="auto"/>
                      </w:divBdr>
                      <w:divsChild>
                        <w:div w:id="1139491283">
                          <w:marLeft w:val="0"/>
                          <w:marRight w:val="0"/>
                          <w:marTop w:val="0"/>
                          <w:marBottom w:val="0"/>
                          <w:divBdr>
                            <w:top w:val="none" w:sz="0" w:space="0" w:color="auto"/>
                            <w:left w:val="none" w:sz="0" w:space="0" w:color="auto"/>
                            <w:bottom w:val="none" w:sz="0" w:space="0" w:color="auto"/>
                            <w:right w:val="none" w:sz="0" w:space="0" w:color="auto"/>
                          </w:divBdr>
                          <w:divsChild>
                            <w:div w:id="1566336612">
                              <w:marLeft w:val="0"/>
                              <w:marRight w:val="0"/>
                              <w:marTop w:val="0"/>
                              <w:marBottom w:val="0"/>
                              <w:divBdr>
                                <w:top w:val="none" w:sz="0" w:space="0" w:color="auto"/>
                                <w:left w:val="none" w:sz="0" w:space="0" w:color="auto"/>
                                <w:bottom w:val="none" w:sz="0" w:space="0" w:color="auto"/>
                                <w:right w:val="none" w:sz="0" w:space="0" w:color="auto"/>
                              </w:divBdr>
                              <w:divsChild>
                                <w:div w:id="650401954">
                                  <w:marLeft w:val="0"/>
                                  <w:marRight w:val="0"/>
                                  <w:marTop w:val="0"/>
                                  <w:marBottom w:val="0"/>
                                  <w:divBdr>
                                    <w:top w:val="none" w:sz="0" w:space="0" w:color="auto"/>
                                    <w:left w:val="none" w:sz="0" w:space="0" w:color="auto"/>
                                    <w:bottom w:val="none" w:sz="0" w:space="0" w:color="auto"/>
                                    <w:right w:val="none" w:sz="0" w:space="0" w:color="auto"/>
                                  </w:divBdr>
                                  <w:divsChild>
                                    <w:div w:id="2079472912">
                                      <w:marLeft w:val="0"/>
                                      <w:marRight w:val="0"/>
                                      <w:marTop w:val="0"/>
                                      <w:marBottom w:val="0"/>
                                      <w:divBdr>
                                        <w:top w:val="none" w:sz="0" w:space="0" w:color="auto"/>
                                        <w:left w:val="none" w:sz="0" w:space="0" w:color="auto"/>
                                        <w:bottom w:val="none" w:sz="0" w:space="0" w:color="auto"/>
                                        <w:right w:val="none" w:sz="0" w:space="0" w:color="auto"/>
                                      </w:divBdr>
                                      <w:divsChild>
                                        <w:div w:id="784812430">
                                          <w:marLeft w:val="0"/>
                                          <w:marRight w:val="0"/>
                                          <w:marTop w:val="0"/>
                                          <w:marBottom w:val="0"/>
                                          <w:divBdr>
                                            <w:top w:val="none" w:sz="0" w:space="0" w:color="auto"/>
                                            <w:left w:val="none" w:sz="0" w:space="0" w:color="auto"/>
                                            <w:bottom w:val="none" w:sz="0" w:space="0" w:color="auto"/>
                                            <w:right w:val="none" w:sz="0" w:space="0" w:color="auto"/>
                                          </w:divBdr>
                                          <w:divsChild>
                                            <w:div w:id="13993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300862">
          <w:marLeft w:val="0"/>
          <w:marRight w:val="0"/>
          <w:marTop w:val="0"/>
          <w:marBottom w:val="0"/>
          <w:divBdr>
            <w:top w:val="none" w:sz="0" w:space="0" w:color="auto"/>
            <w:left w:val="none" w:sz="0" w:space="0" w:color="auto"/>
            <w:bottom w:val="none" w:sz="0" w:space="0" w:color="auto"/>
            <w:right w:val="none" w:sz="0" w:space="0" w:color="auto"/>
          </w:divBdr>
          <w:divsChild>
            <w:div w:id="481508599">
              <w:marLeft w:val="0"/>
              <w:marRight w:val="0"/>
              <w:marTop w:val="0"/>
              <w:marBottom w:val="0"/>
              <w:divBdr>
                <w:top w:val="none" w:sz="0" w:space="0" w:color="auto"/>
                <w:left w:val="none" w:sz="0" w:space="0" w:color="auto"/>
                <w:bottom w:val="none" w:sz="0" w:space="0" w:color="auto"/>
                <w:right w:val="none" w:sz="0" w:space="0" w:color="auto"/>
              </w:divBdr>
              <w:divsChild>
                <w:div w:id="572275797">
                  <w:marLeft w:val="0"/>
                  <w:marRight w:val="0"/>
                  <w:marTop w:val="0"/>
                  <w:marBottom w:val="0"/>
                  <w:divBdr>
                    <w:top w:val="none" w:sz="0" w:space="0" w:color="auto"/>
                    <w:left w:val="none" w:sz="0" w:space="0" w:color="auto"/>
                    <w:bottom w:val="none" w:sz="0" w:space="0" w:color="auto"/>
                    <w:right w:val="none" w:sz="0" w:space="0" w:color="auto"/>
                  </w:divBdr>
                  <w:divsChild>
                    <w:div w:id="1450122036">
                      <w:marLeft w:val="0"/>
                      <w:marRight w:val="0"/>
                      <w:marTop w:val="0"/>
                      <w:marBottom w:val="0"/>
                      <w:divBdr>
                        <w:top w:val="none" w:sz="0" w:space="0" w:color="auto"/>
                        <w:left w:val="none" w:sz="0" w:space="0" w:color="auto"/>
                        <w:bottom w:val="none" w:sz="0" w:space="0" w:color="auto"/>
                        <w:right w:val="none" w:sz="0" w:space="0" w:color="auto"/>
                      </w:divBdr>
                      <w:divsChild>
                        <w:div w:id="980773751">
                          <w:marLeft w:val="0"/>
                          <w:marRight w:val="0"/>
                          <w:marTop w:val="0"/>
                          <w:marBottom w:val="0"/>
                          <w:divBdr>
                            <w:top w:val="none" w:sz="0" w:space="0" w:color="auto"/>
                            <w:left w:val="none" w:sz="0" w:space="0" w:color="auto"/>
                            <w:bottom w:val="none" w:sz="0" w:space="0" w:color="auto"/>
                            <w:right w:val="none" w:sz="0" w:space="0" w:color="auto"/>
                          </w:divBdr>
                          <w:divsChild>
                            <w:div w:id="640618095">
                              <w:marLeft w:val="0"/>
                              <w:marRight w:val="0"/>
                              <w:marTop w:val="0"/>
                              <w:marBottom w:val="0"/>
                              <w:divBdr>
                                <w:top w:val="none" w:sz="0" w:space="0" w:color="auto"/>
                                <w:left w:val="none" w:sz="0" w:space="0" w:color="auto"/>
                                <w:bottom w:val="none" w:sz="0" w:space="0" w:color="auto"/>
                                <w:right w:val="none" w:sz="0" w:space="0" w:color="auto"/>
                              </w:divBdr>
                              <w:divsChild>
                                <w:div w:id="1148398155">
                                  <w:marLeft w:val="0"/>
                                  <w:marRight w:val="0"/>
                                  <w:marTop w:val="0"/>
                                  <w:marBottom w:val="0"/>
                                  <w:divBdr>
                                    <w:top w:val="none" w:sz="0" w:space="0" w:color="auto"/>
                                    <w:left w:val="none" w:sz="0" w:space="0" w:color="auto"/>
                                    <w:bottom w:val="none" w:sz="0" w:space="0" w:color="auto"/>
                                    <w:right w:val="none" w:sz="0" w:space="0" w:color="auto"/>
                                  </w:divBdr>
                                  <w:divsChild>
                                    <w:div w:id="397170442">
                                      <w:marLeft w:val="0"/>
                                      <w:marRight w:val="0"/>
                                      <w:marTop w:val="0"/>
                                      <w:marBottom w:val="0"/>
                                      <w:divBdr>
                                        <w:top w:val="none" w:sz="0" w:space="0" w:color="auto"/>
                                        <w:left w:val="none" w:sz="0" w:space="0" w:color="auto"/>
                                        <w:bottom w:val="none" w:sz="0" w:space="0" w:color="auto"/>
                                        <w:right w:val="none" w:sz="0" w:space="0" w:color="auto"/>
                                      </w:divBdr>
                                      <w:divsChild>
                                        <w:div w:id="173569860">
                                          <w:marLeft w:val="0"/>
                                          <w:marRight w:val="0"/>
                                          <w:marTop w:val="0"/>
                                          <w:marBottom w:val="0"/>
                                          <w:divBdr>
                                            <w:top w:val="none" w:sz="0" w:space="0" w:color="auto"/>
                                            <w:left w:val="none" w:sz="0" w:space="0" w:color="auto"/>
                                            <w:bottom w:val="none" w:sz="0" w:space="0" w:color="auto"/>
                                            <w:right w:val="none" w:sz="0" w:space="0" w:color="auto"/>
                                          </w:divBdr>
                                          <w:divsChild>
                                            <w:div w:id="6721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941851">
      <w:bodyDiv w:val="1"/>
      <w:marLeft w:val="0"/>
      <w:marRight w:val="0"/>
      <w:marTop w:val="0"/>
      <w:marBottom w:val="0"/>
      <w:divBdr>
        <w:top w:val="none" w:sz="0" w:space="0" w:color="auto"/>
        <w:left w:val="none" w:sz="0" w:space="0" w:color="auto"/>
        <w:bottom w:val="none" w:sz="0" w:space="0" w:color="auto"/>
        <w:right w:val="none" w:sz="0" w:space="0" w:color="auto"/>
      </w:divBdr>
      <w:divsChild>
        <w:div w:id="1511722298">
          <w:marLeft w:val="0"/>
          <w:marRight w:val="0"/>
          <w:marTop w:val="0"/>
          <w:marBottom w:val="0"/>
          <w:divBdr>
            <w:top w:val="none" w:sz="0" w:space="0" w:color="auto"/>
            <w:left w:val="none" w:sz="0" w:space="0" w:color="auto"/>
            <w:bottom w:val="none" w:sz="0" w:space="0" w:color="auto"/>
            <w:right w:val="none" w:sz="0" w:space="0" w:color="auto"/>
          </w:divBdr>
          <w:divsChild>
            <w:div w:id="8500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24018">
      <w:bodyDiv w:val="1"/>
      <w:marLeft w:val="0"/>
      <w:marRight w:val="0"/>
      <w:marTop w:val="0"/>
      <w:marBottom w:val="0"/>
      <w:divBdr>
        <w:top w:val="none" w:sz="0" w:space="0" w:color="auto"/>
        <w:left w:val="none" w:sz="0" w:space="0" w:color="auto"/>
        <w:bottom w:val="none" w:sz="0" w:space="0" w:color="auto"/>
        <w:right w:val="none" w:sz="0" w:space="0" w:color="auto"/>
      </w:divBdr>
      <w:divsChild>
        <w:div w:id="445737604">
          <w:marLeft w:val="0"/>
          <w:marRight w:val="0"/>
          <w:marTop w:val="0"/>
          <w:marBottom w:val="0"/>
          <w:divBdr>
            <w:top w:val="none" w:sz="0" w:space="0" w:color="auto"/>
            <w:left w:val="none" w:sz="0" w:space="0" w:color="auto"/>
            <w:bottom w:val="none" w:sz="0" w:space="0" w:color="auto"/>
            <w:right w:val="none" w:sz="0" w:space="0" w:color="auto"/>
          </w:divBdr>
        </w:div>
        <w:div w:id="1835410500">
          <w:marLeft w:val="0"/>
          <w:marRight w:val="0"/>
          <w:marTop w:val="0"/>
          <w:marBottom w:val="0"/>
          <w:divBdr>
            <w:top w:val="none" w:sz="0" w:space="0" w:color="auto"/>
            <w:left w:val="none" w:sz="0" w:space="0" w:color="auto"/>
            <w:bottom w:val="none" w:sz="0" w:space="0" w:color="auto"/>
            <w:right w:val="none" w:sz="0" w:space="0" w:color="auto"/>
          </w:divBdr>
        </w:div>
        <w:div w:id="1485508902">
          <w:marLeft w:val="0"/>
          <w:marRight w:val="0"/>
          <w:marTop w:val="0"/>
          <w:marBottom w:val="0"/>
          <w:divBdr>
            <w:top w:val="none" w:sz="0" w:space="0" w:color="auto"/>
            <w:left w:val="none" w:sz="0" w:space="0" w:color="auto"/>
            <w:bottom w:val="none" w:sz="0" w:space="0" w:color="auto"/>
            <w:right w:val="none" w:sz="0" w:space="0" w:color="auto"/>
          </w:divBdr>
        </w:div>
        <w:div w:id="1837458252">
          <w:marLeft w:val="0"/>
          <w:marRight w:val="0"/>
          <w:marTop w:val="0"/>
          <w:marBottom w:val="0"/>
          <w:divBdr>
            <w:top w:val="none" w:sz="0" w:space="0" w:color="auto"/>
            <w:left w:val="none" w:sz="0" w:space="0" w:color="auto"/>
            <w:bottom w:val="none" w:sz="0" w:space="0" w:color="auto"/>
            <w:right w:val="none" w:sz="0" w:space="0" w:color="auto"/>
          </w:divBdr>
        </w:div>
      </w:divsChild>
    </w:div>
    <w:div w:id="2053066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in10ance.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cri-monti.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ianna.consiglioregionale.piemonte.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crimonti.org/en/"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0182-278" TargetMode="External"/><Relationship Id="rId1" Type="http://schemas.openxmlformats.org/officeDocument/2006/relationships/hyperlink" Target="mailto:carla.ferrario@uniu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45D1-65E1-434F-985E-6475DCD7C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7003</Words>
  <Characters>38517</Characters>
  <Application>Microsoft Office Word</Application>
  <DocSecurity>0</DocSecurity>
  <Lines>320</Lines>
  <Paragraphs>90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Plantilla CIGESTUR</vt:lpstr>
      <vt:lpstr>Plantilla CIGESTUR</vt:lpstr>
    </vt:vector>
  </TitlesOfParts>
  <Company/>
  <LinksUpToDate>false</LinksUpToDate>
  <CharactersWithSpaces>45430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CIGESTUR</dc:title>
  <dc:subject/>
  <dc:creator>Ricardo Hernández Rojas</dc:creator>
  <cp:keywords/>
  <cp:lastModifiedBy>Manuel Rivera Mateos</cp:lastModifiedBy>
  <cp:revision>8</cp:revision>
  <dcterms:created xsi:type="dcterms:W3CDTF">2025-12-12T14:21:00Z</dcterms:created>
  <dcterms:modified xsi:type="dcterms:W3CDTF">2025-12-14T15:17:00Z</dcterms:modified>
</cp:coreProperties>
</file>